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header12.xml" ContentType="application/vnd.openxmlformats-officedocument.wordprocessingml.header+xml"/>
  <Override PartName="/word/header13.xml" ContentType="application/vnd.openxmlformats-officedocument.wordprocessingml.header+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header14.xml" ContentType="application/vnd.openxmlformats-officedocument.wordprocessingml.header+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5.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16.xml" ContentType="application/vnd.openxmlformats-officedocument.wordprocessingml.header+xml"/>
  <Override PartName="/word/header17.xml" ContentType="application/vnd.openxmlformats-officedocument.wordprocessingml.header+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header18.xml" ContentType="application/vnd.openxmlformats-officedocument.wordprocessingml.header+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966016515"/>
        <w:docPartObj>
          <w:docPartGallery w:val="Cover Pages"/>
          <w:docPartUnique/>
        </w:docPartObj>
      </w:sdtPr>
      <w:sdtContent>
        <w:p w14:paraId="07307CD7" w14:textId="2F098F48" w:rsidR="000E3F5A" w:rsidRDefault="000E3F5A">
          <w:r>
            <w:rPr>
              <w:noProof/>
            </w:rPr>
            <mc:AlternateContent>
              <mc:Choice Requires="wpg">
                <w:drawing>
                  <wp:anchor distT="0" distB="0" distL="114300" distR="114300" simplePos="0" relativeHeight="251658253" behindDoc="1" locked="0" layoutInCell="1" allowOverlap="1" wp14:anchorId="6A320597" wp14:editId="1C0D689F">
                    <wp:simplePos x="0" y="0"/>
                    <wp:positionH relativeFrom="page">
                      <wp:align>center</wp:align>
                    </wp:positionH>
                    <wp:positionV relativeFrom="page">
                      <wp:align>center</wp:align>
                    </wp:positionV>
                    <wp:extent cx="6852920" cy="9142730"/>
                    <wp:effectExtent l="0" t="0" r="2540" b="133985"/>
                    <wp:wrapNone/>
                    <wp:docPr id="119" name="Group 119"/>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20" name="Rectangle 120"/>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h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32E350B1" w14:textId="07CBB74C" w:rsidR="003610E3" w:rsidRDefault="003610E3">
                                      <w:pPr>
                                        <w:pStyle w:val="NoSpacing"/>
                                        <w:rPr>
                                          <w:color w:val="FFFFFF" w:themeColor="background1"/>
                                          <w:sz w:val="32"/>
                                          <w:szCs w:val="32"/>
                                        </w:rPr>
                                      </w:pPr>
                                      <w:r>
                                        <w:rPr>
                                          <w:color w:val="FFFFFF" w:themeColor="background1"/>
                                          <w:sz w:val="32"/>
                                          <w:szCs w:val="32"/>
                                        </w:rPr>
                                        <w:t>George Self</w:t>
                                      </w:r>
                                    </w:p>
                                  </w:sdtContent>
                                </w:sdt>
                                <w:p w14:paraId="559B58B0" w14:textId="42BBACF8" w:rsidR="003610E3" w:rsidRDefault="00000000">
                                  <w:pPr>
                                    <w:pStyle w:val="NoSpacing"/>
                                    <w:rPr>
                                      <w:caps/>
                                      <w:color w:val="FFFFFF" w:themeColor="background1"/>
                                    </w:rPr>
                                  </w:pPr>
                                  <w:sdt>
                                    <w:sdtPr>
                                      <w:rPr>
                                        <w:caps/>
                                        <w:color w:val="FFFFFF" w:themeColor="background1"/>
                                      </w:rPr>
                                      <w:alias w:val="Company"/>
                                      <w:tag w:val=""/>
                                      <w:id w:val="922067218"/>
                                      <w:dataBinding w:prefixMappings="xmlns:ns0='http://schemas.openxmlformats.org/officeDocument/2006/extended-properties' " w:xpath="/ns0:Properties[1]/ns0:Company[1]" w:storeItemID="{6668398D-A668-4E3E-A5EB-62B293D839F1}"/>
                                      <w:text/>
                                    </w:sdtPr>
                                    <w:sdtContent>
                                      <w:r w:rsidR="003610E3">
                                        <w:rPr>
                                          <w:caps/>
                                          <w:color w:val="FFFFFF" w:themeColor="background1"/>
                                        </w:rPr>
                                        <w:t xml:space="preserve">Edition </w:t>
                                      </w:r>
                                      <w:r w:rsidR="001451F7">
                                        <w:rPr>
                                          <w:caps/>
                                          <w:color w:val="FFFFFF" w:themeColor="background1"/>
                                        </w:rPr>
                                        <w:t>5</w:t>
                                      </w:r>
                                    </w:sdtContent>
                                  </w:sdt>
                                  <w:r w:rsidR="003610E3">
                                    <w:rPr>
                                      <w:caps/>
                                      <w:color w:val="FFFFFF" w:themeColor="background1"/>
                                    </w:rPr>
                                    <w:t xml:space="preserve"> | </w:t>
                                  </w:r>
                                  <w:sdt>
                                    <w:sdtPr>
                                      <w:rPr>
                                        <w:caps/>
                                        <w:color w:val="FFFFFF" w:themeColor="background1"/>
                                      </w:rPr>
                                      <w:alias w:val="Address"/>
                                      <w:tag w:val=""/>
                                      <w:id w:val="2113163453"/>
                                      <w:dataBinding w:prefixMappings="xmlns:ns0='http://schemas.microsoft.com/office/2006/coverPageProps' " w:xpath="/ns0:CoverPageProperties[1]/ns0:CompanyAddress[1]" w:storeItemID="{55AF091B-3C7A-41E3-B477-F2FDAA23CFDA}"/>
                                      <w:text/>
                                    </w:sdtPr>
                                    <w:sdtContent>
                                      <w:r w:rsidR="003610E3">
                                        <w:rPr>
                                          <w:caps/>
                                          <w:color w:val="FFFFFF" w:themeColor="background1"/>
                                        </w:rPr>
                                        <w:t>June 202</w:t>
                                      </w:r>
                                      <w:r w:rsidR="001451F7">
                                        <w:rPr>
                                          <w:caps/>
                                          <w:color w:val="FFFFFF" w:themeColor="background1"/>
                                        </w:rPr>
                                        <w:t>4</w:t>
                                      </w:r>
                                    </w:sdtContent>
                                  </w:sdt>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xt Box 122"/>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itle"/>
                                    <w:tag w:val=""/>
                                    <w:id w:val="-1476986296"/>
                                    <w:dataBinding w:prefixMappings="xmlns:ns0='http://purl.org/dc/elements/1.1/' xmlns:ns1='http://schemas.openxmlformats.org/package/2006/metadata/core-properties' " w:xpath="/ns1:coreProperties[1]/ns0:title[1]" w:storeItemID="{6C3C8BC8-F283-45AE-878A-BAB7291924A1}"/>
                                    <w:text/>
                                  </w:sdtPr>
                                  <w:sdtContent>
                                    <w:p w14:paraId="43A62F3B" w14:textId="15193BDE" w:rsidR="003610E3" w:rsidRDefault="003610E3">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Research Methods</w:t>
                                      </w:r>
                                    </w:p>
                                  </w:sdtContent>
                                </w:sdt>
                                <w:sdt>
                                  <w:sdtPr>
                                    <w:rPr>
                                      <w:caps/>
                                      <w:color w:val="242852" w:themeColor="text2"/>
                                      <w:sz w:val="36"/>
                                      <w:szCs w:val="36"/>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Content>
                                    <w:p w14:paraId="596EB55C" w14:textId="68B6748C" w:rsidR="003610E3" w:rsidRDefault="003610E3">
                                      <w:pPr>
                                        <w:pStyle w:val="NoSpacing"/>
                                        <w:spacing w:before="240"/>
                                        <w:rPr>
                                          <w:caps/>
                                          <w:color w:val="242852" w:themeColor="text2"/>
                                          <w:sz w:val="36"/>
                                          <w:szCs w:val="36"/>
                                        </w:rPr>
                                      </w:pPr>
                                      <w:r>
                                        <w:rPr>
                                          <w:caps/>
                                          <w:color w:val="242852" w:themeColor="text2"/>
                                          <w:sz w:val="36"/>
                                          <w:szCs w:val="36"/>
                                        </w:rPr>
                                        <w:t>For Business and Marketing</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6A320597" id="Group 119" o:spid="_x0000_s1026" style="position:absolute;margin-left:0;margin-top:0;width:539.6pt;height:719.9pt;z-index:-251658227;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">
                    <v:rect id="Rectangle 120"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" fillcolor="#4a66ac [3204]" stroked="f" strokeweight="1pt"/>
                    <v:rect id="Rectangle 121"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" fillcolor="#629dd1 [3205]" stroked="f" strokeweight="1pt">
                      <v:textbox inset="36pt,14.4pt,36pt,36pt">
                        <w:txbxContent>
                          <w:sdt>
                            <w:sdtPr>
                              <w:rPr>
                                <w:color w:val="FFFFFF" w:themeColor="background1"/>
                                <w:sz w:val="32"/>
                                <w:szCs w:val="32"/>
                              </w:rPr>
                              <w:alias w:val="Auth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32E350B1" w14:textId="07CBB74C" w:rsidR="003610E3" w:rsidRDefault="003610E3">
                                <w:pPr>
                                  <w:pStyle w:val="NoSpacing"/>
                                  <w:rPr>
                                    <w:color w:val="FFFFFF" w:themeColor="background1"/>
                                    <w:sz w:val="32"/>
                                    <w:szCs w:val="32"/>
                                  </w:rPr>
                                </w:pPr>
                                <w:r>
                                  <w:rPr>
                                    <w:color w:val="FFFFFF" w:themeColor="background1"/>
                                    <w:sz w:val="32"/>
                                    <w:szCs w:val="32"/>
                                  </w:rPr>
                                  <w:t>George Self</w:t>
                                </w:r>
                              </w:p>
                            </w:sdtContent>
                          </w:sdt>
                          <w:p w14:paraId="559B58B0" w14:textId="42BBACF8" w:rsidR="003610E3" w:rsidRDefault="00000000">
                            <w:pPr>
                              <w:pStyle w:val="NoSpacing"/>
                              <w:rPr>
                                <w:caps/>
                                <w:color w:val="FFFFFF" w:themeColor="background1"/>
                              </w:rPr>
                            </w:pPr>
                            <w:sdt>
                              <w:sdtPr>
                                <w:rPr>
                                  <w:caps/>
                                  <w:color w:val="FFFFFF" w:themeColor="background1"/>
                                </w:rPr>
                                <w:alias w:val="Company"/>
                                <w:tag w:val=""/>
                                <w:id w:val="922067218"/>
                                <w:dataBinding w:prefixMappings="xmlns:ns0='http://schemas.openxmlformats.org/officeDocument/2006/extended-properties' " w:xpath="/ns0:Properties[1]/ns0:Company[1]" w:storeItemID="{6668398D-A668-4E3E-A5EB-62B293D839F1}"/>
                                <w:text/>
                              </w:sdtPr>
                              <w:sdtContent>
                                <w:r w:rsidR="003610E3">
                                  <w:rPr>
                                    <w:caps/>
                                    <w:color w:val="FFFFFF" w:themeColor="background1"/>
                                  </w:rPr>
                                  <w:t xml:space="preserve">Edition </w:t>
                                </w:r>
                                <w:r w:rsidR="001451F7">
                                  <w:rPr>
                                    <w:caps/>
                                    <w:color w:val="FFFFFF" w:themeColor="background1"/>
                                  </w:rPr>
                                  <w:t>5</w:t>
                                </w:r>
                              </w:sdtContent>
                            </w:sdt>
                            <w:r w:rsidR="003610E3">
                              <w:rPr>
                                <w:caps/>
                                <w:color w:val="FFFFFF" w:themeColor="background1"/>
                              </w:rPr>
                              <w:t xml:space="preserve"> | </w:t>
                            </w:r>
                            <w:sdt>
                              <w:sdtPr>
                                <w:rPr>
                                  <w:caps/>
                                  <w:color w:val="FFFFFF" w:themeColor="background1"/>
                                </w:rPr>
                                <w:alias w:val="Address"/>
                                <w:tag w:val=""/>
                                <w:id w:val="2113163453"/>
                                <w:dataBinding w:prefixMappings="xmlns:ns0='http://schemas.microsoft.com/office/2006/coverPageProps' " w:xpath="/ns0:CoverPageProperties[1]/ns0:CompanyAddress[1]" w:storeItemID="{55AF091B-3C7A-41E3-B477-F2FDAA23CFDA}"/>
                                <w:text/>
                              </w:sdtPr>
                              <w:sdtContent>
                                <w:r w:rsidR="003610E3">
                                  <w:rPr>
                                    <w:caps/>
                                    <w:color w:val="FFFFFF" w:themeColor="background1"/>
                                  </w:rPr>
                                  <w:t>June 202</w:t>
                                </w:r>
                                <w:r w:rsidR="001451F7">
                                  <w:rPr>
                                    <w:caps/>
                                    <w:color w:val="FFFFFF" w:themeColor="background1"/>
                                  </w:rPr>
                                  <w:t>4</w:t>
                                </w:r>
                              </w:sdtContent>
                            </w:sdt>
                          </w:p>
                        </w:txbxContent>
                      </v:textbox>
                    </v:rect>
                    <v:shapetype id="_x0000_t202" coordsize="21600,21600" o:spt="202" path="m,l,21600r21600,l21600,xe">
                      <v:stroke joinstyle="miter"/>
                      <v:path gradientshapeok="t" o:connecttype="rect"/>
                    </v:shapetype>
                    <v:shape id="Text Box 122"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itle"/>
                              <w:tag w:val=""/>
                              <w:id w:val="-1476986296"/>
                              <w:dataBinding w:prefixMappings="xmlns:ns0='http://purl.org/dc/elements/1.1/' xmlns:ns1='http://schemas.openxmlformats.org/package/2006/metadata/core-properties' " w:xpath="/ns1:coreProperties[1]/ns0:title[1]" w:storeItemID="{6C3C8BC8-F283-45AE-878A-BAB7291924A1}"/>
                              <w:text/>
                            </w:sdtPr>
                            <w:sdtContent>
                              <w:p w14:paraId="43A62F3B" w14:textId="15193BDE" w:rsidR="003610E3" w:rsidRDefault="003610E3">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Research Methods</w:t>
                                </w:r>
                              </w:p>
                            </w:sdtContent>
                          </w:sdt>
                          <w:sdt>
                            <w:sdtPr>
                              <w:rPr>
                                <w:caps/>
                                <w:color w:val="242852" w:themeColor="text2"/>
                                <w:sz w:val="36"/>
                                <w:szCs w:val="36"/>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Content>
                              <w:p w14:paraId="596EB55C" w14:textId="68B6748C" w:rsidR="003610E3" w:rsidRDefault="003610E3">
                                <w:pPr>
                                  <w:pStyle w:val="NoSpacing"/>
                                  <w:spacing w:before="240"/>
                                  <w:rPr>
                                    <w:caps/>
                                    <w:color w:val="242852" w:themeColor="text2"/>
                                    <w:sz w:val="36"/>
                                    <w:szCs w:val="36"/>
                                  </w:rPr>
                                </w:pPr>
                                <w:r>
                                  <w:rPr>
                                    <w:caps/>
                                    <w:color w:val="242852" w:themeColor="text2"/>
                                    <w:sz w:val="36"/>
                                    <w:szCs w:val="36"/>
                                  </w:rPr>
                                  <w:t>For Business and Marketing</w:t>
                                </w:r>
                              </w:p>
                            </w:sdtContent>
                          </w:sdt>
                        </w:txbxContent>
                      </v:textbox>
                    </v:shape>
                    <w10:wrap anchorx="page" anchory="page"/>
                  </v:group>
                </w:pict>
              </mc:Fallback>
            </mc:AlternateContent>
          </w:r>
        </w:p>
        <w:p w14:paraId="1307F233" w14:textId="49734B6A" w:rsidR="000E3F5A" w:rsidRDefault="000E3F5A">
          <w:r>
            <w:br w:type="page"/>
          </w:r>
        </w:p>
      </w:sdtContent>
    </w:sdt>
    <w:p w14:paraId="5327CE39" w14:textId="6632AD04" w:rsidR="00A626FE" w:rsidRPr="000E309B" w:rsidRDefault="00D14B33" w:rsidP="00AF3AF0">
      <w:r w:rsidRPr="000E309B">
        <w:lastRenderedPageBreak/>
        <w:t xml:space="preserve">George Self: Research Methods For Business and Marketing, </w:t>
      </w:r>
      <w:r w:rsidR="001451F7">
        <w:t>Edition</w:t>
      </w:r>
      <w:r w:rsidR="009A2257">
        <w:t xml:space="preserve"> </w:t>
      </w:r>
      <w:r w:rsidR="00A3583F">
        <w:t>Five</w:t>
      </w:r>
      <w:r w:rsidR="001451F7">
        <w:t xml:space="preserve">, </w:t>
      </w:r>
      <w:r w:rsidR="001F7EF7" w:rsidRPr="000E309B">
        <w:t>June</w:t>
      </w:r>
      <w:r w:rsidRPr="000E309B">
        <w:t xml:space="preserve"> 202</w:t>
      </w:r>
      <w:r w:rsidR="001451F7">
        <w:t>4</w:t>
      </w:r>
    </w:p>
    <w:p w14:paraId="5327CE3A" w14:textId="741FF8A4" w:rsidR="00A626FE" w:rsidRPr="000E309B" w:rsidRDefault="00275E20" w:rsidP="00AF3AF0">
      <w:r w:rsidRPr="000E309B">
        <w:rPr>
          <w:noProof/>
        </w:rPr>
        <mc:AlternateContent>
          <mc:Choice Requires="wpg">
            <w:drawing>
              <wp:anchor distT="0" distB="0" distL="114300" distR="114300" simplePos="0" relativeHeight="251658240" behindDoc="0" locked="0" layoutInCell="1" allowOverlap="1" wp14:anchorId="5327DD25" wp14:editId="4C95775E">
                <wp:simplePos x="0" y="0"/>
                <wp:positionH relativeFrom="margin">
                  <wp:align>right</wp:align>
                </wp:positionH>
                <wp:positionV relativeFrom="paragraph">
                  <wp:posOffset>1905</wp:posOffset>
                </wp:positionV>
                <wp:extent cx="1385464" cy="484912"/>
                <wp:effectExtent l="0" t="0" r="5715" b="0"/>
                <wp:wrapSquare wrapText="bothSides"/>
                <wp:docPr id="254942" name="Group 254942"/>
                <wp:cNvGraphicFramePr/>
                <a:graphic xmlns:a="http://schemas.openxmlformats.org/drawingml/2006/main">
                  <a:graphicData uri="http://schemas.microsoft.com/office/word/2010/wordprocessingGroup">
                    <wpg:wgp>
                      <wpg:cNvGrpSpPr/>
                      <wpg:grpSpPr>
                        <a:xfrm>
                          <a:off x="0" y="0"/>
                          <a:ext cx="1385464" cy="484912"/>
                          <a:chOff x="0" y="0"/>
                          <a:chExt cx="1385464" cy="484912"/>
                        </a:xfrm>
                      </wpg:grpSpPr>
                      <wps:wsp>
                        <wps:cNvPr id="30" name="Shape 30"/>
                        <wps:cNvSpPr/>
                        <wps:spPr>
                          <a:xfrm>
                            <a:off x="6311" y="4803"/>
                            <a:ext cx="1376382" cy="470242"/>
                          </a:xfrm>
                          <a:custGeom>
                            <a:avLst/>
                            <a:gdLst/>
                            <a:ahLst/>
                            <a:cxnLst/>
                            <a:rect l="0" t="0" r="0" b="0"/>
                            <a:pathLst>
                              <a:path w="1376382" h="470242">
                                <a:moveTo>
                                  <a:pt x="33020" y="431"/>
                                </a:moveTo>
                                <a:lnTo>
                                  <a:pt x="1341745" y="2771"/>
                                </a:lnTo>
                                <a:cubicBezTo>
                                  <a:pt x="1360033" y="2771"/>
                                  <a:pt x="1376382" y="0"/>
                                  <a:pt x="1376382" y="39208"/>
                                </a:cubicBezTo>
                                <a:lnTo>
                                  <a:pt x="1374827" y="470242"/>
                                </a:lnTo>
                                <a:lnTo>
                                  <a:pt x="0" y="470242"/>
                                </a:lnTo>
                                <a:lnTo>
                                  <a:pt x="0" y="37654"/>
                                </a:lnTo>
                                <a:cubicBezTo>
                                  <a:pt x="0" y="18288"/>
                                  <a:pt x="1863" y="431"/>
                                  <a:pt x="33020" y="431"/>
                                </a:cubicBezTo>
                                <a:close/>
                              </a:path>
                            </a:pathLst>
                          </a:custGeom>
                          <a:ln w="0" cap="flat">
                            <a:miter lim="127000"/>
                          </a:ln>
                        </wps:spPr>
                        <wps:style>
                          <a:lnRef idx="0">
                            <a:srgbClr val="000000">
                              <a:alpha val="0"/>
                            </a:srgbClr>
                          </a:lnRef>
                          <a:fillRef idx="1">
                            <a:srgbClr val="AAB2AB"/>
                          </a:fillRef>
                          <a:effectRef idx="0">
                            <a:scrgbClr r="0" g="0" b="0"/>
                          </a:effectRef>
                          <a:fontRef idx="none"/>
                        </wps:style>
                        <wps:bodyPr/>
                      </wps:wsp>
                      <wps:wsp>
                        <wps:cNvPr id="31" name="Shape 31"/>
                        <wps:cNvSpPr/>
                        <wps:spPr>
                          <a:xfrm>
                            <a:off x="0" y="0"/>
                            <a:ext cx="692732" cy="484912"/>
                          </a:xfrm>
                          <a:custGeom>
                            <a:avLst/>
                            <a:gdLst/>
                            <a:ahLst/>
                            <a:cxnLst/>
                            <a:rect l="0" t="0" r="0" b="0"/>
                            <a:pathLst>
                              <a:path w="692732" h="484912">
                                <a:moveTo>
                                  <a:pt x="25985" y="0"/>
                                </a:moveTo>
                                <a:lnTo>
                                  <a:pt x="692732" y="0"/>
                                </a:lnTo>
                                <a:lnTo>
                                  <a:pt x="692732" y="11730"/>
                                </a:lnTo>
                                <a:lnTo>
                                  <a:pt x="25985" y="11730"/>
                                </a:lnTo>
                                <a:cubicBezTo>
                                  <a:pt x="18103" y="11730"/>
                                  <a:pt x="11730" y="18104"/>
                                  <a:pt x="11730" y="25923"/>
                                </a:cubicBezTo>
                                <a:cubicBezTo>
                                  <a:pt x="11730" y="25923"/>
                                  <a:pt x="11730" y="208297"/>
                                  <a:pt x="11730" y="340239"/>
                                </a:cubicBezTo>
                                <a:lnTo>
                                  <a:pt x="61576" y="340239"/>
                                </a:lnTo>
                                <a:cubicBezTo>
                                  <a:pt x="96520" y="403432"/>
                                  <a:pt x="163808" y="446243"/>
                                  <a:pt x="241071" y="446243"/>
                                </a:cubicBezTo>
                                <a:cubicBezTo>
                                  <a:pt x="318348" y="446243"/>
                                  <a:pt x="385636" y="403370"/>
                                  <a:pt x="420565" y="340239"/>
                                </a:cubicBezTo>
                                <a:lnTo>
                                  <a:pt x="692732" y="340239"/>
                                </a:lnTo>
                                <a:lnTo>
                                  <a:pt x="692732" y="484912"/>
                                </a:lnTo>
                                <a:lnTo>
                                  <a:pt x="5834" y="484912"/>
                                </a:lnTo>
                                <a:lnTo>
                                  <a:pt x="0" y="479079"/>
                                </a:lnTo>
                                <a:lnTo>
                                  <a:pt x="0" y="25922"/>
                                </a:lnTo>
                                <a:lnTo>
                                  <a:pt x="7624" y="7617"/>
                                </a:lnTo>
                                <a:cubicBezTo>
                                  <a:pt x="12330" y="2917"/>
                                  <a:pt x="18827" y="0"/>
                                  <a:pt x="2598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 name="Shape 32"/>
                        <wps:cNvSpPr/>
                        <wps:spPr>
                          <a:xfrm>
                            <a:off x="692732" y="0"/>
                            <a:ext cx="692732" cy="484912"/>
                          </a:xfrm>
                          <a:custGeom>
                            <a:avLst/>
                            <a:gdLst/>
                            <a:ahLst/>
                            <a:cxnLst/>
                            <a:rect l="0" t="0" r="0" b="0"/>
                            <a:pathLst>
                              <a:path w="692732" h="484912">
                                <a:moveTo>
                                  <a:pt x="0" y="0"/>
                                </a:moveTo>
                                <a:lnTo>
                                  <a:pt x="666809" y="0"/>
                                </a:lnTo>
                                <a:cubicBezTo>
                                  <a:pt x="681063" y="0"/>
                                  <a:pt x="692732" y="11669"/>
                                  <a:pt x="692732" y="25923"/>
                                </a:cubicBezTo>
                                <a:lnTo>
                                  <a:pt x="692732" y="479079"/>
                                </a:lnTo>
                                <a:cubicBezTo>
                                  <a:pt x="692732" y="482264"/>
                                  <a:pt x="690085" y="484912"/>
                                  <a:pt x="686898" y="484912"/>
                                </a:cubicBezTo>
                                <a:lnTo>
                                  <a:pt x="0" y="484912"/>
                                </a:lnTo>
                                <a:lnTo>
                                  <a:pt x="0" y="340239"/>
                                </a:lnTo>
                                <a:lnTo>
                                  <a:pt x="681002" y="340239"/>
                                </a:lnTo>
                                <a:cubicBezTo>
                                  <a:pt x="681002" y="208297"/>
                                  <a:pt x="681002" y="25923"/>
                                  <a:pt x="681002" y="25923"/>
                                </a:cubicBezTo>
                                <a:cubicBezTo>
                                  <a:pt x="681002" y="18104"/>
                                  <a:pt x="674629" y="11730"/>
                                  <a:pt x="666809" y="11730"/>
                                </a:cubicBezTo>
                                <a:lnTo>
                                  <a:pt x="0" y="117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 name="Shape 33"/>
                        <wps:cNvSpPr/>
                        <wps:spPr>
                          <a:xfrm>
                            <a:off x="83712" y="68196"/>
                            <a:ext cx="314916" cy="315085"/>
                          </a:xfrm>
                          <a:custGeom>
                            <a:avLst/>
                            <a:gdLst/>
                            <a:ahLst/>
                            <a:cxnLst/>
                            <a:rect l="0" t="0" r="0" b="0"/>
                            <a:pathLst>
                              <a:path w="314916" h="315085">
                                <a:moveTo>
                                  <a:pt x="157358" y="61"/>
                                </a:moveTo>
                                <a:cubicBezTo>
                                  <a:pt x="244319" y="0"/>
                                  <a:pt x="314855" y="70412"/>
                                  <a:pt x="314855" y="157358"/>
                                </a:cubicBezTo>
                                <a:cubicBezTo>
                                  <a:pt x="314855" y="157419"/>
                                  <a:pt x="314855" y="157481"/>
                                  <a:pt x="314855" y="157542"/>
                                </a:cubicBezTo>
                                <a:cubicBezTo>
                                  <a:pt x="314916" y="244488"/>
                                  <a:pt x="244489" y="314978"/>
                                  <a:pt x="157543" y="315039"/>
                                </a:cubicBezTo>
                                <a:cubicBezTo>
                                  <a:pt x="70582" y="315085"/>
                                  <a:pt x="46" y="244673"/>
                                  <a:pt x="0" y="157728"/>
                                </a:cubicBezTo>
                                <a:cubicBezTo>
                                  <a:pt x="0" y="157666"/>
                                  <a:pt x="0" y="157604"/>
                                  <a:pt x="0" y="157542"/>
                                </a:cubicBezTo>
                                <a:cubicBezTo>
                                  <a:pt x="0" y="70597"/>
                                  <a:pt x="70412" y="123"/>
                                  <a:pt x="157358" y="61"/>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 name="Shape 34"/>
                        <wps:cNvSpPr/>
                        <wps:spPr>
                          <a:xfrm>
                            <a:off x="243056" y="170103"/>
                            <a:ext cx="50393" cy="111150"/>
                          </a:xfrm>
                          <a:custGeom>
                            <a:avLst/>
                            <a:gdLst/>
                            <a:ahLst/>
                            <a:cxnLst/>
                            <a:rect l="0" t="0" r="0" b="0"/>
                            <a:pathLst>
                              <a:path w="50393" h="111150">
                                <a:moveTo>
                                  <a:pt x="50393" y="0"/>
                                </a:moveTo>
                                <a:lnTo>
                                  <a:pt x="50393" y="25801"/>
                                </a:lnTo>
                                <a:lnTo>
                                  <a:pt x="37845" y="31340"/>
                                </a:lnTo>
                                <a:cubicBezTo>
                                  <a:pt x="33786" y="36709"/>
                                  <a:pt x="31758" y="44752"/>
                                  <a:pt x="31758" y="55451"/>
                                </a:cubicBezTo>
                                <a:cubicBezTo>
                                  <a:pt x="31758" y="66158"/>
                                  <a:pt x="33786" y="74185"/>
                                  <a:pt x="37845" y="79537"/>
                                </a:cubicBezTo>
                                <a:lnTo>
                                  <a:pt x="50393" y="85051"/>
                                </a:lnTo>
                                <a:lnTo>
                                  <a:pt x="50393" y="111150"/>
                                </a:lnTo>
                                <a:lnTo>
                                  <a:pt x="31654" y="107945"/>
                                </a:lnTo>
                                <a:cubicBezTo>
                                  <a:pt x="25166" y="105455"/>
                                  <a:pt x="19481" y="101725"/>
                                  <a:pt x="14609" y="96769"/>
                                </a:cubicBezTo>
                                <a:cubicBezTo>
                                  <a:pt x="4865" y="86839"/>
                                  <a:pt x="0" y="73077"/>
                                  <a:pt x="0" y="55635"/>
                                </a:cubicBezTo>
                                <a:cubicBezTo>
                                  <a:pt x="0" y="38440"/>
                                  <a:pt x="4926" y="24786"/>
                                  <a:pt x="14855" y="14749"/>
                                </a:cubicBezTo>
                                <a:cubicBezTo>
                                  <a:pt x="19812" y="9699"/>
                                  <a:pt x="25435" y="5909"/>
                                  <a:pt x="31735" y="3380"/>
                                </a:cubicBezTo>
                                <a:lnTo>
                                  <a:pt x="503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 name="Shape 35"/>
                        <wps:cNvSpPr/>
                        <wps:spPr>
                          <a:xfrm>
                            <a:off x="138608" y="169689"/>
                            <a:ext cx="100954" cy="112099"/>
                          </a:xfrm>
                          <a:custGeom>
                            <a:avLst/>
                            <a:gdLst/>
                            <a:ahLst/>
                            <a:cxnLst/>
                            <a:rect l="0" t="0" r="0" b="0"/>
                            <a:pathLst>
                              <a:path w="100954" h="112099">
                                <a:moveTo>
                                  <a:pt x="52740" y="0"/>
                                </a:moveTo>
                                <a:cubicBezTo>
                                  <a:pt x="74984" y="0"/>
                                  <a:pt x="90855" y="8728"/>
                                  <a:pt x="100538" y="26231"/>
                                </a:cubicBezTo>
                                <a:lnTo>
                                  <a:pt x="76601" y="38485"/>
                                </a:lnTo>
                                <a:cubicBezTo>
                                  <a:pt x="72152" y="28632"/>
                                  <a:pt x="65363" y="23691"/>
                                  <a:pt x="56404" y="23691"/>
                                </a:cubicBezTo>
                                <a:cubicBezTo>
                                  <a:pt x="40471" y="23691"/>
                                  <a:pt x="32527" y="34467"/>
                                  <a:pt x="32527" y="55865"/>
                                </a:cubicBezTo>
                                <a:cubicBezTo>
                                  <a:pt x="32527" y="77278"/>
                                  <a:pt x="40471" y="87977"/>
                                  <a:pt x="56404" y="87977"/>
                                </a:cubicBezTo>
                                <a:cubicBezTo>
                                  <a:pt x="66872" y="87977"/>
                                  <a:pt x="74384" y="82743"/>
                                  <a:pt x="78894" y="72351"/>
                                </a:cubicBezTo>
                                <a:lnTo>
                                  <a:pt x="100954" y="84067"/>
                                </a:lnTo>
                                <a:cubicBezTo>
                                  <a:pt x="90440" y="102770"/>
                                  <a:pt x="74676" y="112099"/>
                                  <a:pt x="53633" y="112099"/>
                                </a:cubicBezTo>
                                <a:cubicBezTo>
                                  <a:pt x="37407" y="112099"/>
                                  <a:pt x="24415" y="107096"/>
                                  <a:pt x="14670" y="97182"/>
                                </a:cubicBezTo>
                                <a:cubicBezTo>
                                  <a:pt x="4864" y="87253"/>
                                  <a:pt x="0" y="73491"/>
                                  <a:pt x="0" y="56049"/>
                                </a:cubicBezTo>
                                <a:cubicBezTo>
                                  <a:pt x="0" y="38854"/>
                                  <a:pt x="5049" y="25200"/>
                                  <a:pt x="15086" y="15163"/>
                                </a:cubicBezTo>
                                <a:cubicBezTo>
                                  <a:pt x="25138" y="5064"/>
                                  <a:pt x="37700" y="0"/>
                                  <a:pt x="527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 name="Shape 36"/>
                        <wps:cNvSpPr/>
                        <wps:spPr>
                          <a:xfrm>
                            <a:off x="60791" y="45166"/>
                            <a:ext cx="232658" cy="361159"/>
                          </a:xfrm>
                          <a:custGeom>
                            <a:avLst/>
                            <a:gdLst/>
                            <a:ahLst/>
                            <a:cxnLst/>
                            <a:rect l="0" t="0" r="0" b="0"/>
                            <a:pathLst>
                              <a:path w="232658" h="361159">
                                <a:moveTo>
                                  <a:pt x="180156" y="0"/>
                                </a:moveTo>
                                <a:cubicBezTo>
                                  <a:pt x="192787" y="0"/>
                                  <a:pt x="204932" y="1089"/>
                                  <a:pt x="216591" y="3269"/>
                                </a:cubicBezTo>
                                <a:lnTo>
                                  <a:pt x="232658" y="7973"/>
                                </a:lnTo>
                                <a:lnTo>
                                  <a:pt x="232658" y="41818"/>
                                </a:lnTo>
                                <a:lnTo>
                                  <a:pt x="210220" y="35163"/>
                                </a:lnTo>
                                <a:cubicBezTo>
                                  <a:pt x="200743" y="33365"/>
                                  <a:pt x="190886" y="32466"/>
                                  <a:pt x="180649" y="32466"/>
                                </a:cubicBezTo>
                                <a:cubicBezTo>
                                  <a:pt x="139747" y="32466"/>
                                  <a:pt x="105049" y="46951"/>
                                  <a:pt x="76801" y="75816"/>
                                </a:cubicBezTo>
                                <a:cubicBezTo>
                                  <a:pt x="47275" y="105649"/>
                                  <a:pt x="32527" y="140578"/>
                                  <a:pt x="32527" y="180634"/>
                                </a:cubicBezTo>
                                <a:cubicBezTo>
                                  <a:pt x="32527" y="220689"/>
                                  <a:pt x="47152" y="255264"/>
                                  <a:pt x="76308" y="284482"/>
                                </a:cubicBezTo>
                                <a:cubicBezTo>
                                  <a:pt x="105542" y="313699"/>
                                  <a:pt x="140286" y="328263"/>
                                  <a:pt x="180649" y="328263"/>
                                </a:cubicBezTo>
                                <a:cubicBezTo>
                                  <a:pt x="190736" y="328263"/>
                                  <a:pt x="200496" y="327342"/>
                                  <a:pt x="209928" y="325500"/>
                                </a:cubicBezTo>
                                <a:lnTo>
                                  <a:pt x="232658" y="318597"/>
                                </a:lnTo>
                                <a:lnTo>
                                  <a:pt x="232658" y="352830"/>
                                </a:lnTo>
                                <a:lnTo>
                                  <a:pt x="216136" y="357798"/>
                                </a:lnTo>
                                <a:cubicBezTo>
                                  <a:pt x="204554" y="360039"/>
                                  <a:pt x="192560" y="361159"/>
                                  <a:pt x="180156" y="361159"/>
                                </a:cubicBezTo>
                                <a:cubicBezTo>
                                  <a:pt x="131095" y="361159"/>
                                  <a:pt x="88824" y="343410"/>
                                  <a:pt x="53279" y="307881"/>
                                </a:cubicBezTo>
                                <a:cubicBezTo>
                                  <a:pt x="17795" y="272336"/>
                                  <a:pt x="0" y="229941"/>
                                  <a:pt x="0" y="180572"/>
                                </a:cubicBezTo>
                                <a:cubicBezTo>
                                  <a:pt x="0" y="131204"/>
                                  <a:pt x="17795" y="88454"/>
                                  <a:pt x="53279" y="52370"/>
                                </a:cubicBezTo>
                                <a:cubicBezTo>
                                  <a:pt x="87915" y="17426"/>
                                  <a:pt x="130187" y="0"/>
                                  <a:pt x="1801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 name="Shape 37"/>
                        <wps:cNvSpPr/>
                        <wps:spPr>
                          <a:xfrm>
                            <a:off x="293449" y="242040"/>
                            <a:ext cx="50392" cy="39748"/>
                          </a:xfrm>
                          <a:custGeom>
                            <a:avLst/>
                            <a:gdLst/>
                            <a:ahLst/>
                            <a:cxnLst/>
                            <a:rect l="0" t="0" r="0" b="0"/>
                            <a:pathLst>
                              <a:path w="50392" h="39748">
                                <a:moveTo>
                                  <a:pt x="27840" y="0"/>
                                </a:moveTo>
                                <a:lnTo>
                                  <a:pt x="50392" y="11716"/>
                                </a:lnTo>
                                <a:cubicBezTo>
                                  <a:pt x="39924" y="30419"/>
                                  <a:pt x="24176" y="39748"/>
                                  <a:pt x="3133" y="39748"/>
                                </a:cubicBezTo>
                                <a:lnTo>
                                  <a:pt x="0" y="39212"/>
                                </a:lnTo>
                                <a:lnTo>
                                  <a:pt x="0" y="13113"/>
                                </a:lnTo>
                                <a:lnTo>
                                  <a:pt x="5719" y="15625"/>
                                </a:lnTo>
                                <a:cubicBezTo>
                                  <a:pt x="16294" y="15625"/>
                                  <a:pt x="23637" y="10392"/>
                                  <a:pt x="278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 name="Shape 38"/>
                        <wps:cNvSpPr/>
                        <wps:spPr>
                          <a:xfrm>
                            <a:off x="293449" y="169689"/>
                            <a:ext cx="49977" cy="38485"/>
                          </a:xfrm>
                          <a:custGeom>
                            <a:avLst/>
                            <a:gdLst/>
                            <a:ahLst/>
                            <a:cxnLst/>
                            <a:rect l="0" t="0" r="0" b="0"/>
                            <a:pathLst>
                              <a:path w="49977" h="38485">
                                <a:moveTo>
                                  <a:pt x="2286" y="0"/>
                                </a:moveTo>
                                <a:cubicBezTo>
                                  <a:pt x="24469" y="0"/>
                                  <a:pt x="40355" y="8728"/>
                                  <a:pt x="49977" y="26231"/>
                                </a:cubicBezTo>
                                <a:lnTo>
                                  <a:pt x="25623" y="38485"/>
                                </a:lnTo>
                                <a:cubicBezTo>
                                  <a:pt x="21113" y="28632"/>
                                  <a:pt x="14432" y="23691"/>
                                  <a:pt x="5719" y="23691"/>
                                </a:cubicBezTo>
                                <a:lnTo>
                                  <a:pt x="0" y="26215"/>
                                </a:lnTo>
                                <a:lnTo>
                                  <a:pt x="0" y="414"/>
                                </a:lnTo>
                                <a:lnTo>
                                  <a:pt x="22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 name="Shape 39"/>
                        <wps:cNvSpPr/>
                        <wps:spPr>
                          <a:xfrm>
                            <a:off x="293449" y="53139"/>
                            <a:ext cx="128024" cy="344856"/>
                          </a:xfrm>
                          <a:custGeom>
                            <a:avLst/>
                            <a:gdLst/>
                            <a:ahLst/>
                            <a:cxnLst/>
                            <a:rect l="0" t="0" r="0" b="0"/>
                            <a:pathLst>
                              <a:path w="128024" h="344856">
                                <a:moveTo>
                                  <a:pt x="0" y="0"/>
                                </a:moveTo>
                                <a:lnTo>
                                  <a:pt x="17447" y="5108"/>
                                </a:lnTo>
                                <a:cubicBezTo>
                                  <a:pt x="38816" y="13832"/>
                                  <a:pt x="58236" y="26925"/>
                                  <a:pt x="75700" y="44397"/>
                                </a:cubicBezTo>
                                <a:cubicBezTo>
                                  <a:pt x="110583" y="79280"/>
                                  <a:pt x="128024" y="122030"/>
                                  <a:pt x="128024" y="172599"/>
                                </a:cubicBezTo>
                                <a:cubicBezTo>
                                  <a:pt x="128024" y="223169"/>
                                  <a:pt x="110891" y="265440"/>
                                  <a:pt x="76547" y="299477"/>
                                </a:cubicBezTo>
                                <a:cubicBezTo>
                                  <a:pt x="58359" y="317364"/>
                                  <a:pt x="38500" y="330792"/>
                                  <a:pt x="16987" y="339747"/>
                                </a:cubicBezTo>
                                <a:lnTo>
                                  <a:pt x="0" y="344856"/>
                                </a:lnTo>
                                <a:lnTo>
                                  <a:pt x="0" y="310624"/>
                                </a:lnTo>
                                <a:lnTo>
                                  <a:pt x="4580" y="309233"/>
                                </a:lnTo>
                                <a:cubicBezTo>
                                  <a:pt x="22129" y="301859"/>
                                  <a:pt x="38362" y="290794"/>
                                  <a:pt x="53271" y="276031"/>
                                </a:cubicBezTo>
                                <a:cubicBezTo>
                                  <a:pt x="81535" y="248661"/>
                                  <a:pt x="95728" y="214209"/>
                                  <a:pt x="95728" y="172661"/>
                                </a:cubicBezTo>
                                <a:cubicBezTo>
                                  <a:pt x="95728" y="131404"/>
                                  <a:pt x="81304" y="96413"/>
                                  <a:pt x="52563" y="67673"/>
                                </a:cubicBezTo>
                                <a:cubicBezTo>
                                  <a:pt x="38184" y="53272"/>
                                  <a:pt x="22279" y="42477"/>
                                  <a:pt x="4849" y="35282"/>
                                </a:cubicBezTo>
                                <a:lnTo>
                                  <a:pt x="0" y="338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 name="Shape 40"/>
                        <wps:cNvSpPr/>
                        <wps:spPr>
                          <a:xfrm>
                            <a:off x="473675" y="51770"/>
                            <a:ext cx="247921" cy="247998"/>
                          </a:xfrm>
                          <a:custGeom>
                            <a:avLst/>
                            <a:gdLst/>
                            <a:ahLst/>
                            <a:cxnLst/>
                            <a:rect l="0" t="0" r="0" b="0"/>
                            <a:pathLst>
                              <a:path w="247921" h="247998">
                                <a:moveTo>
                                  <a:pt x="123984" y="0"/>
                                </a:moveTo>
                                <a:cubicBezTo>
                                  <a:pt x="192425" y="0"/>
                                  <a:pt x="247921" y="55511"/>
                                  <a:pt x="247921" y="123999"/>
                                </a:cubicBezTo>
                                <a:cubicBezTo>
                                  <a:pt x="247921" y="192487"/>
                                  <a:pt x="192425" y="247998"/>
                                  <a:pt x="123984" y="247998"/>
                                </a:cubicBezTo>
                                <a:cubicBezTo>
                                  <a:pt x="55495" y="247998"/>
                                  <a:pt x="0" y="192487"/>
                                  <a:pt x="0" y="123999"/>
                                </a:cubicBezTo>
                                <a:cubicBezTo>
                                  <a:pt x="0" y="55511"/>
                                  <a:pt x="55495" y="0"/>
                                  <a:pt x="1239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 name="Shape 41"/>
                        <wps:cNvSpPr/>
                        <wps:spPr>
                          <a:xfrm>
                            <a:off x="561467" y="131265"/>
                            <a:ext cx="72029" cy="128201"/>
                          </a:xfrm>
                          <a:custGeom>
                            <a:avLst/>
                            <a:gdLst/>
                            <a:ahLst/>
                            <a:cxnLst/>
                            <a:rect l="0" t="0" r="0" b="0"/>
                            <a:pathLst>
                              <a:path w="72029" h="128201">
                                <a:moveTo>
                                  <a:pt x="8651" y="0"/>
                                </a:moveTo>
                                <a:lnTo>
                                  <a:pt x="63377" y="0"/>
                                </a:lnTo>
                                <a:cubicBezTo>
                                  <a:pt x="68180" y="0"/>
                                  <a:pt x="72029" y="3849"/>
                                  <a:pt x="72029" y="8606"/>
                                </a:cubicBezTo>
                                <a:lnTo>
                                  <a:pt x="72029" y="63393"/>
                                </a:lnTo>
                                <a:lnTo>
                                  <a:pt x="56758" y="63393"/>
                                </a:lnTo>
                                <a:lnTo>
                                  <a:pt x="56758" y="128201"/>
                                </a:lnTo>
                                <a:lnTo>
                                  <a:pt x="15271" y="128201"/>
                                </a:lnTo>
                                <a:lnTo>
                                  <a:pt x="15271" y="63393"/>
                                </a:lnTo>
                                <a:lnTo>
                                  <a:pt x="0" y="63393"/>
                                </a:lnTo>
                                <a:lnTo>
                                  <a:pt x="0" y="8606"/>
                                </a:lnTo>
                                <a:cubicBezTo>
                                  <a:pt x="0" y="3849"/>
                                  <a:pt x="3848" y="0"/>
                                  <a:pt x="86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 name="Shape 42"/>
                        <wps:cNvSpPr/>
                        <wps:spPr>
                          <a:xfrm>
                            <a:off x="578785" y="86592"/>
                            <a:ext cx="37454" cy="37469"/>
                          </a:xfrm>
                          <a:custGeom>
                            <a:avLst/>
                            <a:gdLst/>
                            <a:ahLst/>
                            <a:cxnLst/>
                            <a:rect l="0" t="0" r="0" b="0"/>
                            <a:pathLst>
                              <a:path w="37454" h="37469">
                                <a:moveTo>
                                  <a:pt x="18688" y="0"/>
                                </a:moveTo>
                                <a:cubicBezTo>
                                  <a:pt x="29033" y="0"/>
                                  <a:pt x="37454" y="8359"/>
                                  <a:pt x="37454" y="18704"/>
                                </a:cubicBezTo>
                                <a:cubicBezTo>
                                  <a:pt x="37454" y="29049"/>
                                  <a:pt x="29033" y="37469"/>
                                  <a:pt x="18688" y="37469"/>
                                </a:cubicBezTo>
                                <a:cubicBezTo>
                                  <a:pt x="8359" y="37469"/>
                                  <a:pt x="0" y="29049"/>
                                  <a:pt x="0" y="18704"/>
                                </a:cubicBezTo>
                                <a:cubicBezTo>
                                  <a:pt x="0" y="8359"/>
                                  <a:pt x="8359" y="0"/>
                                  <a:pt x="186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 name="Shape 43"/>
                        <wps:cNvSpPr/>
                        <wps:spPr>
                          <a:xfrm>
                            <a:off x="463622" y="39147"/>
                            <a:ext cx="133859" cy="267779"/>
                          </a:xfrm>
                          <a:custGeom>
                            <a:avLst/>
                            <a:gdLst/>
                            <a:ahLst/>
                            <a:cxnLst/>
                            <a:rect l="0" t="0" r="0" b="0"/>
                            <a:pathLst>
                              <a:path w="133859" h="267779">
                                <a:moveTo>
                                  <a:pt x="133682" y="0"/>
                                </a:moveTo>
                                <a:lnTo>
                                  <a:pt x="133859" y="16"/>
                                </a:lnTo>
                                <a:lnTo>
                                  <a:pt x="133859" y="24141"/>
                                </a:lnTo>
                                <a:lnTo>
                                  <a:pt x="91980" y="32139"/>
                                </a:lnTo>
                                <a:cubicBezTo>
                                  <a:pt x="79125" y="37492"/>
                                  <a:pt x="67442" y="45520"/>
                                  <a:pt x="56943" y="56219"/>
                                </a:cubicBezTo>
                                <a:cubicBezTo>
                                  <a:pt x="35068" y="78356"/>
                                  <a:pt x="24123" y="104202"/>
                                  <a:pt x="24123" y="133913"/>
                                </a:cubicBezTo>
                                <a:cubicBezTo>
                                  <a:pt x="24123" y="163561"/>
                                  <a:pt x="34945" y="189239"/>
                                  <a:pt x="56589" y="210883"/>
                                </a:cubicBezTo>
                                <a:cubicBezTo>
                                  <a:pt x="67442" y="221705"/>
                                  <a:pt x="79318" y="229810"/>
                                  <a:pt x="92224" y="235210"/>
                                </a:cubicBezTo>
                                <a:lnTo>
                                  <a:pt x="133859" y="243269"/>
                                </a:lnTo>
                                <a:lnTo>
                                  <a:pt x="133859" y="267763"/>
                                </a:lnTo>
                                <a:lnTo>
                                  <a:pt x="133682" y="267779"/>
                                </a:lnTo>
                                <a:cubicBezTo>
                                  <a:pt x="97306" y="267779"/>
                                  <a:pt x="65902" y="254602"/>
                                  <a:pt x="39517" y="228263"/>
                                </a:cubicBezTo>
                                <a:cubicBezTo>
                                  <a:pt x="13177" y="201923"/>
                                  <a:pt x="0" y="170473"/>
                                  <a:pt x="0" y="133913"/>
                                </a:cubicBezTo>
                                <a:cubicBezTo>
                                  <a:pt x="0" y="97290"/>
                                  <a:pt x="13177" y="65609"/>
                                  <a:pt x="39517" y="38839"/>
                                </a:cubicBezTo>
                                <a:cubicBezTo>
                                  <a:pt x="65240" y="12992"/>
                                  <a:pt x="96644" y="0"/>
                                  <a:pt x="13368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 name="Shape 44"/>
                        <wps:cNvSpPr/>
                        <wps:spPr>
                          <a:xfrm>
                            <a:off x="597481" y="39164"/>
                            <a:ext cx="133921" cy="267746"/>
                          </a:xfrm>
                          <a:custGeom>
                            <a:avLst/>
                            <a:gdLst/>
                            <a:ahLst/>
                            <a:cxnLst/>
                            <a:rect l="0" t="0" r="0" b="0"/>
                            <a:pathLst>
                              <a:path w="133921" h="267746">
                                <a:moveTo>
                                  <a:pt x="0" y="0"/>
                                </a:moveTo>
                                <a:lnTo>
                                  <a:pt x="26904" y="2418"/>
                                </a:lnTo>
                                <a:cubicBezTo>
                                  <a:pt x="52886" y="7283"/>
                                  <a:pt x="75573" y="19438"/>
                                  <a:pt x="95004" y="38822"/>
                                </a:cubicBezTo>
                                <a:cubicBezTo>
                                  <a:pt x="120928" y="64684"/>
                                  <a:pt x="133921" y="96381"/>
                                  <a:pt x="133921" y="133896"/>
                                </a:cubicBezTo>
                                <a:cubicBezTo>
                                  <a:pt x="133921" y="171366"/>
                                  <a:pt x="121174" y="202692"/>
                                  <a:pt x="95666" y="227892"/>
                                </a:cubicBezTo>
                                <a:cubicBezTo>
                                  <a:pt x="75415" y="247820"/>
                                  <a:pt x="52359" y="260283"/>
                                  <a:pt x="26549" y="265269"/>
                                </a:cubicBezTo>
                                <a:lnTo>
                                  <a:pt x="0" y="267746"/>
                                </a:lnTo>
                                <a:lnTo>
                                  <a:pt x="0" y="243253"/>
                                </a:lnTo>
                                <a:lnTo>
                                  <a:pt x="177" y="243287"/>
                                </a:lnTo>
                                <a:cubicBezTo>
                                  <a:pt x="30134" y="243287"/>
                                  <a:pt x="56165" y="232403"/>
                                  <a:pt x="78240" y="210513"/>
                                </a:cubicBezTo>
                                <a:cubicBezTo>
                                  <a:pt x="99284" y="190177"/>
                                  <a:pt x="109736" y="164623"/>
                                  <a:pt x="109736" y="133896"/>
                                </a:cubicBezTo>
                                <a:cubicBezTo>
                                  <a:pt x="109736" y="103293"/>
                                  <a:pt x="99037" y="77431"/>
                                  <a:pt x="77578" y="56203"/>
                                </a:cubicBezTo>
                                <a:cubicBezTo>
                                  <a:pt x="56350" y="34805"/>
                                  <a:pt x="30549" y="24091"/>
                                  <a:pt x="177" y="24091"/>
                                </a:cubicBezTo>
                                <a:lnTo>
                                  <a:pt x="0" y="2412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 name="Shape 45"/>
                        <wps:cNvSpPr/>
                        <wps:spPr>
                          <a:xfrm>
                            <a:off x="522797" y="378109"/>
                            <a:ext cx="32081" cy="76432"/>
                          </a:xfrm>
                          <a:custGeom>
                            <a:avLst/>
                            <a:gdLst/>
                            <a:ahLst/>
                            <a:cxnLst/>
                            <a:rect l="0" t="0" r="0" b="0"/>
                            <a:pathLst>
                              <a:path w="32081" h="76432">
                                <a:moveTo>
                                  <a:pt x="0" y="0"/>
                                </a:moveTo>
                                <a:lnTo>
                                  <a:pt x="32081" y="0"/>
                                </a:lnTo>
                                <a:lnTo>
                                  <a:pt x="32081" y="13054"/>
                                </a:lnTo>
                                <a:lnTo>
                                  <a:pt x="16841" y="13054"/>
                                </a:lnTo>
                                <a:lnTo>
                                  <a:pt x="16841" y="30911"/>
                                </a:lnTo>
                                <a:lnTo>
                                  <a:pt x="32081" y="30911"/>
                                </a:lnTo>
                                <a:lnTo>
                                  <a:pt x="32081" y="42395"/>
                                </a:lnTo>
                                <a:lnTo>
                                  <a:pt x="16841" y="42395"/>
                                </a:lnTo>
                                <a:lnTo>
                                  <a:pt x="16841" y="63331"/>
                                </a:lnTo>
                                <a:lnTo>
                                  <a:pt x="32081" y="63331"/>
                                </a:lnTo>
                                <a:lnTo>
                                  <a:pt x="32081" y="76432"/>
                                </a:lnTo>
                                <a:lnTo>
                                  <a:pt x="0" y="7643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 name="Shape 46"/>
                        <wps:cNvSpPr/>
                        <wps:spPr>
                          <a:xfrm>
                            <a:off x="554878" y="378109"/>
                            <a:ext cx="32081" cy="76432"/>
                          </a:xfrm>
                          <a:custGeom>
                            <a:avLst/>
                            <a:gdLst/>
                            <a:ahLst/>
                            <a:cxnLst/>
                            <a:rect l="0" t="0" r="0" b="0"/>
                            <a:pathLst>
                              <a:path w="32081" h="76432">
                                <a:moveTo>
                                  <a:pt x="0" y="0"/>
                                </a:moveTo>
                                <a:lnTo>
                                  <a:pt x="3941" y="0"/>
                                </a:lnTo>
                                <a:cubicBezTo>
                                  <a:pt x="7605" y="0"/>
                                  <a:pt x="10914" y="308"/>
                                  <a:pt x="13916" y="970"/>
                                </a:cubicBezTo>
                                <a:cubicBezTo>
                                  <a:pt x="16933" y="1570"/>
                                  <a:pt x="19504" y="2648"/>
                                  <a:pt x="21613" y="4095"/>
                                </a:cubicBezTo>
                                <a:cubicBezTo>
                                  <a:pt x="23784" y="5542"/>
                                  <a:pt x="25462" y="7527"/>
                                  <a:pt x="26601" y="9929"/>
                                </a:cubicBezTo>
                                <a:cubicBezTo>
                                  <a:pt x="27817" y="12330"/>
                                  <a:pt x="28417" y="15348"/>
                                  <a:pt x="28417" y="18950"/>
                                </a:cubicBezTo>
                                <a:cubicBezTo>
                                  <a:pt x="28417" y="22799"/>
                                  <a:pt x="27509" y="25985"/>
                                  <a:pt x="25770" y="28571"/>
                                </a:cubicBezTo>
                                <a:cubicBezTo>
                                  <a:pt x="24015" y="31096"/>
                                  <a:pt x="21444" y="33205"/>
                                  <a:pt x="18011" y="34883"/>
                                </a:cubicBezTo>
                                <a:cubicBezTo>
                                  <a:pt x="22706" y="36206"/>
                                  <a:pt x="26247" y="38608"/>
                                  <a:pt x="28587" y="41980"/>
                                </a:cubicBezTo>
                                <a:cubicBezTo>
                                  <a:pt x="30942" y="45412"/>
                                  <a:pt x="32081" y="49492"/>
                                  <a:pt x="32081" y="54249"/>
                                </a:cubicBezTo>
                                <a:cubicBezTo>
                                  <a:pt x="32081" y="58097"/>
                                  <a:pt x="31296" y="61468"/>
                                  <a:pt x="29787" y="64285"/>
                                </a:cubicBezTo>
                                <a:cubicBezTo>
                                  <a:pt x="28294" y="67118"/>
                                  <a:pt x="26308" y="69397"/>
                                  <a:pt x="23722" y="71213"/>
                                </a:cubicBezTo>
                                <a:cubicBezTo>
                                  <a:pt x="21198" y="72952"/>
                                  <a:pt x="18304" y="74276"/>
                                  <a:pt x="15055" y="75108"/>
                                </a:cubicBezTo>
                                <a:cubicBezTo>
                                  <a:pt x="11807" y="76016"/>
                                  <a:pt x="8451" y="76432"/>
                                  <a:pt x="5018" y="76432"/>
                                </a:cubicBezTo>
                                <a:lnTo>
                                  <a:pt x="0" y="76432"/>
                                </a:lnTo>
                                <a:lnTo>
                                  <a:pt x="0" y="63331"/>
                                </a:lnTo>
                                <a:lnTo>
                                  <a:pt x="2802" y="63331"/>
                                </a:lnTo>
                                <a:cubicBezTo>
                                  <a:pt x="4418" y="63331"/>
                                  <a:pt x="5988" y="63208"/>
                                  <a:pt x="7481" y="62854"/>
                                </a:cubicBezTo>
                                <a:cubicBezTo>
                                  <a:pt x="8990" y="62546"/>
                                  <a:pt x="10314" y="62007"/>
                                  <a:pt x="11453" y="61284"/>
                                </a:cubicBezTo>
                                <a:cubicBezTo>
                                  <a:pt x="12592" y="60499"/>
                                  <a:pt x="13500" y="59482"/>
                                  <a:pt x="14224" y="58220"/>
                                </a:cubicBezTo>
                                <a:cubicBezTo>
                                  <a:pt x="14886" y="56958"/>
                                  <a:pt x="15240" y="55265"/>
                                  <a:pt x="15240" y="53279"/>
                                </a:cubicBezTo>
                                <a:cubicBezTo>
                                  <a:pt x="15240" y="49384"/>
                                  <a:pt x="14101" y="46551"/>
                                  <a:pt x="11869" y="44873"/>
                                </a:cubicBezTo>
                                <a:cubicBezTo>
                                  <a:pt x="9652" y="43180"/>
                                  <a:pt x="6758" y="42395"/>
                                  <a:pt x="3094" y="42395"/>
                                </a:cubicBezTo>
                                <a:lnTo>
                                  <a:pt x="0" y="42395"/>
                                </a:lnTo>
                                <a:lnTo>
                                  <a:pt x="0" y="30911"/>
                                </a:lnTo>
                                <a:lnTo>
                                  <a:pt x="1770" y="30911"/>
                                </a:lnTo>
                                <a:cubicBezTo>
                                  <a:pt x="4772" y="30911"/>
                                  <a:pt x="7250" y="30187"/>
                                  <a:pt x="9175" y="28756"/>
                                </a:cubicBezTo>
                                <a:cubicBezTo>
                                  <a:pt x="11099" y="27309"/>
                                  <a:pt x="12054" y="25030"/>
                                  <a:pt x="12054" y="21829"/>
                                </a:cubicBezTo>
                                <a:cubicBezTo>
                                  <a:pt x="12054" y="20027"/>
                                  <a:pt x="11761" y="18596"/>
                                  <a:pt x="11099" y="17442"/>
                                </a:cubicBezTo>
                                <a:cubicBezTo>
                                  <a:pt x="10499" y="16302"/>
                                  <a:pt x="9591" y="15394"/>
                                  <a:pt x="8574" y="14747"/>
                                </a:cubicBezTo>
                                <a:cubicBezTo>
                                  <a:pt x="7481" y="14132"/>
                                  <a:pt x="6219" y="13654"/>
                                  <a:pt x="4834" y="13423"/>
                                </a:cubicBezTo>
                                <a:cubicBezTo>
                                  <a:pt x="3464" y="13177"/>
                                  <a:pt x="2017" y="13054"/>
                                  <a:pt x="508" y="13054"/>
                                </a:cubicBezTo>
                                <a:lnTo>
                                  <a:pt x="0" y="1305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7" name="Shape 47"/>
                        <wps:cNvSpPr/>
                        <wps:spPr>
                          <a:xfrm>
                            <a:off x="589900" y="378109"/>
                            <a:ext cx="73306" cy="76432"/>
                          </a:xfrm>
                          <a:custGeom>
                            <a:avLst/>
                            <a:gdLst/>
                            <a:ahLst/>
                            <a:cxnLst/>
                            <a:rect l="0" t="0" r="0" b="0"/>
                            <a:pathLst>
                              <a:path w="73306" h="76432">
                                <a:moveTo>
                                  <a:pt x="0" y="0"/>
                                </a:moveTo>
                                <a:lnTo>
                                  <a:pt x="18888" y="0"/>
                                </a:lnTo>
                                <a:lnTo>
                                  <a:pt x="36745" y="30187"/>
                                </a:lnTo>
                                <a:lnTo>
                                  <a:pt x="54602" y="0"/>
                                </a:lnTo>
                                <a:lnTo>
                                  <a:pt x="73306" y="0"/>
                                </a:lnTo>
                                <a:lnTo>
                                  <a:pt x="44920" y="47090"/>
                                </a:lnTo>
                                <a:lnTo>
                                  <a:pt x="44920" y="76432"/>
                                </a:lnTo>
                                <a:lnTo>
                                  <a:pt x="28094" y="76432"/>
                                </a:lnTo>
                                <a:lnTo>
                                  <a:pt x="28094" y="4667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 name="Shape 48"/>
                        <wps:cNvSpPr/>
                        <wps:spPr>
                          <a:xfrm>
                            <a:off x="1118778" y="376200"/>
                            <a:ext cx="64393" cy="80034"/>
                          </a:xfrm>
                          <a:custGeom>
                            <a:avLst/>
                            <a:gdLst/>
                            <a:ahLst/>
                            <a:cxnLst/>
                            <a:rect l="0" t="0" r="0" b="0"/>
                            <a:pathLst>
                              <a:path w="64393" h="80034">
                                <a:moveTo>
                                  <a:pt x="31204" y="0"/>
                                </a:moveTo>
                                <a:cubicBezTo>
                                  <a:pt x="35237" y="0"/>
                                  <a:pt x="39086" y="477"/>
                                  <a:pt x="42749" y="1370"/>
                                </a:cubicBezTo>
                                <a:cubicBezTo>
                                  <a:pt x="46413" y="2217"/>
                                  <a:pt x="49661" y="3725"/>
                                  <a:pt x="52494" y="5711"/>
                                </a:cubicBezTo>
                                <a:cubicBezTo>
                                  <a:pt x="55373" y="7697"/>
                                  <a:pt x="57666" y="10222"/>
                                  <a:pt x="59344" y="13347"/>
                                </a:cubicBezTo>
                                <a:cubicBezTo>
                                  <a:pt x="60976" y="16472"/>
                                  <a:pt x="61807" y="20197"/>
                                  <a:pt x="61807" y="24646"/>
                                </a:cubicBezTo>
                                <a:lnTo>
                                  <a:pt x="45520" y="24646"/>
                                </a:lnTo>
                                <a:cubicBezTo>
                                  <a:pt x="45397" y="22368"/>
                                  <a:pt x="44920" y="20505"/>
                                  <a:pt x="44073" y="18997"/>
                                </a:cubicBezTo>
                                <a:cubicBezTo>
                                  <a:pt x="43226" y="17488"/>
                                  <a:pt x="42149" y="16287"/>
                                  <a:pt x="40825" y="15440"/>
                                </a:cubicBezTo>
                                <a:cubicBezTo>
                                  <a:pt x="39501" y="14609"/>
                                  <a:pt x="37947" y="14008"/>
                                  <a:pt x="36192" y="13639"/>
                                </a:cubicBezTo>
                                <a:cubicBezTo>
                                  <a:pt x="34452" y="13285"/>
                                  <a:pt x="32527" y="13101"/>
                                  <a:pt x="30480" y="13101"/>
                                </a:cubicBezTo>
                                <a:cubicBezTo>
                                  <a:pt x="29156" y="13101"/>
                                  <a:pt x="27771" y="13224"/>
                                  <a:pt x="26462" y="13516"/>
                                </a:cubicBezTo>
                                <a:cubicBezTo>
                                  <a:pt x="25077" y="13824"/>
                                  <a:pt x="23876" y="14301"/>
                                  <a:pt x="22783" y="15025"/>
                                </a:cubicBezTo>
                                <a:cubicBezTo>
                                  <a:pt x="21644" y="15749"/>
                                  <a:pt x="20736" y="16656"/>
                                  <a:pt x="20027" y="17673"/>
                                </a:cubicBezTo>
                                <a:cubicBezTo>
                                  <a:pt x="19366" y="18750"/>
                                  <a:pt x="18997" y="20136"/>
                                  <a:pt x="18997" y="21768"/>
                                </a:cubicBezTo>
                                <a:cubicBezTo>
                                  <a:pt x="18997" y="23261"/>
                                  <a:pt x="19243" y="24461"/>
                                  <a:pt x="19843" y="25431"/>
                                </a:cubicBezTo>
                                <a:cubicBezTo>
                                  <a:pt x="20382" y="26324"/>
                                  <a:pt x="21521" y="27170"/>
                                  <a:pt x="23214" y="27956"/>
                                </a:cubicBezTo>
                                <a:cubicBezTo>
                                  <a:pt x="24892" y="28741"/>
                                  <a:pt x="27170" y="29572"/>
                                  <a:pt x="30126" y="30357"/>
                                </a:cubicBezTo>
                                <a:cubicBezTo>
                                  <a:pt x="33128" y="31142"/>
                                  <a:pt x="36977" y="32096"/>
                                  <a:pt x="41795" y="33313"/>
                                </a:cubicBezTo>
                                <a:cubicBezTo>
                                  <a:pt x="43165" y="33606"/>
                                  <a:pt x="45151" y="34144"/>
                                  <a:pt x="47675" y="34868"/>
                                </a:cubicBezTo>
                                <a:cubicBezTo>
                                  <a:pt x="50216" y="35653"/>
                                  <a:pt x="52740" y="36854"/>
                                  <a:pt x="55265" y="38485"/>
                                </a:cubicBezTo>
                                <a:cubicBezTo>
                                  <a:pt x="57728" y="40101"/>
                                  <a:pt x="59883" y="42334"/>
                                  <a:pt x="61699" y="45089"/>
                                </a:cubicBezTo>
                                <a:cubicBezTo>
                                  <a:pt x="63501" y="47799"/>
                                  <a:pt x="64393" y="51340"/>
                                  <a:pt x="64393" y="55619"/>
                                </a:cubicBezTo>
                                <a:cubicBezTo>
                                  <a:pt x="64393" y="59098"/>
                                  <a:pt x="63731" y="62346"/>
                                  <a:pt x="62408" y="65363"/>
                                </a:cubicBezTo>
                                <a:cubicBezTo>
                                  <a:pt x="61037" y="68365"/>
                                  <a:pt x="58990" y="70951"/>
                                  <a:pt x="56342" y="73122"/>
                                </a:cubicBezTo>
                                <a:cubicBezTo>
                                  <a:pt x="53633" y="75339"/>
                                  <a:pt x="50323" y="77017"/>
                                  <a:pt x="46367" y="78232"/>
                                </a:cubicBezTo>
                                <a:cubicBezTo>
                                  <a:pt x="42457" y="79434"/>
                                  <a:pt x="37823" y="80034"/>
                                  <a:pt x="32589" y="80034"/>
                                </a:cubicBezTo>
                                <a:cubicBezTo>
                                  <a:pt x="28387" y="80034"/>
                                  <a:pt x="24354" y="79495"/>
                                  <a:pt x="20382" y="78463"/>
                                </a:cubicBezTo>
                                <a:cubicBezTo>
                                  <a:pt x="16410" y="77448"/>
                                  <a:pt x="12931" y="75816"/>
                                  <a:pt x="9852" y="73599"/>
                                </a:cubicBezTo>
                                <a:cubicBezTo>
                                  <a:pt x="6850" y="71367"/>
                                  <a:pt x="4449" y="68550"/>
                                  <a:pt x="2648" y="65117"/>
                                </a:cubicBezTo>
                                <a:cubicBezTo>
                                  <a:pt x="831" y="61685"/>
                                  <a:pt x="0" y="57605"/>
                                  <a:pt x="62" y="52910"/>
                                </a:cubicBezTo>
                                <a:lnTo>
                                  <a:pt x="16349" y="52910"/>
                                </a:lnTo>
                                <a:cubicBezTo>
                                  <a:pt x="16349" y="55496"/>
                                  <a:pt x="16841" y="57666"/>
                                  <a:pt x="17796" y="59468"/>
                                </a:cubicBezTo>
                                <a:cubicBezTo>
                                  <a:pt x="18704" y="61207"/>
                                  <a:pt x="19905" y="62654"/>
                                  <a:pt x="21459" y="63793"/>
                                </a:cubicBezTo>
                                <a:cubicBezTo>
                                  <a:pt x="22968" y="64870"/>
                                  <a:pt x="24769" y="65718"/>
                                  <a:pt x="26878" y="66256"/>
                                </a:cubicBezTo>
                                <a:cubicBezTo>
                                  <a:pt x="28925" y="66795"/>
                                  <a:pt x="31019" y="67042"/>
                                  <a:pt x="33251" y="67042"/>
                                </a:cubicBezTo>
                                <a:cubicBezTo>
                                  <a:pt x="34760" y="67042"/>
                                  <a:pt x="36376" y="66918"/>
                                  <a:pt x="38054" y="66687"/>
                                </a:cubicBezTo>
                                <a:cubicBezTo>
                                  <a:pt x="39809" y="66441"/>
                                  <a:pt x="41364" y="65963"/>
                                  <a:pt x="42873" y="65240"/>
                                </a:cubicBezTo>
                                <a:cubicBezTo>
                                  <a:pt x="44381" y="64517"/>
                                  <a:pt x="45643" y="63547"/>
                                  <a:pt x="46598" y="62285"/>
                                </a:cubicBezTo>
                                <a:cubicBezTo>
                                  <a:pt x="47629" y="61023"/>
                                  <a:pt x="48106" y="59468"/>
                                  <a:pt x="48106" y="57543"/>
                                </a:cubicBezTo>
                                <a:cubicBezTo>
                                  <a:pt x="48106" y="55434"/>
                                  <a:pt x="47444" y="53756"/>
                                  <a:pt x="46120" y="52494"/>
                                </a:cubicBezTo>
                                <a:cubicBezTo>
                                  <a:pt x="44796" y="51170"/>
                                  <a:pt x="43119" y="50139"/>
                                  <a:pt x="40948" y="49246"/>
                                </a:cubicBezTo>
                                <a:cubicBezTo>
                                  <a:pt x="38839" y="48399"/>
                                  <a:pt x="36376" y="47675"/>
                                  <a:pt x="33667" y="47013"/>
                                </a:cubicBezTo>
                                <a:cubicBezTo>
                                  <a:pt x="30973" y="46351"/>
                                  <a:pt x="28202" y="45628"/>
                                  <a:pt x="25431" y="44859"/>
                                </a:cubicBezTo>
                                <a:cubicBezTo>
                                  <a:pt x="22614" y="44135"/>
                                  <a:pt x="19843" y="43288"/>
                                  <a:pt x="17072" y="42273"/>
                                </a:cubicBezTo>
                                <a:cubicBezTo>
                                  <a:pt x="14424" y="41241"/>
                                  <a:pt x="11961" y="39856"/>
                                  <a:pt x="9790" y="38239"/>
                                </a:cubicBezTo>
                                <a:cubicBezTo>
                                  <a:pt x="7697" y="36607"/>
                                  <a:pt x="5942" y="34575"/>
                                  <a:pt x="4634" y="32096"/>
                                </a:cubicBezTo>
                                <a:cubicBezTo>
                                  <a:pt x="3310" y="29634"/>
                                  <a:pt x="2648" y="26632"/>
                                  <a:pt x="2648" y="23137"/>
                                </a:cubicBezTo>
                                <a:cubicBezTo>
                                  <a:pt x="2648" y="19243"/>
                                  <a:pt x="3479" y="15810"/>
                                  <a:pt x="5173" y="12915"/>
                                </a:cubicBezTo>
                                <a:cubicBezTo>
                                  <a:pt x="6850" y="10037"/>
                                  <a:pt x="9082" y="7636"/>
                                  <a:pt x="11776" y="5650"/>
                                </a:cubicBezTo>
                                <a:cubicBezTo>
                                  <a:pt x="14486" y="3725"/>
                                  <a:pt x="17549" y="2340"/>
                                  <a:pt x="20982" y="1370"/>
                                </a:cubicBezTo>
                                <a:cubicBezTo>
                                  <a:pt x="24415" y="477"/>
                                  <a:pt x="27832" y="0"/>
                                  <a:pt x="312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 name="Shape 49"/>
                        <wps:cNvSpPr/>
                        <wps:spPr>
                          <a:xfrm>
                            <a:off x="1185095" y="378109"/>
                            <a:ext cx="37261" cy="76432"/>
                          </a:xfrm>
                          <a:custGeom>
                            <a:avLst/>
                            <a:gdLst/>
                            <a:ahLst/>
                            <a:cxnLst/>
                            <a:rect l="0" t="0" r="0" b="0"/>
                            <a:pathLst>
                              <a:path w="37261" h="76432">
                                <a:moveTo>
                                  <a:pt x="28925" y="0"/>
                                </a:moveTo>
                                <a:lnTo>
                                  <a:pt x="37261" y="0"/>
                                </a:lnTo>
                                <a:lnTo>
                                  <a:pt x="37261" y="18893"/>
                                </a:lnTo>
                                <a:lnTo>
                                  <a:pt x="27370" y="46844"/>
                                </a:lnTo>
                                <a:lnTo>
                                  <a:pt x="37261" y="46844"/>
                                </a:lnTo>
                                <a:lnTo>
                                  <a:pt x="37261" y="59421"/>
                                </a:lnTo>
                                <a:lnTo>
                                  <a:pt x="22983" y="59421"/>
                                </a:lnTo>
                                <a:lnTo>
                                  <a:pt x="16964" y="76432"/>
                                </a:lnTo>
                                <a:lnTo>
                                  <a:pt x="0" y="76432"/>
                                </a:lnTo>
                                <a:lnTo>
                                  <a:pt x="289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 name="Shape 50"/>
                        <wps:cNvSpPr/>
                        <wps:spPr>
                          <a:xfrm>
                            <a:off x="1222356" y="378109"/>
                            <a:ext cx="37554" cy="76432"/>
                          </a:xfrm>
                          <a:custGeom>
                            <a:avLst/>
                            <a:gdLst/>
                            <a:ahLst/>
                            <a:cxnLst/>
                            <a:rect l="0" t="0" r="0" b="0"/>
                            <a:pathLst>
                              <a:path w="37554" h="76432">
                                <a:moveTo>
                                  <a:pt x="0" y="0"/>
                                </a:moveTo>
                                <a:lnTo>
                                  <a:pt x="8921" y="0"/>
                                </a:lnTo>
                                <a:lnTo>
                                  <a:pt x="37554" y="76432"/>
                                </a:lnTo>
                                <a:lnTo>
                                  <a:pt x="20051" y="76432"/>
                                </a:lnTo>
                                <a:lnTo>
                                  <a:pt x="14278" y="59421"/>
                                </a:lnTo>
                                <a:lnTo>
                                  <a:pt x="0" y="59421"/>
                                </a:lnTo>
                                <a:lnTo>
                                  <a:pt x="0" y="46844"/>
                                </a:lnTo>
                                <a:lnTo>
                                  <a:pt x="9890" y="46844"/>
                                </a:lnTo>
                                <a:lnTo>
                                  <a:pt x="269" y="18827"/>
                                </a:lnTo>
                                <a:lnTo>
                                  <a:pt x="23" y="18827"/>
                                </a:lnTo>
                                <a:lnTo>
                                  <a:pt x="0" y="1889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 name="Shape 51"/>
                        <wps:cNvSpPr/>
                        <wps:spPr>
                          <a:xfrm>
                            <a:off x="820518" y="378109"/>
                            <a:ext cx="64640" cy="76432"/>
                          </a:xfrm>
                          <a:custGeom>
                            <a:avLst/>
                            <a:gdLst/>
                            <a:ahLst/>
                            <a:cxnLst/>
                            <a:rect l="0" t="0" r="0" b="0"/>
                            <a:pathLst>
                              <a:path w="64640" h="76432">
                                <a:moveTo>
                                  <a:pt x="0" y="0"/>
                                </a:moveTo>
                                <a:lnTo>
                                  <a:pt x="16718" y="0"/>
                                </a:lnTo>
                                <a:lnTo>
                                  <a:pt x="48707" y="51246"/>
                                </a:lnTo>
                                <a:lnTo>
                                  <a:pt x="48892" y="51246"/>
                                </a:lnTo>
                                <a:lnTo>
                                  <a:pt x="48892" y="0"/>
                                </a:lnTo>
                                <a:lnTo>
                                  <a:pt x="64640" y="0"/>
                                </a:lnTo>
                                <a:lnTo>
                                  <a:pt x="64640" y="76432"/>
                                </a:lnTo>
                                <a:lnTo>
                                  <a:pt x="47799" y="76432"/>
                                </a:lnTo>
                                <a:lnTo>
                                  <a:pt x="15994" y="25261"/>
                                </a:lnTo>
                                <a:lnTo>
                                  <a:pt x="15810" y="25261"/>
                                </a:lnTo>
                                <a:lnTo>
                                  <a:pt x="15810" y="76432"/>
                                </a:lnTo>
                                <a:lnTo>
                                  <a:pt x="0" y="7643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 name="Shape 52"/>
                        <wps:cNvSpPr/>
                        <wps:spPr>
                          <a:xfrm>
                            <a:off x="896580" y="376200"/>
                            <a:ext cx="71259" cy="80034"/>
                          </a:xfrm>
                          <a:custGeom>
                            <a:avLst/>
                            <a:gdLst/>
                            <a:ahLst/>
                            <a:cxnLst/>
                            <a:rect l="0" t="0" r="0" b="0"/>
                            <a:pathLst>
                              <a:path w="71259" h="80034">
                                <a:moveTo>
                                  <a:pt x="37654" y="0"/>
                                </a:moveTo>
                                <a:cubicBezTo>
                                  <a:pt x="41856" y="0"/>
                                  <a:pt x="45828" y="601"/>
                                  <a:pt x="49554" y="1863"/>
                                </a:cubicBezTo>
                                <a:cubicBezTo>
                                  <a:pt x="53341" y="3063"/>
                                  <a:pt x="56712" y="4803"/>
                                  <a:pt x="59652" y="7143"/>
                                </a:cubicBezTo>
                                <a:cubicBezTo>
                                  <a:pt x="62607" y="9437"/>
                                  <a:pt x="65071" y="12316"/>
                                  <a:pt x="66995" y="15749"/>
                                </a:cubicBezTo>
                                <a:cubicBezTo>
                                  <a:pt x="68919" y="19181"/>
                                  <a:pt x="70120" y="23137"/>
                                  <a:pt x="70597" y="27540"/>
                                </a:cubicBezTo>
                                <a:lnTo>
                                  <a:pt x="54356" y="27540"/>
                                </a:lnTo>
                                <a:cubicBezTo>
                                  <a:pt x="54064" y="25616"/>
                                  <a:pt x="53402" y="23861"/>
                                  <a:pt x="52432" y="22244"/>
                                </a:cubicBezTo>
                                <a:cubicBezTo>
                                  <a:pt x="51416" y="20613"/>
                                  <a:pt x="50154" y="19243"/>
                                  <a:pt x="48645" y="18027"/>
                                </a:cubicBezTo>
                                <a:cubicBezTo>
                                  <a:pt x="47152" y="16826"/>
                                  <a:pt x="45459" y="15872"/>
                                  <a:pt x="43596" y="15210"/>
                                </a:cubicBezTo>
                                <a:cubicBezTo>
                                  <a:pt x="41672" y="14486"/>
                                  <a:pt x="39686" y="14178"/>
                                  <a:pt x="37654" y="14178"/>
                                </a:cubicBezTo>
                                <a:cubicBezTo>
                                  <a:pt x="33852" y="14178"/>
                                  <a:pt x="30603" y="14901"/>
                                  <a:pt x="27971" y="16349"/>
                                </a:cubicBezTo>
                                <a:cubicBezTo>
                                  <a:pt x="25323" y="17796"/>
                                  <a:pt x="23214" y="19782"/>
                                  <a:pt x="21598" y="22244"/>
                                </a:cubicBezTo>
                                <a:cubicBezTo>
                                  <a:pt x="19905" y="24708"/>
                                  <a:pt x="18704" y="27540"/>
                                  <a:pt x="17980" y="30665"/>
                                </a:cubicBezTo>
                                <a:cubicBezTo>
                                  <a:pt x="17195" y="33790"/>
                                  <a:pt x="16841" y="37038"/>
                                  <a:pt x="16841" y="40394"/>
                                </a:cubicBezTo>
                                <a:cubicBezTo>
                                  <a:pt x="16841" y="43597"/>
                                  <a:pt x="17195" y="46721"/>
                                  <a:pt x="17980" y="49723"/>
                                </a:cubicBezTo>
                                <a:cubicBezTo>
                                  <a:pt x="18704" y="52787"/>
                                  <a:pt x="19905" y="55496"/>
                                  <a:pt x="21598" y="57958"/>
                                </a:cubicBezTo>
                                <a:cubicBezTo>
                                  <a:pt x="23214" y="60361"/>
                                  <a:pt x="25323" y="62285"/>
                                  <a:pt x="27971" y="63793"/>
                                </a:cubicBezTo>
                                <a:cubicBezTo>
                                  <a:pt x="30603" y="65240"/>
                                  <a:pt x="33852" y="65963"/>
                                  <a:pt x="37654" y="65963"/>
                                </a:cubicBezTo>
                                <a:cubicBezTo>
                                  <a:pt x="42765" y="65963"/>
                                  <a:pt x="46782" y="64394"/>
                                  <a:pt x="49676" y="61268"/>
                                </a:cubicBezTo>
                                <a:cubicBezTo>
                                  <a:pt x="52555" y="58144"/>
                                  <a:pt x="54356" y="53987"/>
                                  <a:pt x="54957" y="48815"/>
                                </a:cubicBezTo>
                                <a:lnTo>
                                  <a:pt x="71259" y="48815"/>
                                </a:lnTo>
                                <a:cubicBezTo>
                                  <a:pt x="70843" y="53633"/>
                                  <a:pt x="69704" y="57958"/>
                                  <a:pt x="67949" y="61807"/>
                                </a:cubicBezTo>
                                <a:cubicBezTo>
                                  <a:pt x="66148" y="65656"/>
                                  <a:pt x="63809" y="68966"/>
                                  <a:pt x="60852" y="71675"/>
                                </a:cubicBezTo>
                                <a:cubicBezTo>
                                  <a:pt x="57974" y="74385"/>
                                  <a:pt x="54541" y="76478"/>
                                  <a:pt x="50569" y="77863"/>
                                </a:cubicBezTo>
                                <a:cubicBezTo>
                                  <a:pt x="46660" y="79311"/>
                                  <a:pt x="42333" y="80034"/>
                                  <a:pt x="37654" y="80034"/>
                                </a:cubicBezTo>
                                <a:cubicBezTo>
                                  <a:pt x="31758" y="80034"/>
                                  <a:pt x="26524" y="79002"/>
                                  <a:pt x="21829" y="76970"/>
                                </a:cubicBezTo>
                                <a:cubicBezTo>
                                  <a:pt x="17133" y="74985"/>
                                  <a:pt x="13177" y="72152"/>
                                  <a:pt x="9991" y="68611"/>
                                </a:cubicBezTo>
                                <a:cubicBezTo>
                                  <a:pt x="6743" y="64994"/>
                                  <a:pt x="4280" y="60792"/>
                                  <a:pt x="2586" y="55973"/>
                                </a:cubicBezTo>
                                <a:cubicBezTo>
                                  <a:pt x="847" y="51170"/>
                                  <a:pt x="0" y="45998"/>
                                  <a:pt x="0" y="40394"/>
                                </a:cubicBezTo>
                                <a:cubicBezTo>
                                  <a:pt x="0" y="34683"/>
                                  <a:pt x="847" y="29403"/>
                                  <a:pt x="2586" y="24461"/>
                                </a:cubicBezTo>
                                <a:cubicBezTo>
                                  <a:pt x="4280" y="19597"/>
                                  <a:pt x="6743" y="15332"/>
                                  <a:pt x="9991" y="11654"/>
                                </a:cubicBezTo>
                                <a:cubicBezTo>
                                  <a:pt x="13177" y="8051"/>
                                  <a:pt x="17133" y="5157"/>
                                  <a:pt x="21829" y="3125"/>
                                </a:cubicBezTo>
                                <a:cubicBezTo>
                                  <a:pt x="26524" y="1016"/>
                                  <a:pt x="31758" y="0"/>
                                  <a:pt x="3765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3" name="Shape 53"/>
                        <wps:cNvSpPr/>
                        <wps:spPr>
                          <a:xfrm>
                            <a:off x="1078430" y="50631"/>
                            <a:ext cx="244504" cy="244688"/>
                          </a:xfrm>
                          <a:custGeom>
                            <a:avLst/>
                            <a:gdLst/>
                            <a:ahLst/>
                            <a:cxnLst/>
                            <a:rect l="0" t="0" r="0" b="0"/>
                            <a:pathLst>
                              <a:path w="244504" h="244688">
                                <a:moveTo>
                                  <a:pt x="122121" y="61"/>
                                </a:moveTo>
                                <a:cubicBezTo>
                                  <a:pt x="189655" y="0"/>
                                  <a:pt x="244381" y="54664"/>
                                  <a:pt x="244442" y="122137"/>
                                </a:cubicBezTo>
                                <a:cubicBezTo>
                                  <a:pt x="244442" y="122198"/>
                                  <a:pt x="244442" y="122244"/>
                                  <a:pt x="244442" y="122306"/>
                                </a:cubicBezTo>
                                <a:cubicBezTo>
                                  <a:pt x="244504" y="189840"/>
                                  <a:pt x="189840" y="244565"/>
                                  <a:pt x="122306" y="244627"/>
                                </a:cubicBezTo>
                                <a:cubicBezTo>
                                  <a:pt x="54834" y="244688"/>
                                  <a:pt x="108" y="190024"/>
                                  <a:pt x="62" y="122490"/>
                                </a:cubicBezTo>
                                <a:cubicBezTo>
                                  <a:pt x="62" y="122429"/>
                                  <a:pt x="62" y="122367"/>
                                  <a:pt x="62" y="122306"/>
                                </a:cubicBezTo>
                                <a:cubicBezTo>
                                  <a:pt x="0" y="54849"/>
                                  <a:pt x="54649" y="123"/>
                                  <a:pt x="122121" y="61"/>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 name="Shape 54"/>
                        <wps:cNvSpPr/>
                        <wps:spPr>
                          <a:xfrm>
                            <a:off x="1066099" y="39085"/>
                            <a:ext cx="133851" cy="267780"/>
                          </a:xfrm>
                          <a:custGeom>
                            <a:avLst/>
                            <a:gdLst/>
                            <a:ahLst/>
                            <a:cxnLst/>
                            <a:rect l="0" t="0" r="0" b="0"/>
                            <a:pathLst>
                              <a:path w="133851" h="267780">
                                <a:moveTo>
                                  <a:pt x="133682" y="0"/>
                                </a:moveTo>
                                <a:lnTo>
                                  <a:pt x="133851" y="16"/>
                                </a:lnTo>
                                <a:lnTo>
                                  <a:pt x="133851" y="24143"/>
                                </a:lnTo>
                                <a:lnTo>
                                  <a:pt x="91968" y="32139"/>
                                </a:lnTo>
                                <a:cubicBezTo>
                                  <a:pt x="79114" y="37492"/>
                                  <a:pt x="67433" y="45520"/>
                                  <a:pt x="56942" y="56219"/>
                                </a:cubicBezTo>
                                <a:cubicBezTo>
                                  <a:pt x="35052" y="78294"/>
                                  <a:pt x="24107" y="104218"/>
                                  <a:pt x="24107" y="133852"/>
                                </a:cubicBezTo>
                                <a:cubicBezTo>
                                  <a:pt x="24107" y="163562"/>
                                  <a:pt x="34929" y="189178"/>
                                  <a:pt x="56650" y="210822"/>
                                </a:cubicBezTo>
                                <a:cubicBezTo>
                                  <a:pt x="67472" y="221652"/>
                                  <a:pt x="79333" y="229772"/>
                                  <a:pt x="92231" y="235185"/>
                                </a:cubicBezTo>
                                <a:lnTo>
                                  <a:pt x="133851" y="243267"/>
                                </a:lnTo>
                                <a:lnTo>
                                  <a:pt x="133851" y="267764"/>
                                </a:lnTo>
                                <a:lnTo>
                                  <a:pt x="133682" y="267780"/>
                                </a:lnTo>
                                <a:cubicBezTo>
                                  <a:pt x="97290" y="267780"/>
                                  <a:pt x="65902" y="254602"/>
                                  <a:pt x="39501" y="228264"/>
                                </a:cubicBezTo>
                                <a:cubicBezTo>
                                  <a:pt x="13162" y="201924"/>
                                  <a:pt x="0" y="170474"/>
                                  <a:pt x="0" y="133852"/>
                                </a:cubicBezTo>
                                <a:cubicBezTo>
                                  <a:pt x="0" y="97291"/>
                                  <a:pt x="13162" y="65610"/>
                                  <a:pt x="39501" y="38839"/>
                                </a:cubicBezTo>
                                <a:cubicBezTo>
                                  <a:pt x="65240" y="12931"/>
                                  <a:pt x="96628" y="0"/>
                                  <a:pt x="13368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5" name="Shape 55"/>
                        <wps:cNvSpPr/>
                        <wps:spPr>
                          <a:xfrm>
                            <a:off x="1199950" y="39101"/>
                            <a:ext cx="133913" cy="267749"/>
                          </a:xfrm>
                          <a:custGeom>
                            <a:avLst/>
                            <a:gdLst/>
                            <a:ahLst/>
                            <a:cxnLst/>
                            <a:rect l="0" t="0" r="0" b="0"/>
                            <a:pathLst>
                              <a:path w="133913" h="267749">
                                <a:moveTo>
                                  <a:pt x="0" y="0"/>
                                </a:moveTo>
                                <a:lnTo>
                                  <a:pt x="26912" y="2410"/>
                                </a:lnTo>
                                <a:cubicBezTo>
                                  <a:pt x="52894" y="7261"/>
                                  <a:pt x="75581" y="19393"/>
                                  <a:pt x="95012" y="38824"/>
                                </a:cubicBezTo>
                                <a:cubicBezTo>
                                  <a:pt x="120936" y="64686"/>
                                  <a:pt x="133913" y="96382"/>
                                  <a:pt x="133913" y="133836"/>
                                </a:cubicBezTo>
                                <a:cubicBezTo>
                                  <a:pt x="133913" y="171367"/>
                                  <a:pt x="121167" y="202694"/>
                                  <a:pt x="95674" y="227894"/>
                                </a:cubicBezTo>
                                <a:cubicBezTo>
                                  <a:pt x="75423" y="247821"/>
                                  <a:pt x="52367" y="260285"/>
                                  <a:pt x="26557" y="265271"/>
                                </a:cubicBezTo>
                                <a:lnTo>
                                  <a:pt x="0" y="267749"/>
                                </a:lnTo>
                                <a:lnTo>
                                  <a:pt x="0" y="243252"/>
                                </a:lnTo>
                                <a:lnTo>
                                  <a:pt x="185" y="243287"/>
                                </a:lnTo>
                                <a:cubicBezTo>
                                  <a:pt x="30126" y="243287"/>
                                  <a:pt x="56173" y="232342"/>
                                  <a:pt x="78232" y="210514"/>
                                </a:cubicBezTo>
                                <a:cubicBezTo>
                                  <a:pt x="99276" y="190194"/>
                                  <a:pt x="109744" y="164624"/>
                                  <a:pt x="109744" y="133836"/>
                                </a:cubicBezTo>
                                <a:cubicBezTo>
                                  <a:pt x="109744" y="103294"/>
                                  <a:pt x="99046" y="77432"/>
                                  <a:pt x="77570" y="56204"/>
                                </a:cubicBezTo>
                                <a:cubicBezTo>
                                  <a:pt x="56342" y="34806"/>
                                  <a:pt x="30557" y="24092"/>
                                  <a:pt x="185" y="24092"/>
                                </a:cubicBezTo>
                                <a:lnTo>
                                  <a:pt x="0" y="2412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 name="Shape 56"/>
                        <wps:cNvSpPr/>
                        <wps:spPr>
                          <a:xfrm>
                            <a:off x="1129892" y="102402"/>
                            <a:ext cx="138131" cy="144026"/>
                          </a:xfrm>
                          <a:custGeom>
                            <a:avLst/>
                            <a:gdLst/>
                            <a:ahLst/>
                            <a:cxnLst/>
                            <a:rect l="0" t="0" r="0" b="0"/>
                            <a:pathLst>
                              <a:path w="138131" h="144026">
                                <a:moveTo>
                                  <a:pt x="69335" y="0"/>
                                </a:moveTo>
                                <a:cubicBezTo>
                                  <a:pt x="112099" y="0"/>
                                  <a:pt x="138131" y="30973"/>
                                  <a:pt x="138131" y="72351"/>
                                </a:cubicBezTo>
                                <a:cubicBezTo>
                                  <a:pt x="138131" y="112699"/>
                                  <a:pt x="110406" y="144026"/>
                                  <a:pt x="68673" y="144026"/>
                                </a:cubicBezTo>
                                <a:cubicBezTo>
                                  <a:pt x="39932" y="144026"/>
                                  <a:pt x="14255" y="126339"/>
                                  <a:pt x="9575" y="91702"/>
                                </a:cubicBezTo>
                                <a:lnTo>
                                  <a:pt x="43303" y="91702"/>
                                </a:lnTo>
                                <a:cubicBezTo>
                                  <a:pt x="44258" y="109682"/>
                                  <a:pt x="55988" y="116009"/>
                                  <a:pt x="72644" y="116009"/>
                                </a:cubicBezTo>
                                <a:cubicBezTo>
                                  <a:pt x="91702" y="116009"/>
                                  <a:pt x="104033" y="98383"/>
                                  <a:pt x="104033" y="71320"/>
                                </a:cubicBezTo>
                                <a:cubicBezTo>
                                  <a:pt x="104033" y="42995"/>
                                  <a:pt x="93395" y="27970"/>
                                  <a:pt x="73306" y="27970"/>
                                </a:cubicBezTo>
                                <a:cubicBezTo>
                                  <a:pt x="58636" y="27970"/>
                                  <a:pt x="45951" y="33313"/>
                                  <a:pt x="43303" y="51662"/>
                                </a:cubicBezTo>
                                <a:lnTo>
                                  <a:pt x="53109" y="51601"/>
                                </a:lnTo>
                                <a:lnTo>
                                  <a:pt x="26524" y="78170"/>
                                </a:lnTo>
                                <a:lnTo>
                                  <a:pt x="0" y="51601"/>
                                </a:lnTo>
                                <a:lnTo>
                                  <a:pt x="10591" y="51662"/>
                                </a:lnTo>
                                <a:cubicBezTo>
                                  <a:pt x="15887" y="17980"/>
                                  <a:pt x="39639" y="0"/>
                                  <a:pt x="6933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7" name="Shape 57"/>
                        <wps:cNvSpPr/>
                        <wps:spPr>
                          <a:xfrm>
                            <a:off x="774151" y="48291"/>
                            <a:ext cx="249199" cy="249369"/>
                          </a:xfrm>
                          <a:custGeom>
                            <a:avLst/>
                            <a:gdLst/>
                            <a:ahLst/>
                            <a:cxnLst/>
                            <a:rect l="0" t="0" r="0" b="0"/>
                            <a:pathLst>
                              <a:path w="249199" h="249369">
                                <a:moveTo>
                                  <a:pt x="124477" y="62"/>
                                </a:moveTo>
                                <a:cubicBezTo>
                                  <a:pt x="193272" y="0"/>
                                  <a:pt x="249076" y="55742"/>
                                  <a:pt x="249138" y="124477"/>
                                </a:cubicBezTo>
                                <a:cubicBezTo>
                                  <a:pt x="249138" y="124538"/>
                                  <a:pt x="249138" y="124585"/>
                                  <a:pt x="249138" y="124646"/>
                                </a:cubicBezTo>
                                <a:cubicBezTo>
                                  <a:pt x="249199" y="193442"/>
                                  <a:pt x="193442" y="249245"/>
                                  <a:pt x="124661" y="249307"/>
                                </a:cubicBezTo>
                                <a:cubicBezTo>
                                  <a:pt x="55865" y="249369"/>
                                  <a:pt x="62" y="193627"/>
                                  <a:pt x="62" y="124830"/>
                                </a:cubicBezTo>
                                <a:cubicBezTo>
                                  <a:pt x="62" y="124769"/>
                                  <a:pt x="62" y="124707"/>
                                  <a:pt x="62" y="124646"/>
                                </a:cubicBezTo>
                                <a:cubicBezTo>
                                  <a:pt x="0" y="55927"/>
                                  <a:pt x="55680" y="123"/>
                                  <a:pt x="124477" y="6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 name="Shape 58"/>
                        <wps:cNvSpPr/>
                        <wps:spPr>
                          <a:xfrm>
                            <a:off x="851968" y="198860"/>
                            <a:ext cx="40163" cy="34552"/>
                          </a:xfrm>
                          <a:custGeom>
                            <a:avLst/>
                            <a:gdLst/>
                            <a:ahLst/>
                            <a:cxnLst/>
                            <a:rect l="0" t="0" r="0" b="0"/>
                            <a:pathLst>
                              <a:path w="40163" h="34552">
                                <a:moveTo>
                                  <a:pt x="18396" y="0"/>
                                </a:moveTo>
                                <a:cubicBezTo>
                                  <a:pt x="22845" y="4180"/>
                                  <a:pt x="27294" y="7217"/>
                                  <a:pt x="32141" y="9208"/>
                                </a:cubicBezTo>
                                <a:lnTo>
                                  <a:pt x="40163" y="10669"/>
                                </a:lnTo>
                                <a:lnTo>
                                  <a:pt x="40163" y="34552"/>
                                </a:lnTo>
                                <a:lnTo>
                                  <a:pt x="18823" y="30201"/>
                                </a:lnTo>
                                <a:cubicBezTo>
                                  <a:pt x="11931" y="27436"/>
                                  <a:pt x="5526" y="23484"/>
                                  <a:pt x="0" y="18642"/>
                                </a:cubicBezTo>
                                <a:lnTo>
                                  <a:pt x="183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 name="Shape 59"/>
                        <wps:cNvSpPr/>
                        <wps:spPr>
                          <a:xfrm>
                            <a:off x="764837" y="39669"/>
                            <a:ext cx="127293" cy="266594"/>
                          </a:xfrm>
                          <a:custGeom>
                            <a:avLst/>
                            <a:gdLst/>
                            <a:ahLst/>
                            <a:cxnLst/>
                            <a:rect l="0" t="0" r="0" b="0"/>
                            <a:pathLst>
                              <a:path w="127293" h="266594">
                                <a:moveTo>
                                  <a:pt x="127293" y="0"/>
                                </a:moveTo>
                                <a:lnTo>
                                  <a:pt x="127293" y="24812"/>
                                </a:lnTo>
                                <a:lnTo>
                                  <a:pt x="91999" y="31555"/>
                                </a:lnTo>
                                <a:cubicBezTo>
                                  <a:pt x="79160" y="36909"/>
                                  <a:pt x="67495" y="44937"/>
                                  <a:pt x="57004" y="55635"/>
                                </a:cubicBezTo>
                                <a:cubicBezTo>
                                  <a:pt x="51293" y="61409"/>
                                  <a:pt x="46290" y="67428"/>
                                  <a:pt x="42087" y="73739"/>
                                </a:cubicBezTo>
                                <a:lnTo>
                                  <a:pt x="93257" y="96538"/>
                                </a:lnTo>
                                <a:cubicBezTo>
                                  <a:pt x="95574" y="89441"/>
                                  <a:pt x="100100" y="83726"/>
                                  <a:pt x="106090" y="79666"/>
                                </a:cubicBezTo>
                                <a:lnTo>
                                  <a:pt x="127293" y="72856"/>
                                </a:lnTo>
                                <a:lnTo>
                                  <a:pt x="127293" y="97032"/>
                                </a:lnTo>
                                <a:lnTo>
                                  <a:pt x="125743" y="97336"/>
                                </a:lnTo>
                                <a:cubicBezTo>
                                  <a:pt x="122556" y="98889"/>
                                  <a:pt x="120197" y="101487"/>
                                  <a:pt x="120197" y="105666"/>
                                </a:cubicBezTo>
                                <a:cubicBezTo>
                                  <a:pt x="120197" y="106928"/>
                                  <a:pt x="120674" y="108083"/>
                                  <a:pt x="121398" y="109038"/>
                                </a:cubicBezTo>
                                <a:lnTo>
                                  <a:pt x="127293" y="111662"/>
                                </a:lnTo>
                                <a:lnTo>
                                  <a:pt x="127293" y="140597"/>
                                </a:lnTo>
                                <a:lnTo>
                                  <a:pt x="119719" y="137240"/>
                                </a:lnTo>
                                <a:cubicBezTo>
                                  <a:pt x="111838" y="133699"/>
                                  <a:pt x="105172" y="130743"/>
                                  <a:pt x="98491" y="127803"/>
                                </a:cubicBezTo>
                                <a:lnTo>
                                  <a:pt x="30126" y="97307"/>
                                </a:lnTo>
                                <a:cubicBezTo>
                                  <a:pt x="26155" y="108622"/>
                                  <a:pt x="24169" y="120583"/>
                                  <a:pt x="24169" y="133268"/>
                                </a:cubicBezTo>
                                <a:cubicBezTo>
                                  <a:pt x="24169" y="162978"/>
                                  <a:pt x="34991" y="188594"/>
                                  <a:pt x="56635" y="210238"/>
                                </a:cubicBezTo>
                                <a:cubicBezTo>
                                  <a:pt x="67464" y="221068"/>
                                  <a:pt x="79341" y="229188"/>
                                  <a:pt x="92247" y="234601"/>
                                </a:cubicBezTo>
                                <a:lnTo>
                                  <a:pt x="127293" y="241409"/>
                                </a:lnTo>
                                <a:lnTo>
                                  <a:pt x="127293" y="266594"/>
                                </a:lnTo>
                                <a:lnTo>
                                  <a:pt x="107347" y="264726"/>
                                </a:lnTo>
                                <a:cubicBezTo>
                                  <a:pt x="81912" y="259785"/>
                                  <a:pt x="59317" y="247434"/>
                                  <a:pt x="39563" y="227680"/>
                                </a:cubicBezTo>
                                <a:cubicBezTo>
                                  <a:pt x="13162" y="201340"/>
                                  <a:pt x="0" y="169890"/>
                                  <a:pt x="0" y="133268"/>
                                </a:cubicBezTo>
                                <a:cubicBezTo>
                                  <a:pt x="0" y="96707"/>
                                  <a:pt x="13162" y="65026"/>
                                  <a:pt x="39563" y="38256"/>
                                </a:cubicBezTo>
                                <a:cubicBezTo>
                                  <a:pt x="58821" y="18824"/>
                                  <a:pt x="81291" y="6693"/>
                                  <a:pt x="106974" y="1842"/>
                                </a:cubicBezTo>
                                <a:lnTo>
                                  <a:pt x="1272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 name="Shape 60"/>
                        <wps:cNvSpPr/>
                        <wps:spPr>
                          <a:xfrm>
                            <a:off x="892131" y="91764"/>
                            <a:ext cx="49492" cy="50984"/>
                          </a:xfrm>
                          <a:custGeom>
                            <a:avLst/>
                            <a:gdLst/>
                            <a:ahLst/>
                            <a:cxnLst/>
                            <a:rect l="0" t="0" r="0" b="0"/>
                            <a:pathLst>
                              <a:path w="49492" h="50984">
                                <a:moveTo>
                                  <a:pt x="416" y="0"/>
                                </a:moveTo>
                                <a:lnTo>
                                  <a:pt x="15810" y="0"/>
                                </a:lnTo>
                                <a:lnTo>
                                  <a:pt x="15810" y="20627"/>
                                </a:lnTo>
                                <a:cubicBezTo>
                                  <a:pt x="26401" y="21167"/>
                                  <a:pt x="38008" y="24045"/>
                                  <a:pt x="49492" y="32958"/>
                                </a:cubicBezTo>
                                <a:lnTo>
                                  <a:pt x="31866" y="50984"/>
                                </a:lnTo>
                                <a:cubicBezTo>
                                  <a:pt x="25385" y="46428"/>
                                  <a:pt x="17195" y="43180"/>
                                  <a:pt x="8960" y="43180"/>
                                </a:cubicBezTo>
                                <a:lnTo>
                                  <a:pt x="0" y="44937"/>
                                </a:lnTo>
                                <a:lnTo>
                                  <a:pt x="0" y="20761"/>
                                </a:lnTo>
                                <a:lnTo>
                                  <a:pt x="416" y="20627"/>
                                </a:lnTo>
                                <a:lnTo>
                                  <a:pt x="41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 name="Shape 61"/>
                        <wps:cNvSpPr/>
                        <wps:spPr>
                          <a:xfrm>
                            <a:off x="892131" y="39085"/>
                            <a:ext cx="140471" cy="267780"/>
                          </a:xfrm>
                          <a:custGeom>
                            <a:avLst/>
                            <a:gdLst/>
                            <a:ahLst/>
                            <a:cxnLst/>
                            <a:rect l="0" t="0" r="0" b="0"/>
                            <a:pathLst>
                              <a:path w="140471" h="267780">
                                <a:moveTo>
                                  <a:pt x="6435" y="0"/>
                                </a:moveTo>
                                <a:cubicBezTo>
                                  <a:pt x="43966" y="0"/>
                                  <a:pt x="75708" y="12931"/>
                                  <a:pt x="101632" y="38839"/>
                                </a:cubicBezTo>
                                <a:cubicBezTo>
                                  <a:pt x="127540" y="64701"/>
                                  <a:pt x="140471" y="96398"/>
                                  <a:pt x="140471" y="133852"/>
                                </a:cubicBezTo>
                                <a:cubicBezTo>
                                  <a:pt x="140471" y="171383"/>
                                  <a:pt x="127725" y="202709"/>
                                  <a:pt x="102294" y="227909"/>
                                </a:cubicBezTo>
                                <a:cubicBezTo>
                                  <a:pt x="75231" y="254479"/>
                                  <a:pt x="43304" y="267780"/>
                                  <a:pt x="6435" y="267780"/>
                                </a:cubicBezTo>
                                <a:lnTo>
                                  <a:pt x="0" y="267178"/>
                                </a:lnTo>
                                <a:lnTo>
                                  <a:pt x="0" y="241993"/>
                                </a:lnTo>
                                <a:lnTo>
                                  <a:pt x="6743" y="243303"/>
                                </a:lnTo>
                                <a:cubicBezTo>
                                  <a:pt x="36684" y="243303"/>
                                  <a:pt x="62716" y="232358"/>
                                  <a:pt x="84852" y="210529"/>
                                </a:cubicBezTo>
                                <a:cubicBezTo>
                                  <a:pt x="92241" y="203371"/>
                                  <a:pt x="98384" y="195551"/>
                                  <a:pt x="103125" y="187068"/>
                                </a:cubicBezTo>
                                <a:lnTo>
                                  <a:pt x="52679" y="164640"/>
                                </a:lnTo>
                                <a:cubicBezTo>
                                  <a:pt x="49246" y="181604"/>
                                  <a:pt x="34098" y="193087"/>
                                  <a:pt x="15810" y="194411"/>
                                </a:cubicBezTo>
                                <a:lnTo>
                                  <a:pt x="15810" y="215040"/>
                                </a:lnTo>
                                <a:lnTo>
                                  <a:pt x="416" y="215040"/>
                                </a:lnTo>
                                <a:lnTo>
                                  <a:pt x="416" y="194411"/>
                                </a:lnTo>
                                <a:lnTo>
                                  <a:pt x="0" y="194327"/>
                                </a:lnTo>
                                <a:lnTo>
                                  <a:pt x="0" y="170444"/>
                                </a:lnTo>
                                <a:lnTo>
                                  <a:pt x="8113" y="171921"/>
                                </a:lnTo>
                                <a:cubicBezTo>
                                  <a:pt x="15994" y="171921"/>
                                  <a:pt x="24723" y="168858"/>
                                  <a:pt x="24723" y="158574"/>
                                </a:cubicBezTo>
                                <a:cubicBezTo>
                                  <a:pt x="24723" y="154956"/>
                                  <a:pt x="23276" y="152432"/>
                                  <a:pt x="21105" y="150569"/>
                                </a:cubicBezTo>
                                <a:lnTo>
                                  <a:pt x="8298" y="144859"/>
                                </a:lnTo>
                                <a:lnTo>
                                  <a:pt x="0" y="141181"/>
                                </a:lnTo>
                                <a:lnTo>
                                  <a:pt x="0" y="112246"/>
                                </a:lnTo>
                                <a:lnTo>
                                  <a:pt x="11253" y="117256"/>
                                </a:lnTo>
                                <a:lnTo>
                                  <a:pt x="22860" y="122429"/>
                                </a:lnTo>
                                <a:cubicBezTo>
                                  <a:pt x="30249" y="125739"/>
                                  <a:pt x="37346" y="128864"/>
                                  <a:pt x="44320" y="131989"/>
                                </a:cubicBezTo>
                                <a:lnTo>
                                  <a:pt x="112931" y="162546"/>
                                </a:lnTo>
                                <a:cubicBezTo>
                                  <a:pt x="115225" y="153526"/>
                                  <a:pt x="116364" y="144027"/>
                                  <a:pt x="116364" y="133852"/>
                                </a:cubicBezTo>
                                <a:cubicBezTo>
                                  <a:pt x="116364" y="103310"/>
                                  <a:pt x="105588" y="77448"/>
                                  <a:pt x="84190" y="56219"/>
                                </a:cubicBezTo>
                                <a:cubicBezTo>
                                  <a:pt x="62962" y="34822"/>
                                  <a:pt x="37161" y="24107"/>
                                  <a:pt x="6743" y="24107"/>
                                </a:cubicBezTo>
                                <a:lnTo>
                                  <a:pt x="0" y="25395"/>
                                </a:lnTo>
                                <a:lnTo>
                                  <a:pt x="0" y="584"/>
                                </a:lnTo>
                                <a:lnTo>
                                  <a:pt x="64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9C9B235" id="Group 254942" o:spid="_x0000_s1026" style="position:absolute;margin-left:57.9pt;margin-top:.15pt;width:109.1pt;height:38.2pt;z-index:251658241;mso-position-horizontal:right;mso-position-horizontal-relative:margin" coordsize="13854,4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">
                <v:shape id="Shape 30" o:spid="_x0000_s1027" style="position:absolute;left:63;top:48;width:13763;height:4702;visibility:visible;mso-wrap-style:square;v-text-anchor:top" coordsize="1376382,470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" path="m33020,431l1341745,2771v18288,,34637,-2771,34637,36437l1374827,470242,,470242,,37654c,18288,1863,431,33020,431xe" fillcolor="#aab2ab" stroked="f" strokeweight="0">
                  <v:stroke miterlimit="83231f" joinstyle="miter"/>
                  <v:path arrowok="t" textboxrect="0,0,1376382,470242"/>
                </v:shape>
                <v:shape id="Shape 31" o:spid="_x0000_s1028" style="position:absolute;width:6927;height:4849;visibility:visible;mso-wrap-style:square;v-text-anchor:top" coordsize="692732,48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" path="m25985,l692732,r,11730l25985,11730v-7882,,-14255,6374,-14255,14193c11730,25923,11730,208297,11730,340239r49846,c96520,403432,163808,446243,241071,446243v77277,,144565,-42873,179494,-106004l692732,340239r,144673l5834,484912,,479079,,25922,7624,7617c12330,2917,18827,,25985,xe" fillcolor="black" stroked="f" strokeweight="0">
                  <v:stroke miterlimit="83231f" joinstyle="miter"/>
                  <v:path arrowok="t" textboxrect="0,0,692732,484912"/>
                </v:shape>
                <v:shape id="Shape 32" o:spid="_x0000_s1029" style="position:absolute;left:6927;width:6927;height:4849;visibility:visible;mso-wrap-style:square;v-text-anchor:top" coordsize="692732,48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" path="m,l666809,v14254,,25923,11669,25923,25923l692732,479079v,3185,-2647,5833,-5834,5833l,484912,,340239r681002,c681002,208297,681002,25923,681002,25923v,-7819,-6373,-14193,-14193,-14193l,11730,,xe" fillcolor="black" stroked="f" strokeweight="0">
                  <v:stroke miterlimit="83231f" joinstyle="miter"/>
                  <v:path arrowok="t" textboxrect="0,0,692732,484912"/>
                </v:shape>
                <v:shape id="Shape 33" o:spid="_x0000_s1030" style="position:absolute;left:837;top:681;width:3149;height:3151;visibility:visible;mso-wrap-style:square;v-text-anchor:top" coordsize="314916,31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" path="m157358,61c244319,,314855,70412,314855,157358v,61,,123,,184c314916,244488,244489,314978,157543,315039,70582,315085,46,244673,,157728v,-62,,-124,,-186c,70597,70412,123,157358,61xe" stroked="f" strokeweight="0">
                  <v:stroke miterlimit="83231f" joinstyle="miter"/>
                  <v:path arrowok="t" textboxrect="0,0,314916,315085"/>
                </v:shape>
                <v:shape id="Shape 34" o:spid="_x0000_s1031" style="position:absolute;left:2430;top:1701;width:504;height:1111;visibility:visible;mso-wrap-style:square;v-text-anchor:top" coordsize="50393,1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" path="m50393,r,25801l37845,31340v-4059,5369,-6087,13412,-6087,24111c31758,66158,33786,74185,37845,79537r12548,5514l50393,111150,31654,107945c25166,105455,19481,101725,14609,96769,4865,86839,,73077,,55635,,38440,4926,24786,14855,14749,19812,9699,25435,5909,31735,3380l50393,xe" fillcolor="black" stroked="f" strokeweight="0">
                  <v:stroke miterlimit="83231f" joinstyle="miter"/>
                  <v:path arrowok="t" textboxrect="0,0,50393,111150"/>
                </v:shape>
                <v:shape id="Shape 35" o:spid="_x0000_s1032" style="position:absolute;left:1386;top:1696;width:1009;height:1121;visibility:visible;mso-wrap-style:square;v-text-anchor:top" coordsize="100954,11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" path="m52740,v22244,,38115,8728,47798,26231l76601,38485c72152,28632,65363,23691,56404,23691v-15933,,-23877,10776,-23877,32174c32527,77278,40471,87977,56404,87977v10468,,17980,-5234,22490,-15626l100954,84067c90440,102770,74676,112099,53633,112099v-16226,,-29218,-5003,-38963,-14917c4864,87253,,73491,,56049,,38854,5049,25200,15086,15163,25138,5064,37700,,52740,xe" fillcolor="black" stroked="f" strokeweight="0">
                  <v:stroke miterlimit="83231f" joinstyle="miter"/>
                  <v:path arrowok="t" textboxrect="0,0,100954,112099"/>
                </v:shape>
                <v:shape id="Shape 36" o:spid="_x0000_s1033" style="position:absolute;left:607;top:451;width:2327;height:3612;visibility:visible;mso-wrap-style:square;v-text-anchor:top" coordsize="232658,36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" path="m180156,v12631,,24776,1089,36435,3269l232658,7973r,33845l210220,35163v-9477,-1798,-19334,-2697,-29571,-2697c139747,32466,105049,46951,76801,75816,47275,105649,32527,140578,32527,180634v,40055,14625,74630,43781,103848c105542,313699,140286,328263,180649,328263v10087,,19847,-921,29279,-2763l232658,318597r,34233l216136,357798v-11582,2241,-23576,3361,-35980,3361c131095,361159,88824,343410,53279,307881,17795,272336,,229941,,180572,,131204,17795,88454,53279,52370,87915,17426,130187,,180156,xe" fillcolor="black" stroked="f" strokeweight="0">
                  <v:stroke miterlimit="83231f" joinstyle="miter"/>
                  <v:path arrowok="t" textboxrect="0,0,232658,361159"/>
                </v:shape>
                <v:shape id="Shape 37" o:spid="_x0000_s1034" style="position:absolute;left:2934;top:2420;width:504;height:397;visibility:visible;mso-wrap-style:square;v-text-anchor:top" coordsize="50392,39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" path="m27840,l50392,11716c39924,30419,24176,39748,3133,39748l,39212,,13113r5719,2512c16294,15625,23637,10392,27840,xe" fillcolor="black" stroked="f" strokeweight="0">
                  <v:stroke miterlimit="83231f" joinstyle="miter"/>
                  <v:path arrowok="t" textboxrect="0,0,50392,39748"/>
                </v:shape>
                <v:shape id="Shape 38" o:spid="_x0000_s1035" style="position:absolute;left:2934;top:1696;width:500;height:385;visibility:visible;mso-wrap-style:square;v-text-anchor:top" coordsize="49977,3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" path="m2286,c24469,,40355,8728,49977,26231l25623,38485c21113,28632,14432,23691,5719,23691l,26215,,414,2286,xe" fillcolor="black" stroked="f" strokeweight="0">
                  <v:stroke miterlimit="83231f" joinstyle="miter"/>
                  <v:path arrowok="t" textboxrect="0,0,49977,38485"/>
                </v:shape>
                <v:shape id="Shape 39" o:spid="_x0000_s1036" style="position:absolute;left:2934;top:531;width:1280;height:3448;visibility:visible;mso-wrap-style:square;v-text-anchor:top" coordsize="128024,34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" path="m,l17447,5108v21369,8724,40789,21817,58253,39289c110583,79280,128024,122030,128024,172599v,50570,-17133,92841,-51477,126878c58359,317364,38500,330792,16987,339747l,344856,,310624r4580,-1391c22129,301859,38362,290794,53271,276031,81535,248661,95728,214209,95728,172661,95728,131404,81304,96413,52563,67673,38184,53272,22279,42477,4849,35282l,33844,,xe" fillcolor="black" stroked="f" strokeweight="0">
                  <v:stroke miterlimit="83231f" joinstyle="miter"/>
                  <v:path arrowok="t" textboxrect="0,0,128024,344856"/>
                </v:shape>
                <v:shape id="Shape 40" o:spid="_x0000_s1037" style="position:absolute;left:4736;top:517;width:2479;height:2480;visibility:visible;mso-wrap-style:square;v-text-anchor:top" coordsize="247921,247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" path="m123984,v68441,,123937,55511,123937,123999c247921,192487,192425,247998,123984,247998,55495,247998,,192487,,123999,,55511,55495,,123984,xe" stroked="f" strokeweight="0">
                  <v:stroke miterlimit="83231f" joinstyle="miter"/>
                  <v:path arrowok="t" textboxrect="0,0,247921,247998"/>
                </v:shape>
                <v:shape id="Shape 41" o:spid="_x0000_s1038" style="position:absolute;left:5614;top:1312;width:720;height:1282;visibility:visible;mso-wrap-style:square;v-text-anchor:top" coordsize="72029,12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" path="m8651,l63377,v4803,,8652,3849,8652,8606l72029,63393r-15271,l56758,128201r-41487,l15271,63393,,63393,,8606c,3849,3848,,8651,xe" fillcolor="black" stroked="f" strokeweight="0">
                  <v:stroke miterlimit="83231f" joinstyle="miter"/>
                  <v:path arrowok="t" textboxrect="0,0,72029,128201"/>
                </v:shape>
                <v:shape id="Shape 42" o:spid="_x0000_s1039" style="position:absolute;left:5787;top:865;width:375;height:375;visibility:visible;mso-wrap-style:square;v-text-anchor:top" coordsize="37454,37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" path="m18688,c29033,,37454,8359,37454,18704v,10345,-8421,18765,-18766,18765c8359,37469,,29049,,18704,,8359,8359,,18688,xe" fillcolor="black" stroked="f" strokeweight="0">
                  <v:stroke miterlimit="83231f" joinstyle="miter"/>
                  <v:path arrowok="t" textboxrect="0,0,37454,37469"/>
                </v:shape>
                <v:shape id="Shape 43" o:spid="_x0000_s1040" style="position:absolute;left:4636;top:391;width:1338;height:2678;visibility:visible;mso-wrap-style:square;v-text-anchor:top" coordsize="133859,267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" path="m133682,r177,16l133859,24141,91980,32139c79125,37492,67442,45520,56943,56219,35068,78356,24123,104202,24123,133913v,29648,10822,55326,32466,76970c67442,221705,79318,229810,92224,235210r41635,8059l133859,267763r-177,16c97306,267779,65902,254602,39517,228263,13177,201923,,170473,,133913,,97290,13177,65609,39517,38839,65240,12992,96644,,133682,xe" fillcolor="black" stroked="f" strokeweight="0">
                  <v:stroke miterlimit="83231f" joinstyle="miter"/>
                  <v:path arrowok="t" textboxrect="0,0,133859,267779"/>
                </v:shape>
                <v:shape id="Shape 44" o:spid="_x0000_s1041" style="position:absolute;left:5974;top:391;width:1340;height:2678;visibility:visible;mso-wrap-style:square;v-text-anchor:top" coordsize="133921,26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" path="m,l26904,2418c52886,7283,75573,19438,95004,38822v25924,25862,38917,57559,38917,95074c133921,171366,121174,202692,95666,227892,75415,247820,52359,260283,26549,265269l,267746,,243253r177,34c30134,243287,56165,232403,78240,210513v21044,-20336,31496,-45890,31496,-76617c109736,103293,99037,77431,77578,56203,56350,34805,30549,24091,177,24091l,24125,,xe" fillcolor="black" stroked="f" strokeweight="0">
                  <v:stroke miterlimit="83231f" joinstyle="miter"/>
                  <v:path arrowok="t" textboxrect="0,0,133921,267746"/>
                </v:shape>
                <v:shape id="Shape 45" o:spid="_x0000_s1042" style="position:absolute;left:5227;top:3781;width:321;height:764;visibility:visible;mso-wrap-style:square;v-text-anchor:top" coordsize="32081,7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" path="m,l32081,r,13054l16841,13054r,17857l32081,30911r,11484l16841,42395r,20936l32081,63331r,13101l,76432,,xe" stroked="f" strokeweight="0">
                  <v:stroke miterlimit="83231f" joinstyle="miter"/>
                  <v:path arrowok="t" textboxrect="0,0,32081,76432"/>
                </v:shape>
                <v:shape id="Shape 46" o:spid="_x0000_s1043" style="position:absolute;left:5548;top:3781;width:321;height:764;visibility:visible;mso-wrap-style:square;v-text-anchor:top" coordsize="32081,7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" path="m,l3941,v3664,,6973,308,9975,970c16933,1570,19504,2648,21613,4095v2171,1447,3849,3432,4988,5834c27817,12330,28417,15348,28417,18950v,3849,-908,7035,-2647,9621c24015,31096,21444,33205,18011,34883v4695,1323,8236,3725,10576,7097c30942,45412,32081,49492,32081,54249v,3848,-785,7219,-2294,10036c28294,67118,26308,69397,23722,71213v-2524,1739,-5418,3063,-8667,3895c11807,76016,8451,76432,5018,76432l,76432,,63331r2802,c4418,63331,5988,63208,7481,62854v1509,-308,2833,-847,3972,-1570c12592,60499,13500,59482,14224,58220v662,-1262,1016,-2955,1016,-4941c15240,49384,14101,46551,11869,44873,9652,43180,6758,42395,3094,42395l,42395,,30911r1770,c4772,30911,7250,30187,9175,28756v1924,-1447,2879,-3726,2879,-6927c12054,20027,11761,18596,11099,17442,10499,16302,9591,15394,8574,14747,7481,14132,6219,13654,4834,13423,3464,13177,2017,13054,508,13054r-508,l,xe" stroked="f" strokeweight="0">
                  <v:stroke miterlimit="83231f" joinstyle="miter"/>
                  <v:path arrowok="t" textboxrect="0,0,32081,76432"/>
                </v:shape>
                <v:shape id="Shape 47" o:spid="_x0000_s1044" style="position:absolute;left:5899;top:3781;width:733;height:764;visibility:visible;mso-wrap-style:square;v-text-anchor:top" coordsize="73306,7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" path="m,l18888,,36745,30187,54602,,73306,,44920,47090r,29342l28094,76432r,-29757l,xe" stroked="f" strokeweight="0">
                  <v:stroke miterlimit="83231f" joinstyle="miter"/>
                  <v:path arrowok="t" textboxrect="0,0,73306,76432"/>
                </v:shape>
                <v:shape id="Shape 48" o:spid="_x0000_s1045" style="position:absolute;left:11187;top:3762;width:644;height:800;visibility:visible;mso-wrap-style:square;v-text-anchor:top" coordsize="64393,80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" path="m31204,v4033,,7882,477,11545,1370c46413,2217,49661,3725,52494,5711v2879,1986,5172,4511,6850,7636c60976,16472,61807,20197,61807,24646r-16287,c45397,22368,44920,20505,44073,18997v-847,-1509,-1924,-2710,-3248,-3557c39501,14609,37947,14008,36192,13639v-1740,-354,-3665,-538,-5712,-538c29156,13101,27771,13224,26462,13516v-1385,308,-2586,785,-3679,1509c21644,15749,20736,16656,20027,17673v-661,1077,-1030,2463,-1030,4095c18997,23261,19243,24461,19843,25431v539,893,1678,1739,3371,2525c24892,28741,27170,29572,30126,30357v3002,785,6851,1739,11669,2956c43165,33606,45151,34144,47675,34868v2541,785,5065,1986,7590,3617c57728,40101,59883,42334,61699,45089v1802,2710,2694,6251,2694,10530c64393,59098,63731,62346,62408,65363v-1371,3002,-3418,5588,-6066,7759c53633,75339,50323,77017,46367,78232v-3910,1202,-8544,1802,-13778,1802c28387,80034,24354,79495,20382,78463,16410,77448,12931,75816,9852,73599,6850,71367,4449,68550,2648,65117,831,61685,,57605,62,52910r16287,c16349,55496,16841,57666,17796,59468v908,1739,2109,3186,3663,4325c22968,64870,24769,65718,26878,66256v2047,539,4141,786,6373,786c34760,67042,36376,66918,38054,66687v1755,-246,3310,-724,4819,-1447c44381,64517,45643,63547,46598,62285v1031,-1262,1508,-2817,1508,-4742c48106,55434,47444,53756,46120,52494,44796,51170,43119,50139,40948,49246v-2109,-847,-4572,-1571,-7281,-2233c30973,46351,28202,45628,25431,44859v-2817,-724,-5588,-1571,-8359,-2586c14424,41241,11961,39856,9790,38239,7697,36607,5942,34575,4634,32096,3310,29634,2648,26632,2648,23137v,-3894,831,-7327,2525,-10222c6850,10037,9082,7636,11776,5650,14486,3725,17549,2340,20982,1370,24415,477,27832,,31204,xe" stroked="f" strokeweight="0">
                  <v:stroke miterlimit="83231f" joinstyle="miter"/>
                  <v:path arrowok="t" textboxrect="0,0,64393,80034"/>
                </v:shape>
                <v:shape id="Shape 49" o:spid="_x0000_s1046" style="position:absolute;left:11850;top:3781;width:373;height:764;visibility:visible;mso-wrap-style:square;v-text-anchor:top" coordsize="37261,7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" path="m28925,r8336,l37261,18893,27370,46844r9891,l37261,59421r-14278,l16964,76432,,76432,28925,xe" stroked="f" strokeweight="0">
                  <v:stroke miterlimit="83231f" joinstyle="miter"/>
                  <v:path arrowok="t" textboxrect="0,0,37261,76432"/>
                </v:shape>
                <v:shape id="Shape 50" o:spid="_x0000_s1047" style="position:absolute;left:12223;top:3781;width:376;height:764;visibility:visible;mso-wrap-style:square;v-text-anchor:top" coordsize="37554,7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" path="m,l8921,,37554,76432r-17503,l14278,59421,,59421,,46844r9890,l269,18827r-246,l,18893,,xe" stroked="f" strokeweight="0">
                  <v:stroke miterlimit="83231f" joinstyle="miter"/>
                  <v:path arrowok="t" textboxrect="0,0,37554,76432"/>
                </v:shape>
                <v:shape id="Shape 51" o:spid="_x0000_s1048" style="position:absolute;left:8205;top:3781;width:646;height:764;visibility:visible;mso-wrap-style:square;v-text-anchor:top" coordsize="64640,7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" path="m,l16718,,48707,51246r185,l48892,,64640,r,76432l47799,76432,15994,25261r-184,l15810,76432,,76432,,xe" stroked="f" strokeweight="0">
                  <v:stroke miterlimit="83231f" joinstyle="miter"/>
                  <v:path arrowok="t" textboxrect="0,0,64640,76432"/>
                </v:shape>
                <v:shape id="Shape 52" o:spid="_x0000_s1049" style="position:absolute;left:8965;top:3762;width:713;height:800;visibility:visible;mso-wrap-style:square;v-text-anchor:top" coordsize="71259,80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" path="m37654,v4202,,8174,601,11900,1863c53341,3063,56712,4803,59652,7143v2955,2294,5419,5173,7343,8606c68919,19181,70120,23137,70597,27540r-16241,c54064,25616,53402,23861,52432,22244,51416,20613,50154,19243,48645,18027,47152,16826,45459,15872,43596,15210v-1924,-724,-3910,-1032,-5942,-1032c33852,14178,30603,14901,27971,16349v-2648,1447,-4757,3433,-6373,5895c19905,24708,18704,27540,17980,30665v-785,3125,-1139,6373,-1139,9729c16841,43597,17195,46721,17980,49723v724,3064,1925,5773,3618,8235c23214,60361,25323,62285,27971,63793v2632,1447,5881,2170,9683,2170c42765,65963,46782,64394,49676,61268v2879,-3124,4680,-7281,5281,-12453l71259,48815v-416,4818,-1555,9143,-3310,12992c66148,65656,63809,68966,60852,71675v-2878,2710,-6311,4803,-10283,6188c46660,79311,42333,80034,37654,80034v-5896,,-11130,-1032,-15825,-3064c17133,74985,13177,72152,9991,68611,6743,64994,4280,60792,2586,55973,847,51170,,45998,,40394,,34683,847,29403,2586,24461,4280,19597,6743,15332,9991,11654,13177,8051,17133,5157,21829,3125,26524,1016,31758,,37654,xe" stroked="f" strokeweight="0">
                  <v:stroke miterlimit="83231f" joinstyle="miter"/>
                  <v:path arrowok="t" textboxrect="0,0,71259,80034"/>
                </v:shape>
                <v:shape id="Shape 53" o:spid="_x0000_s1050" style="position:absolute;left:10784;top:506;width:2445;height:2447;visibility:visible;mso-wrap-style:square;v-text-anchor:top" coordsize="244504,244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" path="m122121,61c189655,,244381,54664,244442,122137v,61,,107,,169c244504,189840,189840,244565,122306,244627,54834,244688,108,190024,62,122490v,-61,,-123,,-184c,54849,54649,123,122121,61xe" stroked="f" strokeweight="0">
                  <v:stroke miterlimit="83231f" joinstyle="miter"/>
                  <v:path arrowok="t" textboxrect="0,0,244504,244688"/>
                </v:shape>
                <v:shape id="Shape 54" o:spid="_x0000_s1051" style="position:absolute;left:10660;top:390;width:1339;height:2678;visibility:visible;mso-wrap-style:square;v-text-anchor:top" coordsize="133851,26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" path="m133682,r169,16l133851,24143,91968,32139c79114,37492,67433,45520,56942,56219,35052,78294,24107,104218,24107,133852v,29710,10822,55326,32543,76970c67472,221652,79333,229772,92231,235185r41620,8082l133851,267764r-169,16c97290,267780,65902,254602,39501,228264,13162,201924,,170474,,133852,,97291,13162,65610,39501,38839,65240,12931,96628,,133682,xe" fillcolor="black" stroked="f" strokeweight="0">
                  <v:stroke miterlimit="83231f" joinstyle="miter"/>
                  <v:path arrowok="t" textboxrect="0,0,133851,267780"/>
                </v:shape>
                <v:shape id="Shape 55" o:spid="_x0000_s1052" style="position:absolute;left:11999;top:391;width:1339;height:2677;visibility:visible;mso-wrap-style:square;v-text-anchor:top" coordsize="133913,26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" path="m,l26912,2410c52894,7261,75581,19393,95012,38824v25924,25862,38901,57558,38901,95012c133913,171367,121167,202694,95674,227894,75423,247821,52367,260285,26557,265271l,267749,,243252r185,35c30126,243287,56173,232342,78232,210514v21044,-20320,31512,-45890,31512,-76678c109744,103294,99046,77432,77570,56204,56342,34806,30557,24092,185,24092l,24127,,xe" fillcolor="black" stroked="f" strokeweight="0">
                  <v:stroke miterlimit="83231f" joinstyle="miter"/>
                  <v:path arrowok="t" textboxrect="0,0,133913,267749"/>
                </v:shape>
                <v:shape id="Shape 56" o:spid="_x0000_s1053" style="position:absolute;left:11298;top:1024;width:1382;height:1440;visibility:visible;mso-wrap-style:square;v-text-anchor:top" coordsize="138131,14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" path="m69335,v42764,,68796,30973,68796,72351c138131,112699,110406,144026,68673,144026v-28741,,-54418,-17687,-59098,-52324l43303,91702v955,17980,12685,24307,29341,24307c91702,116009,104033,98383,104033,71320v,-28325,-10638,-43350,-30727,-43350c58636,27970,45951,33313,43303,51662r9806,-61l26524,78170,,51601r10591,61c15887,17980,39639,,69335,xe" fillcolor="black" stroked="f" strokeweight="0">
                  <v:stroke miterlimit="83231f" joinstyle="miter"/>
                  <v:path arrowok="t" textboxrect="0,0,138131,144026"/>
                </v:shape>
                <v:shape id="Shape 57" o:spid="_x0000_s1054" style="position:absolute;left:7741;top:482;width:2492;height:2494;visibility:visible;mso-wrap-style:square;v-text-anchor:top" coordsize="249199,249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" path="m124477,62c193272,,249076,55742,249138,124477v,61,,108,,169c249199,193442,193442,249245,124661,249307,55865,249369,62,193627,62,124830v,-61,,-123,,-184c,55927,55680,123,124477,62xe" stroked="f" strokeweight="0">
                  <v:stroke miterlimit="83231f" joinstyle="miter"/>
                  <v:path arrowok="t" textboxrect="0,0,249199,249369"/>
                </v:shape>
                <v:shape id="Shape 58" o:spid="_x0000_s1055" style="position:absolute;left:8519;top:1988;width:402;height:346;visibility:visible;mso-wrap-style:square;v-text-anchor:top" coordsize="40163,3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" path="m18396,v4449,4180,8898,7217,13745,9208l40163,10669r,23883l18823,30201c11931,27436,5526,23484,,18642l18396,xe" fillcolor="black" stroked="f" strokeweight="0">
                  <v:stroke miterlimit="83231f" joinstyle="miter"/>
                  <v:path arrowok="t" textboxrect="0,0,40163,34552"/>
                </v:shape>
                <v:shape id="Shape 59" o:spid="_x0000_s1056" style="position:absolute;left:7648;top:396;width:1273;height:2666;visibility:visible;mso-wrap-style:square;v-text-anchor:top" coordsize="127293,266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" path="m127293,r,24812l91999,31555c79160,36909,67495,44937,57004,55635,51293,61409,46290,67428,42087,73739l93257,96538v2317,-7097,6843,-12812,12833,-16872l127293,72856r,24176l125743,97336v-3187,1553,-5546,4151,-5546,8330c120197,106928,120674,108083,121398,109038r5895,2624l127293,140597r-7574,-3357c111838,133699,105172,130743,98491,127803l30126,97307v-3971,11315,-5957,23276,-5957,35961c24169,162978,34991,188594,56635,210238v10829,10830,22706,18950,35612,24363l127293,241409r,25185l107347,264726c81912,259785,59317,247434,39563,227680,13162,201340,,169890,,133268,,96707,13162,65026,39563,38256,58821,18824,81291,6693,106974,1842l127293,xe" fillcolor="black" stroked="f" strokeweight="0">
                  <v:stroke miterlimit="83231f" joinstyle="miter"/>
                  <v:path arrowok="t" textboxrect="0,0,127293,266594"/>
                </v:shape>
                <v:shape id="Shape 60" o:spid="_x0000_s1057" style="position:absolute;left:8921;top:917;width:495;height:510;visibility:visible;mso-wrap-style:square;v-text-anchor:top" coordsize="49492,50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" path="m416,l15810,r,20627c26401,21167,38008,24045,49492,32958l31866,50984c25385,46428,17195,43180,8960,43180l,44937,,20761r416,-134l416,xe" fillcolor="black" stroked="f" strokeweight="0">
                  <v:stroke miterlimit="83231f" joinstyle="miter"/>
                  <v:path arrowok="t" textboxrect="0,0,49492,50984"/>
                </v:shape>
                <v:shape id="Shape 61" o:spid="_x0000_s1058" style="position:absolute;left:8921;top:390;width:1405;height:2678;visibility:visible;mso-wrap-style:square;v-text-anchor:top" coordsize="140471,26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" path="m6435,v37531,,69273,12931,95197,38839c127540,64701,140471,96398,140471,133852v,37531,-12746,68857,-38177,94057c75231,254479,43304,267780,6435,267780l,267178,,241993r6743,1310c36684,243303,62716,232358,84852,210529v7389,-7158,13532,-14978,18273,-23461l52679,164640v-3433,16964,-18581,28447,-36869,29771l15810,215040r-15394,l416,194411,,194327,,170444r8113,1477c15994,171921,24723,168858,24723,158574v,-3618,-1447,-6142,-3618,-8005l8298,144859,,141181,,112246r11253,5010l22860,122429v7389,3310,14486,6435,21460,9560l112931,162546v2294,-9020,3433,-18519,3433,-28694c116364,103310,105588,77448,84190,56219,62962,34822,37161,24107,6743,24107l,25395,,584,6435,xe" fillcolor="black" stroked="f" strokeweight="0">
                  <v:stroke miterlimit="83231f" joinstyle="miter"/>
                  <v:path arrowok="t" textboxrect="0,0,140471,267780"/>
                </v:shape>
                <w10:wrap type="square" anchorx="margin"/>
              </v:group>
            </w:pict>
          </mc:Fallback>
        </mc:AlternateContent>
      </w:r>
      <w:r w:rsidR="00D14B33" w:rsidRPr="000E309B">
        <w:t xml:space="preserve">This work is licensed under a Creative Commons </w:t>
      </w:r>
      <w:hyperlink r:id="rId9" w:history="1">
        <w:r w:rsidR="00A3583F">
          <w:rPr>
            <w:rStyle w:val="Hyperlink"/>
          </w:rPr>
          <w:t>https://creativecommons.org/licenses/by-nc-sa/4.0</w:t>
        </w:r>
      </w:hyperlink>
      <w:r w:rsidR="00D14B33" w:rsidRPr="000E309B">
        <w:t xml:space="preserve"> license.</w:t>
      </w:r>
    </w:p>
    <w:p w14:paraId="6F00AE71" w14:textId="77777777" w:rsidR="00D67513" w:rsidRDefault="00D67513">
      <w:pPr>
        <w:sectPr w:rsidR="00D67513" w:rsidSect="00FD08D0">
          <w:footerReference w:type="default" r:id="rId10"/>
          <w:headerReference w:type="first" r:id="rId11"/>
          <w:footerReference w:type="first" r:id="rId12"/>
          <w:pgSz w:w="12240" w:h="15840" w:code="1"/>
          <w:pgMar w:top="1440" w:right="1440" w:bottom="1440" w:left="1440" w:header="720" w:footer="720" w:gutter="0"/>
          <w:pgNumType w:start="0"/>
          <w:cols w:space="720"/>
          <w:vAlign w:val="center"/>
          <w:docGrid w:linePitch="299"/>
        </w:sectPr>
      </w:pPr>
    </w:p>
    <w:p w14:paraId="5327CE3B" w14:textId="488506BB" w:rsidR="00A626FE" w:rsidRPr="000E309B" w:rsidRDefault="00275E20" w:rsidP="001A42C6">
      <w:pPr>
        <w:pStyle w:val="Heading1"/>
      </w:pPr>
      <w:bookmarkStart w:id="0" w:name="_Toc169156665"/>
      <w:r w:rsidRPr="000E309B">
        <w:lastRenderedPageBreak/>
        <w:t>F</w:t>
      </w:r>
      <w:r w:rsidR="001F7EF7" w:rsidRPr="000E309B">
        <w:t>oreword</w:t>
      </w:r>
      <w:bookmarkEnd w:id="0"/>
    </w:p>
    <w:p w14:paraId="3F96024C" w14:textId="6998176B" w:rsidR="00C0691B" w:rsidRDefault="00C0691B" w:rsidP="00C0691B">
      <w:r>
        <w:t xml:space="preserve">It is with great pleasure that I welcome you to BASV 316, Introductory Methods of Analysis! As your instructor, I am excited to share my enthusiasm for research methodology and guide you through this online course. Since 2010, I have been teaching this </w:t>
      </w:r>
      <w:r w:rsidR="00C958EC">
        <w:t>class</w:t>
      </w:r>
      <w:r>
        <w:t>, and I have come to understand the importance of providing students with a comprehensive and accessible textbook that addresses the specific needs of business students.</w:t>
      </w:r>
    </w:p>
    <w:p w14:paraId="35D44D1B" w14:textId="77777777" w:rsidR="00C0691B" w:rsidRDefault="00C0691B" w:rsidP="00C0691B">
      <w:r>
        <w:t>To ensure that you have the best possible learning experience, I have written a textbook tailored specifically for this course. Now in its fifth edition, this book represents my dedication to providing you with a valuable resource that you can utilize not only in this class but also in future courses that require research projects. I strongly believe that access to quality educational materials should not be hindered by exorbitant prices, which is why I have made this book available to you free of charge.</w:t>
      </w:r>
    </w:p>
    <w:p w14:paraId="65016149" w14:textId="30887F5D" w:rsidR="00C0691B" w:rsidRDefault="00C0691B" w:rsidP="00C0691B">
      <w:r>
        <w:t>In developing this textbook, I drew inspiration from the works of Bhattacherjee</w:t>
      </w:r>
      <w:r w:rsidR="00C958EC">
        <w:t xml:space="preserve"> </w:t>
      </w:r>
      <w:r w:rsidR="00C958EC">
        <w:fldChar w:fldCharType="begin"/>
      </w:r>
      <w:r w:rsidR="007C07B4">
        <w:instrText xml:space="preserve"> ADDIN ZOTERO_ITEM CSL_CITATION {"citationID":"a1mtl224mvd","properties":{"formattedCitation":"[1]","plainCitation":"[1]","noteIndex":0},"citationItems":[{"id":81,"uris":["http://zotero.org/users/5015692/items/7PX2LR5J"],"itemData":{"id":81,"type":"article-journal","title":"Social science research: Principles, methods, and practices","author":[{"family":"Bhattacherjee","given":"Anol"}],"issued":{"date-parts":[["2012"]]}}}],"schema":"https://github.com/citation-style-language/schema/raw/master/csl-citation.json"} </w:instrText>
      </w:r>
      <w:r w:rsidR="00C958EC">
        <w:fldChar w:fldCharType="separate"/>
      </w:r>
      <w:r w:rsidR="007C07B4" w:rsidRPr="007C07B4">
        <w:rPr>
          <w:rFonts w:cs="Times New Roman"/>
        </w:rPr>
        <w:t>[1]</w:t>
      </w:r>
      <w:r w:rsidR="00C958EC">
        <w:fldChar w:fldCharType="end"/>
      </w:r>
      <w:r>
        <w:t>, Blackstone</w:t>
      </w:r>
      <w:r w:rsidR="00E508F1">
        <w:t xml:space="preserve"> </w:t>
      </w:r>
      <w:r w:rsidR="00E508F1">
        <w:fldChar w:fldCharType="begin"/>
      </w:r>
      <w:r w:rsidR="007C07B4">
        <w:instrText xml:space="preserve"> ADDIN ZOTERO_ITEM CSL_CITATION {"citationID":"a58oktn3fh","properties":{"formattedCitation":"[2]","plainCitation":"[2]","noteIndex":0},"citationItems":[{"id":82,"uris":["http://zotero.org/users/5015692/items/KPFQFANX"],"itemData":{"id":82,"type":"book","publisher":"The Saylor Foundation","title":"Principles of sociological inquiry–qualitative and quantitative methods","author":[{"family":"Blackstone","given":"Amy"}],"issued":{"date-parts":[["2012"]]}}}],"schema":"https://github.com/citation-style-language/schema/raw/master/csl-citation.json"} </w:instrText>
      </w:r>
      <w:r w:rsidR="00E508F1">
        <w:fldChar w:fldCharType="separate"/>
      </w:r>
      <w:r w:rsidR="007C07B4" w:rsidRPr="007C07B4">
        <w:rPr>
          <w:rFonts w:cs="Times New Roman"/>
        </w:rPr>
        <w:t>[2]</w:t>
      </w:r>
      <w:r w:rsidR="00E508F1">
        <w:fldChar w:fldCharType="end"/>
      </w:r>
      <w:r>
        <w:t>, and Price</w:t>
      </w:r>
      <w:r w:rsidR="00E508F1">
        <w:t xml:space="preserve"> </w:t>
      </w:r>
      <w:r w:rsidR="00E508F1">
        <w:fldChar w:fldCharType="begin"/>
      </w:r>
      <w:r w:rsidR="007C07B4">
        <w:instrText xml:space="preserve"> ADDIN ZOTERO_ITEM CSL_CITATION {"citationID":"a1njjr6djqt","properties":{"formattedCitation":"[3]","plainCitation":"[3]","noteIndex":0},"citationItems":[{"id":75,"uris":["http://zotero.org/users/5015692/items/35X8S984"],"itemData":{"id":75,"type":"book","publisher":"BCcampus, BC Open Textbook Project","title":"Research methods in psychology","author":[{"family":"Price","given":"Paul Christopher"},{"family":"Chiang","given":"I-Chant A"},{"family":"Jhangiani","given":"Rajiv"}],"issued":{"date-parts":[["2015"]]}}}],"schema":"https://github.com/citation-style-language/schema/raw/master/csl-citation.json"} </w:instrText>
      </w:r>
      <w:r w:rsidR="00E508F1">
        <w:fldChar w:fldCharType="separate"/>
      </w:r>
      <w:r w:rsidR="007C07B4" w:rsidRPr="007C07B4">
        <w:rPr>
          <w:rFonts w:cs="Times New Roman"/>
        </w:rPr>
        <w:t>[3]</w:t>
      </w:r>
      <w:r w:rsidR="00E508F1">
        <w:fldChar w:fldCharType="end"/>
      </w:r>
      <w:r>
        <w:t xml:space="preserve">, who generously released their books on research in the social sciences under a Creative Commons Attribution-NonCommercial-ShareAlike license. </w:t>
      </w:r>
      <w:r w:rsidR="00657427">
        <w:t xml:space="preserve">I would like to express my gratitude to these authors for their initial contributions. </w:t>
      </w:r>
      <w:r>
        <w:t xml:space="preserve">While their contributions formed the basis for the first edition, the current version has been extensively revised and rewritten </w:t>
      </w:r>
      <w:r w:rsidR="00536CFB">
        <w:t xml:space="preserve">over the years </w:t>
      </w:r>
      <w:r>
        <w:t xml:space="preserve">to emphasize business research and better align with our class objectives. </w:t>
      </w:r>
    </w:p>
    <w:p w14:paraId="3094B63F" w14:textId="77777777" w:rsidR="00C0691B" w:rsidRDefault="00C0691B" w:rsidP="00C0691B">
      <w:r>
        <w:t>Throughout the book, you will find a balanced coverage of both qualitative and quantitative research methods, recognizing the importance of both in the business world. I have made every effort to ensure that the text is engaging and easy to read, focusing on topics that are relevant and accessible to business students like yourselves.</w:t>
      </w:r>
    </w:p>
    <w:p w14:paraId="760336EB" w14:textId="264480B0" w:rsidR="00C0691B" w:rsidRDefault="00C0691B" w:rsidP="00C0691B">
      <w:r>
        <w:t>In the process of crafting this book, I have also embraced the use of artificial intelligence tools to enhance the content and presentation. These tools have assisted me in refining the language, ensuring clarity, and providing additional insights to make the material more valuable to you as learners.</w:t>
      </w:r>
      <w:r w:rsidR="001D7968">
        <w:t xml:space="preserve"> I also used AI tools to generate many of the images used in this book.</w:t>
      </w:r>
    </w:p>
    <w:p w14:paraId="757C16D7" w14:textId="5736814A" w:rsidR="00C0691B" w:rsidRDefault="00C0691B" w:rsidP="00C0691B">
      <w:r>
        <w:t xml:space="preserve">It is my sincere hope that this textbook will serve as a valuable resource in your academic journey, empowering you to approach research projects with confidence and skill. </w:t>
      </w:r>
      <w:r w:rsidR="005A658B">
        <w:t>M</w:t>
      </w:r>
      <w:r>
        <w:t>y goal is to create a supportive learning environment where you can explore, question, and grow as researchers.</w:t>
      </w:r>
    </w:p>
    <w:p w14:paraId="6BCBD216" w14:textId="7181F47C" w:rsidR="0030691C" w:rsidRDefault="00C0691B" w:rsidP="00C0691B">
      <w:r>
        <w:t>Once again, welcome to BASV 316. I am thrilled to embark on this exciting learning adventure with you!</w:t>
      </w:r>
    </w:p>
    <w:p w14:paraId="22BC378E" w14:textId="77777777" w:rsidR="0030691C" w:rsidRDefault="0030691C" w:rsidP="0030691C">
      <w:r>
        <w:t>Best regards,</w:t>
      </w:r>
    </w:p>
    <w:p w14:paraId="4EA8DA51" w14:textId="1F904124" w:rsidR="00107860" w:rsidRDefault="00613335" w:rsidP="009A2257">
      <w:pPr>
        <w:spacing w:line="360" w:lineRule="auto"/>
      </w:pPr>
      <w:r w:rsidRPr="000E309B">
        <w:t xml:space="preserve">— </w:t>
      </w:r>
      <w:r w:rsidRPr="00BB66E7">
        <w:rPr>
          <w:rFonts w:ascii="Brush Script MT" w:hAnsi="Brush Script MT"/>
          <w:sz w:val="28"/>
          <w:szCs w:val="28"/>
        </w:rPr>
        <w:t>George Self</w:t>
      </w:r>
    </w:p>
    <w:p w14:paraId="03B43331" w14:textId="77777777" w:rsidR="003734DC" w:rsidRDefault="003734DC" w:rsidP="00613335">
      <w:pPr>
        <w:spacing w:line="360" w:lineRule="auto"/>
        <w:sectPr w:rsidR="003734DC" w:rsidSect="00FD08D0">
          <w:headerReference w:type="default" r:id="rId13"/>
          <w:footerReference w:type="default" r:id="rId14"/>
          <w:headerReference w:type="first" r:id="rId15"/>
          <w:footerReference w:type="first" r:id="rId16"/>
          <w:pgSz w:w="12240" w:h="15840"/>
          <w:pgMar w:top="1440" w:right="1440" w:bottom="1440" w:left="1440" w:header="720" w:footer="720" w:gutter="0"/>
          <w:pgNumType w:fmt="lowerRoman" w:start="1"/>
          <w:cols w:space="720"/>
          <w:docGrid w:linePitch="299"/>
        </w:sectPr>
      </w:pPr>
    </w:p>
    <w:sdt>
      <w:sdtPr>
        <w:rPr>
          <w:rFonts w:asciiTheme="minorHAnsi" w:eastAsiaTheme="minorEastAsia" w:hAnsiTheme="minorHAnsi" w:cstheme="minorBidi"/>
          <w:color w:val="auto"/>
          <w:sz w:val="22"/>
          <w:szCs w:val="22"/>
        </w:rPr>
        <w:id w:val="-1811699313"/>
        <w:docPartObj>
          <w:docPartGallery w:val="Table of Contents"/>
          <w:docPartUnique/>
        </w:docPartObj>
      </w:sdtPr>
      <w:sdtEndPr>
        <w:rPr>
          <w:rFonts w:ascii="Aptos" w:hAnsi="Aptos"/>
          <w:b/>
          <w:bCs/>
          <w:noProof/>
        </w:rPr>
      </w:sdtEndPr>
      <w:sdtContent>
        <w:p w14:paraId="57F28159" w14:textId="5BEDB9EB" w:rsidR="003B208D" w:rsidRDefault="003B208D">
          <w:pPr>
            <w:pStyle w:val="TOCHeading"/>
          </w:pPr>
          <w:r>
            <w:t>Contents</w:t>
          </w:r>
        </w:p>
        <w:p w14:paraId="5F5A303D" w14:textId="7D212F55" w:rsidR="00980002" w:rsidRDefault="003B208D">
          <w:pPr>
            <w:pStyle w:val="TOC1"/>
            <w:tabs>
              <w:tab w:val="right" w:leader="dot" w:pos="9350"/>
            </w:tabs>
            <w:rPr>
              <w:rFonts w:asciiTheme="minorHAnsi" w:hAnsiTheme="minorHAnsi"/>
              <w:noProof/>
              <w:kern w:val="2"/>
              <w:sz w:val="24"/>
              <w:szCs w:val="24"/>
              <w14:ligatures w14:val="standardContextual"/>
            </w:rPr>
          </w:pPr>
          <w:r>
            <w:fldChar w:fldCharType="begin"/>
          </w:r>
          <w:r>
            <w:instrText xml:space="preserve"> TOC \o "1-3" \h \z \u </w:instrText>
          </w:r>
          <w:r>
            <w:fldChar w:fldCharType="separate"/>
          </w:r>
          <w:hyperlink w:anchor="_Toc169156665" w:history="1">
            <w:r w:rsidR="00980002" w:rsidRPr="00897F17">
              <w:rPr>
                <w:rStyle w:val="Hyperlink"/>
                <w:noProof/>
              </w:rPr>
              <w:t>Foreword</w:t>
            </w:r>
            <w:r w:rsidR="00980002">
              <w:rPr>
                <w:noProof/>
                <w:webHidden/>
              </w:rPr>
              <w:tab/>
            </w:r>
            <w:r w:rsidR="00980002">
              <w:rPr>
                <w:noProof/>
                <w:webHidden/>
              </w:rPr>
              <w:fldChar w:fldCharType="begin"/>
            </w:r>
            <w:r w:rsidR="00980002">
              <w:rPr>
                <w:noProof/>
                <w:webHidden/>
              </w:rPr>
              <w:instrText xml:space="preserve"> PAGEREF _Toc169156665 \h </w:instrText>
            </w:r>
            <w:r w:rsidR="00980002">
              <w:rPr>
                <w:noProof/>
                <w:webHidden/>
              </w:rPr>
            </w:r>
            <w:r w:rsidR="00980002">
              <w:rPr>
                <w:noProof/>
                <w:webHidden/>
              </w:rPr>
              <w:fldChar w:fldCharType="separate"/>
            </w:r>
            <w:r w:rsidR="00980002">
              <w:rPr>
                <w:noProof/>
                <w:webHidden/>
              </w:rPr>
              <w:t>i</w:t>
            </w:r>
            <w:r w:rsidR="00980002">
              <w:rPr>
                <w:noProof/>
                <w:webHidden/>
              </w:rPr>
              <w:fldChar w:fldCharType="end"/>
            </w:r>
          </w:hyperlink>
        </w:p>
        <w:p w14:paraId="21F97AE4" w14:textId="7DB9C505" w:rsidR="00980002" w:rsidRDefault="00980002">
          <w:pPr>
            <w:pStyle w:val="TOC1"/>
            <w:tabs>
              <w:tab w:val="right" w:leader="dot" w:pos="9350"/>
            </w:tabs>
            <w:rPr>
              <w:rFonts w:asciiTheme="minorHAnsi" w:hAnsiTheme="minorHAnsi"/>
              <w:noProof/>
              <w:kern w:val="2"/>
              <w:sz w:val="24"/>
              <w:szCs w:val="24"/>
              <w14:ligatures w14:val="standardContextual"/>
            </w:rPr>
          </w:pPr>
          <w:hyperlink w:anchor="_Toc169156666" w:history="1">
            <w:r w:rsidRPr="00897F17">
              <w:rPr>
                <w:rStyle w:val="Hyperlink"/>
                <w:noProof/>
              </w:rPr>
              <w:t>Background</w:t>
            </w:r>
            <w:r>
              <w:rPr>
                <w:noProof/>
                <w:webHidden/>
              </w:rPr>
              <w:tab/>
            </w:r>
            <w:r>
              <w:rPr>
                <w:noProof/>
                <w:webHidden/>
              </w:rPr>
              <w:fldChar w:fldCharType="begin"/>
            </w:r>
            <w:r>
              <w:rPr>
                <w:noProof/>
                <w:webHidden/>
              </w:rPr>
              <w:instrText xml:space="preserve"> PAGEREF _Toc169156666 \h </w:instrText>
            </w:r>
            <w:r>
              <w:rPr>
                <w:noProof/>
                <w:webHidden/>
              </w:rPr>
            </w:r>
            <w:r>
              <w:rPr>
                <w:noProof/>
                <w:webHidden/>
              </w:rPr>
              <w:fldChar w:fldCharType="separate"/>
            </w:r>
            <w:r>
              <w:rPr>
                <w:noProof/>
                <w:webHidden/>
              </w:rPr>
              <w:t>8</w:t>
            </w:r>
            <w:r>
              <w:rPr>
                <w:noProof/>
                <w:webHidden/>
              </w:rPr>
              <w:fldChar w:fldCharType="end"/>
            </w:r>
          </w:hyperlink>
        </w:p>
        <w:p w14:paraId="7AEC316D" w14:textId="20868F30"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667" w:history="1">
            <w:r w:rsidRPr="00897F17">
              <w:rPr>
                <w:rStyle w:val="Hyperlink"/>
                <w:noProof/>
              </w:rPr>
              <w:t>1: Introduction</w:t>
            </w:r>
            <w:r>
              <w:rPr>
                <w:noProof/>
                <w:webHidden/>
              </w:rPr>
              <w:tab/>
            </w:r>
            <w:r>
              <w:rPr>
                <w:noProof/>
                <w:webHidden/>
              </w:rPr>
              <w:fldChar w:fldCharType="begin"/>
            </w:r>
            <w:r>
              <w:rPr>
                <w:noProof/>
                <w:webHidden/>
              </w:rPr>
              <w:instrText xml:space="preserve"> PAGEREF _Toc169156667 \h </w:instrText>
            </w:r>
            <w:r>
              <w:rPr>
                <w:noProof/>
                <w:webHidden/>
              </w:rPr>
            </w:r>
            <w:r>
              <w:rPr>
                <w:noProof/>
                <w:webHidden/>
              </w:rPr>
              <w:fldChar w:fldCharType="separate"/>
            </w:r>
            <w:r>
              <w:rPr>
                <w:noProof/>
                <w:webHidden/>
              </w:rPr>
              <w:t>9</w:t>
            </w:r>
            <w:r>
              <w:rPr>
                <w:noProof/>
                <w:webHidden/>
              </w:rPr>
              <w:fldChar w:fldCharType="end"/>
            </w:r>
          </w:hyperlink>
        </w:p>
        <w:p w14:paraId="52311011" w14:textId="7CC1CE8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68" w:history="1">
            <w:r w:rsidRPr="00897F17">
              <w:rPr>
                <w:rStyle w:val="Hyperlink"/>
                <w:noProof/>
              </w:rPr>
              <w:t>Introduction to Research: Helping Business Owners Make Informed Decisions</w:t>
            </w:r>
            <w:r>
              <w:rPr>
                <w:noProof/>
                <w:webHidden/>
              </w:rPr>
              <w:tab/>
            </w:r>
            <w:r>
              <w:rPr>
                <w:noProof/>
                <w:webHidden/>
              </w:rPr>
              <w:fldChar w:fldCharType="begin"/>
            </w:r>
            <w:r>
              <w:rPr>
                <w:noProof/>
                <w:webHidden/>
              </w:rPr>
              <w:instrText xml:space="preserve"> PAGEREF _Toc169156668 \h </w:instrText>
            </w:r>
            <w:r>
              <w:rPr>
                <w:noProof/>
                <w:webHidden/>
              </w:rPr>
            </w:r>
            <w:r>
              <w:rPr>
                <w:noProof/>
                <w:webHidden/>
              </w:rPr>
              <w:fldChar w:fldCharType="separate"/>
            </w:r>
            <w:r>
              <w:rPr>
                <w:noProof/>
                <w:webHidden/>
              </w:rPr>
              <w:t>10</w:t>
            </w:r>
            <w:r>
              <w:rPr>
                <w:noProof/>
                <w:webHidden/>
              </w:rPr>
              <w:fldChar w:fldCharType="end"/>
            </w:r>
          </w:hyperlink>
        </w:p>
        <w:p w14:paraId="3F42448D" w14:textId="33EEF38A"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69" w:history="1">
            <w:r w:rsidRPr="00897F17">
              <w:rPr>
                <w:rStyle w:val="Hyperlink"/>
                <w:noProof/>
              </w:rPr>
              <w:t>What Is Science?</w:t>
            </w:r>
            <w:r>
              <w:rPr>
                <w:noProof/>
                <w:webHidden/>
              </w:rPr>
              <w:tab/>
            </w:r>
            <w:r>
              <w:rPr>
                <w:noProof/>
                <w:webHidden/>
              </w:rPr>
              <w:fldChar w:fldCharType="begin"/>
            </w:r>
            <w:r>
              <w:rPr>
                <w:noProof/>
                <w:webHidden/>
              </w:rPr>
              <w:instrText xml:space="preserve"> PAGEREF _Toc169156669 \h </w:instrText>
            </w:r>
            <w:r>
              <w:rPr>
                <w:noProof/>
                <w:webHidden/>
              </w:rPr>
            </w:r>
            <w:r>
              <w:rPr>
                <w:noProof/>
                <w:webHidden/>
              </w:rPr>
              <w:fldChar w:fldCharType="separate"/>
            </w:r>
            <w:r>
              <w:rPr>
                <w:noProof/>
                <w:webHidden/>
              </w:rPr>
              <w:t>12</w:t>
            </w:r>
            <w:r>
              <w:rPr>
                <w:noProof/>
                <w:webHidden/>
              </w:rPr>
              <w:fldChar w:fldCharType="end"/>
            </w:r>
          </w:hyperlink>
        </w:p>
        <w:p w14:paraId="6C4CB009" w14:textId="23A9C53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0" w:history="1">
            <w:r w:rsidRPr="00897F17">
              <w:rPr>
                <w:rStyle w:val="Hyperlink"/>
                <w:noProof/>
              </w:rPr>
              <w:t>The Interplay of Theory and Evidence in Scientific Research</w:t>
            </w:r>
            <w:r>
              <w:rPr>
                <w:noProof/>
                <w:webHidden/>
              </w:rPr>
              <w:tab/>
            </w:r>
            <w:r>
              <w:rPr>
                <w:noProof/>
                <w:webHidden/>
              </w:rPr>
              <w:fldChar w:fldCharType="begin"/>
            </w:r>
            <w:r>
              <w:rPr>
                <w:noProof/>
                <w:webHidden/>
              </w:rPr>
              <w:instrText xml:space="preserve"> PAGEREF _Toc169156670 \h </w:instrText>
            </w:r>
            <w:r>
              <w:rPr>
                <w:noProof/>
                <w:webHidden/>
              </w:rPr>
            </w:r>
            <w:r>
              <w:rPr>
                <w:noProof/>
                <w:webHidden/>
              </w:rPr>
              <w:fldChar w:fldCharType="separate"/>
            </w:r>
            <w:r>
              <w:rPr>
                <w:noProof/>
                <w:webHidden/>
              </w:rPr>
              <w:t>14</w:t>
            </w:r>
            <w:r>
              <w:rPr>
                <w:noProof/>
                <w:webHidden/>
              </w:rPr>
              <w:fldChar w:fldCharType="end"/>
            </w:r>
          </w:hyperlink>
        </w:p>
        <w:p w14:paraId="550A28CD" w14:textId="5C0EFFE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1" w:history="1">
            <w:r w:rsidRPr="00897F17">
              <w:rPr>
                <w:rStyle w:val="Hyperlink"/>
                <w:noProof/>
              </w:rPr>
              <w:t>The Challenges of Theory-Building and Theory-Testing</w:t>
            </w:r>
            <w:r>
              <w:rPr>
                <w:noProof/>
                <w:webHidden/>
              </w:rPr>
              <w:tab/>
            </w:r>
            <w:r>
              <w:rPr>
                <w:noProof/>
                <w:webHidden/>
              </w:rPr>
              <w:fldChar w:fldCharType="begin"/>
            </w:r>
            <w:r>
              <w:rPr>
                <w:noProof/>
                <w:webHidden/>
              </w:rPr>
              <w:instrText xml:space="preserve"> PAGEREF _Toc169156671 \h </w:instrText>
            </w:r>
            <w:r>
              <w:rPr>
                <w:noProof/>
                <w:webHidden/>
              </w:rPr>
            </w:r>
            <w:r>
              <w:rPr>
                <w:noProof/>
                <w:webHidden/>
              </w:rPr>
              <w:fldChar w:fldCharType="separate"/>
            </w:r>
            <w:r>
              <w:rPr>
                <w:noProof/>
                <w:webHidden/>
              </w:rPr>
              <w:t>16</w:t>
            </w:r>
            <w:r>
              <w:rPr>
                <w:noProof/>
                <w:webHidden/>
              </w:rPr>
              <w:fldChar w:fldCharType="end"/>
            </w:r>
          </w:hyperlink>
        </w:p>
        <w:p w14:paraId="01CC3118" w14:textId="34D270F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2" w:history="1">
            <w:r w:rsidRPr="00897F17">
              <w:rPr>
                <w:rStyle w:val="Hyperlink"/>
                <w:noProof/>
              </w:rPr>
              <w:t>The Scientific Method: A Standardized Approach to Building Knowledge</w:t>
            </w:r>
            <w:r>
              <w:rPr>
                <w:noProof/>
                <w:webHidden/>
              </w:rPr>
              <w:tab/>
            </w:r>
            <w:r>
              <w:rPr>
                <w:noProof/>
                <w:webHidden/>
              </w:rPr>
              <w:fldChar w:fldCharType="begin"/>
            </w:r>
            <w:r>
              <w:rPr>
                <w:noProof/>
                <w:webHidden/>
              </w:rPr>
              <w:instrText xml:space="preserve"> PAGEREF _Toc169156672 \h </w:instrText>
            </w:r>
            <w:r>
              <w:rPr>
                <w:noProof/>
                <w:webHidden/>
              </w:rPr>
            </w:r>
            <w:r>
              <w:rPr>
                <w:noProof/>
                <w:webHidden/>
              </w:rPr>
              <w:fldChar w:fldCharType="separate"/>
            </w:r>
            <w:r>
              <w:rPr>
                <w:noProof/>
                <w:webHidden/>
              </w:rPr>
              <w:t>17</w:t>
            </w:r>
            <w:r>
              <w:rPr>
                <w:noProof/>
                <w:webHidden/>
              </w:rPr>
              <w:fldChar w:fldCharType="end"/>
            </w:r>
          </w:hyperlink>
        </w:p>
        <w:p w14:paraId="1184196C" w14:textId="75D64090"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3" w:history="1">
            <w:r w:rsidRPr="00897F17">
              <w:rPr>
                <w:rStyle w:val="Hyperlink"/>
                <w:noProof/>
              </w:rPr>
              <w:t>The Scope and Limitations of the Scientific Method</w:t>
            </w:r>
            <w:r>
              <w:rPr>
                <w:noProof/>
                <w:webHidden/>
              </w:rPr>
              <w:tab/>
            </w:r>
            <w:r>
              <w:rPr>
                <w:noProof/>
                <w:webHidden/>
              </w:rPr>
              <w:fldChar w:fldCharType="begin"/>
            </w:r>
            <w:r>
              <w:rPr>
                <w:noProof/>
                <w:webHidden/>
              </w:rPr>
              <w:instrText xml:space="preserve"> PAGEREF _Toc169156673 \h </w:instrText>
            </w:r>
            <w:r>
              <w:rPr>
                <w:noProof/>
                <w:webHidden/>
              </w:rPr>
            </w:r>
            <w:r>
              <w:rPr>
                <w:noProof/>
                <w:webHidden/>
              </w:rPr>
              <w:fldChar w:fldCharType="separate"/>
            </w:r>
            <w:r>
              <w:rPr>
                <w:noProof/>
                <w:webHidden/>
              </w:rPr>
              <w:t>18</w:t>
            </w:r>
            <w:r>
              <w:rPr>
                <w:noProof/>
                <w:webHidden/>
              </w:rPr>
              <w:fldChar w:fldCharType="end"/>
            </w:r>
          </w:hyperlink>
        </w:p>
        <w:p w14:paraId="13D00474" w14:textId="663DD16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4" w:history="1">
            <w:r w:rsidRPr="00897F17">
              <w:rPr>
                <w:rStyle w:val="Hyperlink"/>
                <w:noProof/>
              </w:rPr>
              <w:t>Types of Science Research</w:t>
            </w:r>
            <w:r>
              <w:rPr>
                <w:noProof/>
                <w:webHidden/>
              </w:rPr>
              <w:tab/>
            </w:r>
            <w:r>
              <w:rPr>
                <w:noProof/>
                <w:webHidden/>
              </w:rPr>
              <w:fldChar w:fldCharType="begin"/>
            </w:r>
            <w:r>
              <w:rPr>
                <w:noProof/>
                <w:webHidden/>
              </w:rPr>
              <w:instrText xml:space="preserve"> PAGEREF _Toc169156674 \h </w:instrText>
            </w:r>
            <w:r>
              <w:rPr>
                <w:noProof/>
                <w:webHidden/>
              </w:rPr>
            </w:r>
            <w:r>
              <w:rPr>
                <w:noProof/>
                <w:webHidden/>
              </w:rPr>
              <w:fldChar w:fldCharType="separate"/>
            </w:r>
            <w:r>
              <w:rPr>
                <w:noProof/>
                <w:webHidden/>
              </w:rPr>
              <w:t>19</w:t>
            </w:r>
            <w:r>
              <w:rPr>
                <w:noProof/>
                <w:webHidden/>
              </w:rPr>
              <w:fldChar w:fldCharType="end"/>
            </w:r>
          </w:hyperlink>
        </w:p>
        <w:p w14:paraId="2E4793CF" w14:textId="4B128CFB"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5" w:history="1">
            <w:r w:rsidRPr="00897F17">
              <w:rPr>
                <w:rStyle w:val="Hyperlink"/>
                <w:noProof/>
              </w:rPr>
              <w:t>Considerations for Business and Marketing Researchers</w:t>
            </w:r>
            <w:r>
              <w:rPr>
                <w:noProof/>
                <w:webHidden/>
              </w:rPr>
              <w:tab/>
            </w:r>
            <w:r>
              <w:rPr>
                <w:noProof/>
                <w:webHidden/>
              </w:rPr>
              <w:fldChar w:fldCharType="begin"/>
            </w:r>
            <w:r>
              <w:rPr>
                <w:noProof/>
                <w:webHidden/>
              </w:rPr>
              <w:instrText xml:space="preserve"> PAGEREF _Toc169156675 \h </w:instrText>
            </w:r>
            <w:r>
              <w:rPr>
                <w:noProof/>
                <w:webHidden/>
              </w:rPr>
            </w:r>
            <w:r>
              <w:rPr>
                <w:noProof/>
                <w:webHidden/>
              </w:rPr>
              <w:fldChar w:fldCharType="separate"/>
            </w:r>
            <w:r>
              <w:rPr>
                <w:noProof/>
                <w:webHidden/>
              </w:rPr>
              <w:t>23</w:t>
            </w:r>
            <w:r>
              <w:rPr>
                <w:noProof/>
                <w:webHidden/>
              </w:rPr>
              <w:fldChar w:fldCharType="end"/>
            </w:r>
          </w:hyperlink>
        </w:p>
        <w:p w14:paraId="0AFE327C" w14:textId="5DAC01D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6" w:history="1">
            <w:r w:rsidRPr="00897F17">
              <w:rPr>
                <w:rStyle w:val="Hyperlink"/>
                <w:noProof/>
              </w:rPr>
              <w:t>A Sampling of Research</w:t>
            </w:r>
            <w:r>
              <w:rPr>
                <w:noProof/>
                <w:webHidden/>
              </w:rPr>
              <w:tab/>
            </w:r>
            <w:r>
              <w:rPr>
                <w:noProof/>
                <w:webHidden/>
              </w:rPr>
              <w:fldChar w:fldCharType="begin"/>
            </w:r>
            <w:r>
              <w:rPr>
                <w:noProof/>
                <w:webHidden/>
              </w:rPr>
              <w:instrText xml:space="preserve"> PAGEREF _Toc169156676 \h </w:instrText>
            </w:r>
            <w:r>
              <w:rPr>
                <w:noProof/>
                <w:webHidden/>
              </w:rPr>
            </w:r>
            <w:r>
              <w:rPr>
                <w:noProof/>
                <w:webHidden/>
              </w:rPr>
              <w:fldChar w:fldCharType="separate"/>
            </w:r>
            <w:r>
              <w:rPr>
                <w:noProof/>
                <w:webHidden/>
              </w:rPr>
              <w:t>24</w:t>
            </w:r>
            <w:r>
              <w:rPr>
                <w:noProof/>
                <w:webHidden/>
              </w:rPr>
              <w:fldChar w:fldCharType="end"/>
            </w:r>
          </w:hyperlink>
        </w:p>
        <w:p w14:paraId="54E3810F" w14:textId="570D81E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7" w:history="1">
            <w:r w:rsidRPr="00897F17">
              <w:rPr>
                <w:rStyle w:val="Hyperlink"/>
                <w:noProof/>
              </w:rPr>
              <w:t>Summary of Chapter 1: Introduction</w:t>
            </w:r>
            <w:r>
              <w:rPr>
                <w:noProof/>
                <w:webHidden/>
              </w:rPr>
              <w:tab/>
            </w:r>
            <w:r>
              <w:rPr>
                <w:noProof/>
                <w:webHidden/>
              </w:rPr>
              <w:fldChar w:fldCharType="begin"/>
            </w:r>
            <w:r>
              <w:rPr>
                <w:noProof/>
                <w:webHidden/>
              </w:rPr>
              <w:instrText xml:space="preserve"> PAGEREF _Toc169156677 \h </w:instrText>
            </w:r>
            <w:r>
              <w:rPr>
                <w:noProof/>
                <w:webHidden/>
              </w:rPr>
            </w:r>
            <w:r>
              <w:rPr>
                <w:noProof/>
                <w:webHidden/>
              </w:rPr>
              <w:fldChar w:fldCharType="separate"/>
            </w:r>
            <w:r>
              <w:rPr>
                <w:noProof/>
                <w:webHidden/>
              </w:rPr>
              <w:t>25</w:t>
            </w:r>
            <w:r>
              <w:rPr>
                <w:noProof/>
                <w:webHidden/>
              </w:rPr>
              <w:fldChar w:fldCharType="end"/>
            </w:r>
          </w:hyperlink>
        </w:p>
        <w:p w14:paraId="36DAF743" w14:textId="407639E8"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678" w:history="1">
            <w:r w:rsidRPr="00897F17">
              <w:rPr>
                <w:rStyle w:val="Hyperlink"/>
                <w:noProof/>
              </w:rPr>
              <w:t>2: Foundations</w:t>
            </w:r>
            <w:r>
              <w:rPr>
                <w:noProof/>
                <w:webHidden/>
              </w:rPr>
              <w:tab/>
            </w:r>
            <w:r>
              <w:rPr>
                <w:noProof/>
                <w:webHidden/>
              </w:rPr>
              <w:fldChar w:fldCharType="begin"/>
            </w:r>
            <w:r>
              <w:rPr>
                <w:noProof/>
                <w:webHidden/>
              </w:rPr>
              <w:instrText xml:space="preserve"> PAGEREF _Toc169156678 \h </w:instrText>
            </w:r>
            <w:r>
              <w:rPr>
                <w:noProof/>
                <w:webHidden/>
              </w:rPr>
            </w:r>
            <w:r>
              <w:rPr>
                <w:noProof/>
                <w:webHidden/>
              </w:rPr>
              <w:fldChar w:fldCharType="separate"/>
            </w:r>
            <w:r>
              <w:rPr>
                <w:noProof/>
                <w:webHidden/>
              </w:rPr>
              <w:t>27</w:t>
            </w:r>
            <w:r>
              <w:rPr>
                <w:noProof/>
                <w:webHidden/>
              </w:rPr>
              <w:fldChar w:fldCharType="end"/>
            </w:r>
          </w:hyperlink>
        </w:p>
        <w:p w14:paraId="094CA4E1" w14:textId="1BF6870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79" w:history="1">
            <w:r w:rsidRPr="00897F17">
              <w:rPr>
                <w:rStyle w:val="Hyperlink"/>
                <w:noProof/>
              </w:rPr>
              <w:t>Introduction</w:t>
            </w:r>
            <w:r>
              <w:rPr>
                <w:noProof/>
                <w:webHidden/>
              </w:rPr>
              <w:tab/>
            </w:r>
            <w:r>
              <w:rPr>
                <w:noProof/>
                <w:webHidden/>
              </w:rPr>
              <w:fldChar w:fldCharType="begin"/>
            </w:r>
            <w:r>
              <w:rPr>
                <w:noProof/>
                <w:webHidden/>
              </w:rPr>
              <w:instrText xml:space="preserve"> PAGEREF _Toc169156679 \h </w:instrText>
            </w:r>
            <w:r>
              <w:rPr>
                <w:noProof/>
                <w:webHidden/>
              </w:rPr>
            </w:r>
            <w:r>
              <w:rPr>
                <w:noProof/>
                <w:webHidden/>
              </w:rPr>
              <w:fldChar w:fldCharType="separate"/>
            </w:r>
            <w:r>
              <w:rPr>
                <w:noProof/>
                <w:webHidden/>
              </w:rPr>
              <w:t>27</w:t>
            </w:r>
            <w:r>
              <w:rPr>
                <w:noProof/>
                <w:webHidden/>
              </w:rPr>
              <w:fldChar w:fldCharType="end"/>
            </w:r>
          </w:hyperlink>
        </w:p>
        <w:p w14:paraId="5C5DEF8D" w14:textId="16AF1CF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0" w:history="1">
            <w:r w:rsidRPr="00897F17">
              <w:rPr>
                <w:rStyle w:val="Hyperlink"/>
                <w:noProof/>
              </w:rPr>
              <w:t>Grounding Research in Philosophy: The Significance of Ontology and Epistemology</w:t>
            </w:r>
            <w:r>
              <w:rPr>
                <w:noProof/>
                <w:webHidden/>
              </w:rPr>
              <w:tab/>
            </w:r>
            <w:r>
              <w:rPr>
                <w:noProof/>
                <w:webHidden/>
              </w:rPr>
              <w:fldChar w:fldCharType="begin"/>
            </w:r>
            <w:r>
              <w:rPr>
                <w:noProof/>
                <w:webHidden/>
              </w:rPr>
              <w:instrText xml:space="preserve"> PAGEREF _Toc169156680 \h </w:instrText>
            </w:r>
            <w:r>
              <w:rPr>
                <w:noProof/>
                <w:webHidden/>
              </w:rPr>
            </w:r>
            <w:r>
              <w:rPr>
                <w:noProof/>
                <w:webHidden/>
              </w:rPr>
              <w:fldChar w:fldCharType="separate"/>
            </w:r>
            <w:r>
              <w:rPr>
                <w:noProof/>
                <w:webHidden/>
              </w:rPr>
              <w:t>28</w:t>
            </w:r>
            <w:r>
              <w:rPr>
                <w:noProof/>
                <w:webHidden/>
              </w:rPr>
              <w:fldChar w:fldCharType="end"/>
            </w:r>
          </w:hyperlink>
        </w:p>
        <w:p w14:paraId="1ABBEDAF" w14:textId="560AC5E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1" w:history="1">
            <w:r w:rsidRPr="00897F17">
              <w:rPr>
                <w:rStyle w:val="Hyperlink"/>
                <w:noProof/>
              </w:rPr>
              <w:t>Research Paradigms: Functionalism, Interpretivism, Radical Structuralism, and Radical Humanism</w:t>
            </w:r>
            <w:r>
              <w:rPr>
                <w:noProof/>
                <w:webHidden/>
              </w:rPr>
              <w:tab/>
            </w:r>
            <w:r>
              <w:rPr>
                <w:noProof/>
                <w:webHidden/>
              </w:rPr>
              <w:fldChar w:fldCharType="begin"/>
            </w:r>
            <w:r>
              <w:rPr>
                <w:noProof/>
                <w:webHidden/>
              </w:rPr>
              <w:instrText xml:space="preserve"> PAGEREF _Toc169156681 \h </w:instrText>
            </w:r>
            <w:r>
              <w:rPr>
                <w:noProof/>
                <w:webHidden/>
              </w:rPr>
            </w:r>
            <w:r>
              <w:rPr>
                <w:noProof/>
                <w:webHidden/>
              </w:rPr>
              <w:fldChar w:fldCharType="separate"/>
            </w:r>
            <w:r>
              <w:rPr>
                <w:noProof/>
                <w:webHidden/>
              </w:rPr>
              <w:t>29</w:t>
            </w:r>
            <w:r>
              <w:rPr>
                <w:noProof/>
                <w:webHidden/>
              </w:rPr>
              <w:fldChar w:fldCharType="end"/>
            </w:r>
          </w:hyperlink>
        </w:p>
        <w:p w14:paraId="369A16E9" w14:textId="21B55A7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2" w:history="1">
            <w:r w:rsidRPr="00897F17">
              <w:rPr>
                <w:rStyle w:val="Hyperlink"/>
                <w:noProof/>
              </w:rPr>
              <w:t>Paradigms and Theories in Business and Marketing Research</w:t>
            </w:r>
            <w:r>
              <w:rPr>
                <w:noProof/>
                <w:webHidden/>
              </w:rPr>
              <w:tab/>
            </w:r>
            <w:r>
              <w:rPr>
                <w:noProof/>
                <w:webHidden/>
              </w:rPr>
              <w:fldChar w:fldCharType="begin"/>
            </w:r>
            <w:r>
              <w:rPr>
                <w:noProof/>
                <w:webHidden/>
              </w:rPr>
              <w:instrText xml:space="preserve"> PAGEREF _Toc169156682 \h </w:instrText>
            </w:r>
            <w:r>
              <w:rPr>
                <w:noProof/>
                <w:webHidden/>
              </w:rPr>
            </w:r>
            <w:r>
              <w:rPr>
                <w:noProof/>
                <w:webHidden/>
              </w:rPr>
              <w:fldChar w:fldCharType="separate"/>
            </w:r>
            <w:r>
              <w:rPr>
                <w:noProof/>
                <w:webHidden/>
              </w:rPr>
              <w:t>31</w:t>
            </w:r>
            <w:r>
              <w:rPr>
                <w:noProof/>
                <w:webHidden/>
              </w:rPr>
              <w:fldChar w:fldCharType="end"/>
            </w:r>
          </w:hyperlink>
        </w:p>
        <w:p w14:paraId="506DB54C" w14:textId="2BB4058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3" w:history="1">
            <w:r w:rsidRPr="00897F17">
              <w:rPr>
                <w:rStyle w:val="Hyperlink"/>
                <w:noProof/>
              </w:rPr>
              <w:t>What is a Theory?</w:t>
            </w:r>
            <w:r>
              <w:rPr>
                <w:noProof/>
                <w:webHidden/>
              </w:rPr>
              <w:tab/>
            </w:r>
            <w:r>
              <w:rPr>
                <w:noProof/>
                <w:webHidden/>
              </w:rPr>
              <w:fldChar w:fldCharType="begin"/>
            </w:r>
            <w:r>
              <w:rPr>
                <w:noProof/>
                <w:webHidden/>
              </w:rPr>
              <w:instrText xml:space="preserve"> PAGEREF _Toc169156683 \h </w:instrText>
            </w:r>
            <w:r>
              <w:rPr>
                <w:noProof/>
                <w:webHidden/>
              </w:rPr>
            </w:r>
            <w:r>
              <w:rPr>
                <w:noProof/>
                <w:webHidden/>
              </w:rPr>
              <w:fldChar w:fldCharType="separate"/>
            </w:r>
            <w:r>
              <w:rPr>
                <w:noProof/>
                <w:webHidden/>
              </w:rPr>
              <w:t>32</w:t>
            </w:r>
            <w:r>
              <w:rPr>
                <w:noProof/>
                <w:webHidden/>
              </w:rPr>
              <w:fldChar w:fldCharType="end"/>
            </w:r>
          </w:hyperlink>
        </w:p>
        <w:p w14:paraId="1BD0F77C" w14:textId="56EB877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4" w:history="1">
            <w:r w:rsidRPr="00897F17">
              <w:rPr>
                <w:rStyle w:val="Hyperlink"/>
                <w:noProof/>
              </w:rPr>
              <w:t>Models</w:t>
            </w:r>
            <w:r>
              <w:rPr>
                <w:noProof/>
                <w:webHidden/>
              </w:rPr>
              <w:tab/>
            </w:r>
            <w:r>
              <w:rPr>
                <w:noProof/>
                <w:webHidden/>
              </w:rPr>
              <w:fldChar w:fldCharType="begin"/>
            </w:r>
            <w:r>
              <w:rPr>
                <w:noProof/>
                <w:webHidden/>
              </w:rPr>
              <w:instrText xml:space="preserve"> PAGEREF _Toc169156684 \h </w:instrText>
            </w:r>
            <w:r>
              <w:rPr>
                <w:noProof/>
                <w:webHidden/>
              </w:rPr>
            </w:r>
            <w:r>
              <w:rPr>
                <w:noProof/>
                <w:webHidden/>
              </w:rPr>
              <w:fldChar w:fldCharType="separate"/>
            </w:r>
            <w:r>
              <w:rPr>
                <w:noProof/>
                <w:webHidden/>
              </w:rPr>
              <w:t>40</w:t>
            </w:r>
            <w:r>
              <w:rPr>
                <w:noProof/>
                <w:webHidden/>
              </w:rPr>
              <w:fldChar w:fldCharType="end"/>
            </w:r>
          </w:hyperlink>
        </w:p>
        <w:p w14:paraId="3AB2FF7A" w14:textId="303BFE5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5" w:history="1">
            <w:r w:rsidRPr="00897F17">
              <w:rPr>
                <w:rStyle w:val="Hyperlink"/>
                <w:noProof/>
              </w:rPr>
              <w:t>Inductive or Deductive Approaches</w:t>
            </w:r>
            <w:r>
              <w:rPr>
                <w:noProof/>
                <w:webHidden/>
              </w:rPr>
              <w:tab/>
            </w:r>
            <w:r>
              <w:rPr>
                <w:noProof/>
                <w:webHidden/>
              </w:rPr>
              <w:fldChar w:fldCharType="begin"/>
            </w:r>
            <w:r>
              <w:rPr>
                <w:noProof/>
                <w:webHidden/>
              </w:rPr>
              <w:instrText xml:space="preserve"> PAGEREF _Toc169156685 \h </w:instrText>
            </w:r>
            <w:r>
              <w:rPr>
                <w:noProof/>
                <w:webHidden/>
              </w:rPr>
            </w:r>
            <w:r>
              <w:rPr>
                <w:noProof/>
                <w:webHidden/>
              </w:rPr>
              <w:fldChar w:fldCharType="separate"/>
            </w:r>
            <w:r>
              <w:rPr>
                <w:noProof/>
                <w:webHidden/>
              </w:rPr>
              <w:t>41</w:t>
            </w:r>
            <w:r>
              <w:rPr>
                <w:noProof/>
                <w:webHidden/>
              </w:rPr>
              <w:fldChar w:fldCharType="end"/>
            </w:r>
          </w:hyperlink>
        </w:p>
        <w:p w14:paraId="7FFFC455" w14:textId="1AB147F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6" w:history="1">
            <w:r w:rsidRPr="00897F17">
              <w:rPr>
                <w:rStyle w:val="Hyperlink"/>
                <w:noProof/>
              </w:rPr>
              <w:t>A Sampling of Research</w:t>
            </w:r>
            <w:r>
              <w:rPr>
                <w:noProof/>
                <w:webHidden/>
              </w:rPr>
              <w:tab/>
            </w:r>
            <w:r>
              <w:rPr>
                <w:noProof/>
                <w:webHidden/>
              </w:rPr>
              <w:fldChar w:fldCharType="begin"/>
            </w:r>
            <w:r>
              <w:rPr>
                <w:noProof/>
                <w:webHidden/>
              </w:rPr>
              <w:instrText xml:space="preserve"> PAGEREF _Toc169156686 \h </w:instrText>
            </w:r>
            <w:r>
              <w:rPr>
                <w:noProof/>
                <w:webHidden/>
              </w:rPr>
            </w:r>
            <w:r>
              <w:rPr>
                <w:noProof/>
                <w:webHidden/>
              </w:rPr>
              <w:fldChar w:fldCharType="separate"/>
            </w:r>
            <w:r>
              <w:rPr>
                <w:noProof/>
                <w:webHidden/>
              </w:rPr>
              <w:t>44</w:t>
            </w:r>
            <w:r>
              <w:rPr>
                <w:noProof/>
                <w:webHidden/>
              </w:rPr>
              <w:fldChar w:fldCharType="end"/>
            </w:r>
          </w:hyperlink>
        </w:p>
        <w:p w14:paraId="121BE8FE" w14:textId="5AD22E4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7" w:history="1">
            <w:r w:rsidRPr="00897F17">
              <w:rPr>
                <w:rStyle w:val="Hyperlink"/>
                <w:noProof/>
              </w:rPr>
              <w:t>Summary of Chapter 2: Foundations</w:t>
            </w:r>
            <w:r>
              <w:rPr>
                <w:noProof/>
                <w:webHidden/>
              </w:rPr>
              <w:tab/>
            </w:r>
            <w:r>
              <w:rPr>
                <w:noProof/>
                <w:webHidden/>
              </w:rPr>
              <w:fldChar w:fldCharType="begin"/>
            </w:r>
            <w:r>
              <w:rPr>
                <w:noProof/>
                <w:webHidden/>
              </w:rPr>
              <w:instrText xml:space="preserve"> PAGEREF _Toc169156687 \h </w:instrText>
            </w:r>
            <w:r>
              <w:rPr>
                <w:noProof/>
                <w:webHidden/>
              </w:rPr>
            </w:r>
            <w:r>
              <w:rPr>
                <w:noProof/>
                <w:webHidden/>
              </w:rPr>
              <w:fldChar w:fldCharType="separate"/>
            </w:r>
            <w:r>
              <w:rPr>
                <w:noProof/>
                <w:webHidden/>
              </w:rPr>
              <w:t>45</w:t>
            </w:r>
            <w:r>
              <w:rPr>
                <w:noProof/>
                <w:webHidden/>
              </w:rPr>
              <w:fldChar w:fldCharType="end"/>
            </w:r>
          </w:hyperlink>
        </w:p>
        <w:p w14:paraId="53C61258" w14:textId="5DAD1B1F"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688" w:history="1">
            <w:r w:rsidRPr="00897F17">
              <w:rPr>
                <w:rStyle w:val="Hyperlink"/>
                <w:noProof/>
              </w:rPr>
              <w:t>3: Ethics in Research: Upholding the Integrity of Science</w:t>
            </w:r>
            <w:r>
              <w:rPr>
                <w:noProof/>
                <w:webHidden/>
              </w:rPr>
              <w:tab/>
            </w:r>
            <w:r>
              <w:rPr>
                <w:noProof/>
                <w:webHidden/>
              </w:rPr>
              <w:fldChar w:fldCharType="begin"/>
            </w:r>
            <w:r>
              <w:rPr>
                <w:noProof/>
                <w:webHidden/>
              </w:rPr>
              <w:instrText xml:space="preserve"> PAGEREF _Toc169156688 \h </w:instrText>
            </w:r>
            <w:r>
              <w:rPr>
                <w:noProof/>
                <w:webHidden/>
              </w:rPr>
            </w:r>
            <w:r>
              <w:rPr>
                <w:noProof/>
                <w:webHidden/>
              </w:rPr>
              <w:fldChar w:fldCharType="separate"/>
            </w:r>
            <w:r>
              <w:rPr>
                <w:noProof/>
                <w:webHidden/>
              </w:rPr>
              <w:t>46</w:t>
            </w:r>
            <w:r>
              <w:rPr>
                <w:noProof/>
                <w:webHidden/>
              </w:rPr>
              <w:fldChar w:fldCharType="end"/>
            </w:r>
          </w:hyperlink>
        </w:p>
        <w:p w14:paraId="70BA8B0A" w14:textId="63227EA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89" w:history="1">
            <w:r w:rsidRPr="00897F17">
              <w:rPr>
                <w:rStyle w:val="Hyperlink"/>
                <w:noProof/>
              </w:rPr>
              <w:t>Introduction</w:t>
            </w:r>
            <w:r>
              <w:rPr>
                <w:noProof/>
                <w:webHidden/>
              </w:rPr>
              <w:tab/>
            </w:r>
            <w:r>
              <w:rPr>
                <w:noProof/>
                <w:webHidden/>
              </w:rPr>
              <w:fldChar w:fldCharType="begin"/>
            </w:r>
            <w:r>
              <w:rPr>
                <w:noProof/>
                <w:webHidden/>
              </w:rPr>
              <w:instrText xml:space="preserve"> PAGEREF _Toc169156689 \h </w:instrText>
            </w:r>
            <w:r>
              <w:rPr>
                <w:noProof/>
                <w:webHidden/>
              </w:rPr>
            </w:r>
            <w:r>
              <w:rPr>
                <w:noProof/>
                <w:webHidden/>
              </w:rPr>
              <w:fldChar w:fldCharType="separate"/>
            </w:r>
            <w:r>
              <w:rPr>
                <w:noProof/>
                <w:webHidden/>
              </w:rPr>
              <w:t>46</w:t>
            </w:r>
            <w:r>
              <w:rPr>
                <w:noProof/>
                <w:webHidden/>
              </w:rPr>
              <w:fldChar w:fldCharType="end"/>
            </w:r>
          </w:hyperlink>
        </w:p>
        <w:p w14:paraId="3F74ED01" w14:textId="7BF0608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0" w:history="1">
            <w:r w:rsidRPr="00897F17">
              <w:rPr>
                <w:rStyle w:val="Hyperlink"/>
                <w:noProof/>
              </w:rPr>
              <w:t>The Spectrum of Research Misconduct: From Fraud to Everyday Temptations</w:t>
            </w:r>
            <w:r>
              <w:rPr>
                <w:noProof/>
                <w:webHidden/>
              </w:rPr>
              <w:tab/>
            </w:r>
            <w:r>
              <w:rPr>
                <w:noProof/>
                <w:webHidden/>
              </w:rPr>
              <w:fldChar w:fldCharType="begin"/>
            </w:r>
            <w:r>
              <w:rPr>
                <w:noProof/>
                <w:webHidden/>
              </w:rPr>
              <w:instrText xml:space="preserve"> PAGEREF _Toc169156690 \h </w:instrText>
            </w:r>
            <w:r>
              <w:rPr>
                <w:noProof/>
                <w:webHidden/>
              </w:rPr>
            </w:r>
            <w:r>
              <w:rPr>
                <w:noProof/>
                <w:webHidden/>
              </w:rPr>
              <w:fldChar w:fldCharType="separate"/>
            </w:r>
            <w:r>
              <w:rPr>
                <w:noProof/>
                <w:webHidden/>
              </w:rPr>
              <w:t>47</w:t>
            </w:r>
            <w:r>
              <w:rPr>
                <w:noProof/>
                <w:webHidden/>
              </w:rPr>
              <w:fldChar w:fldCharType="end"/>
            </w:r>
          </w:hyperlink>
        </w:p>
        <w:p w14:paraId="03B50846" w14:textId="3C84FB8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1" w:history="1">
            <w:r w:rsidRPr="00897F17">
              <w:rPr>
                <w:rStyle w:val="Hyperlink"/>
                <w:noProof/>
              </w:rPr>
              <w:t>Understanding Human and Nonhuman Research Subjects</w:t>
            </w:r>
            <w:r>
              <w:rPr>
                <w:noProof/>
                <w:webHidden/>
              </w:rPr>
              <w:tab/>
            </w:r>
            <w:r>
              <w:rPr>
                <w:noProof/>
                <w:webHidden/>
              </w:rPr>
              <w:fldChar w:fldCharType="begin"/>
            </w:r>
            <w:r>
              <w:rPr>
                <w:noProof/>
                <w:webHidden/>
              </w:rPr>
              <w:instrText xml:space="preserve"> PAGEREF _Toc169156691 \h </w:instrText>
            </w:r>
            <w:r>
              <w:rPr>
                <w:noProof/>
                <w:webHidden/>
              </w:rPr>
            </w:r>
            <w:r>
              <w:rPr>
                <w:noProof/>
                <w:webHidden/>
              </w:rPr>
              <w:fldChar w:fldCharType="separate"/>
            </w:r>
            <w:r>
              <w:rPr>
                <w:noProof/>
                <w:webHidden/>
              </w:rPr>
              <w:t>48</w:t>
            </w:r>
            <w:r>
              <w:rPr>
                <w:noProof/>
                <w:webHidden/>
              </w:rPr>
              <w:fldChar w:fldCharType="end"/>
            </w:r>
          </w:hyperlink>
        </w:p>
        <w:p w14:paraId="530B0ECA" w14:textId="76AD52F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2" w:history="1">
            <w:r w:rsidRPr="00897F17">
              <w:rPr>
                <w:rStyle w:val="Hyperlink"/>
                <w:noProof/>
              </w:rPr>
              <w:t>The Evolution of Ethics in Human Subjects Research</w:t>
            </w:r>
            <w:r>
              <w:rPr>
                <w:noProof/>
                <w:webHidden/>
              </w:rPr>
              <w:tab/>
            </w:r>
            <w:r>
              <w:rPr>
                <w:noProof/>
                <w:webHidden/>
              </w:rPr>
              <w:fldChar w:fldCharType="begin"/>
            </w:r>
            <w:r>
              <w:rPr>
                <w:noProof/>
                <w:webHidden/>
              </w:rPr>
              <w:instrText xml:space="preserve"> PAGEREF _Toc169156692 \h </w:instrText>
            </w:r>
            <w:r>
              <w:rPr>
                <w:noProof/>
                <w:webHidden/>
              </w:rPr>
            </w:r>
            <w:r>
              <w:rPr>
                <w:noProof/>
                <w:webHidden/>
              </w:rPr>
              <w:fldChar w:fldCharType="separate"/>
            </w:r>
            <w:r>
              <w:rPr>
                <w:noProof/>
                <w:webHidden/>
              </w:rPr>
              <w:t>48</w:t>
            </w:r>
            <w:r>
              <w:rPr>
                <w:noProof/>
                <w:webHidden/>
              </w:rPr>
              <w:fldChar w:fldCharType="end"/>
            </w:r>
          </w:hyperlink>
        </w:p>
        <w:p w14:paraId="6A433F69" w14:textId="79568B1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3" w:history="1">
            <w:r w:rsidRPr="00897F17">
              <w:rPr>
                <w:rStyle w:val="Hyperlink"/>
                <w:noProof/>
              </w:rPr>
              <w:t>Ethical Principles</w:t>
            </w:r>
            <w:r>
              <w:rPr>
                <w:noProof/>
                <w:webHidden/>
              </w:rPr>
              <w:tab/>
            </w:r>
            <w:r>
              <w:rPr>
                <w:noProof/>
                <w:webHidden/>
              </w:rPr>
              <w:fldChar w:fldCharType="begin"/>
            </w:r>
            <w:r>
              <w:rPr>
                <w:noProof/>
                <w:webHidden/>
              </w:rPr>
              <w:instrText xml:space="preserve"> PAGEREF _Toc169156693 \h </w:instrText>
            </w:r>
            <w:r>
              <w:rPr>
                <w:noProof/>
                <w:webHidden/>
              </w:rPr>
            </w:r>
            <w:r>
              <w:rPr>
                <w:noProof/>
                <w:webHidden/>
              </w:rPr>
              <w:fldChar w:fldCharType="separate"/>
            </w:r>
            <w:r>
              <w:rPr>
                <w:noProof/>
                <w:webHidden/>
              </w:rPr>
              <w:t>50</w:t>
            </w:r>
            <w:r>
              <w:rPr>
                <w:noProof/>
                <w:webHidden/>
              </w:rPr>
              <w:fldChar w:fldCharType="end"/>
            </w:r>
          </w:hyperlink>
        </w:p>
        <w:p w14:paraId="30E48BCB" w14:textId="5348D02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4" w:history="1">
            <w:r w:rsidRPr="00897F17">
              <w:rPr>
                <w:rStyle w:val="Hyperlink"/>
                <w:noProof/>
              </w:rPr>
              <w:t>Institutional Review Board (IRB)</w:t>
            </w:r>
            <w:r>
              <w:rPr>
                <w:noProof/>
                <w:webHidden/>
              </w:rPr>
              <w:tab/>
            </w:r>
            <w:r>
              <w:rPr>
                <w:noProof/>
                <w:webHidden/>
              </w:rPr>
              <w:fldChar w:fldCharType="begin"/>
            </w:r>
            <w:r>
              <w:rPr>
                <w:noProof/>
                <w:webHidden/>
              </w:rPr>
              <w:instrText xml:space="preserve"> PAGEREF _Toc169156694 \h </w:instrText>
            </w:r>
            <w:r>
              <w:rPr>
                <w:noProof/>
                <w:webHidden/>
              </w:rPr>
            </w:r>
            <w:r>
              <w:rPr>
                <w:noProof/>
                <w:webHidden/>
              </w:rPr>
              <w:fldChar w:fldCharType="separate"/>
            </w:r>
            <w:r>
              <w:rPr>
                <w:noProof/>
                <w:webHidden/>
              </w:rPr>
              <w:t>52</w:t>
            </w:r>
            <w:r>
              <w:rPr>
                <w:noProof/>
                <w:webHidden/>
              </w:rPr>
              <w:fldChar w:fldCharType="end"/>
            </w:r>
          </w:hyperlink>
        </w:p>
        <w:p w14:paraId="4AD3ACC2" w14:textId="778E71E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5" w:history="1">
            <w:r w:rsidRPr="00897F17">
              <w:rPr>
                <w:rStyle w:val="Hyperlink"/>
                <w:noProof/>
              </w:rPr>
              <w:t>Professional Codes of Ethics</w:t>
            </w:r>
            <w:r>
              <w:rPr>
                <w:noProof/>
                <w:webHidden/>
              </w:rPr>
              <w:tab/>
            </w:r>
            <w:r>
              <w:rPr>
                <w:noProof/>
                <w:webHidden/>
              </w:rPr>
              <w:fldChar w:fldCharType="begin"/>
            </w:r>
            <w:r>
              <w:rPr>
                <w:noProof/>
                <w:webHidden/>
              </w:rPr>
              <w:instrText xml:space="preserve"> PAGEREF _Toc169156695 \h </w:instrText>
            </w:r>
            <w:r>
              <w:rPr>
                <w:noProof/>
                <w:webHidden/>
              </w:rPr>
            </w:r>
            <w:r>
              <w:rPr>
                <w:noProof/>
                <w:webHidden/>
              </w:rPr>
              <w:fldChar w:fldCharType="separate"/>
            </w:r>
            <w:r>
              <w:rPr>
                <w:noProof/>
                <w:webHidden/>
              </w:rPr>
              <w:t>54</w:t>
            </w:r>
            <w:r>
              <w:rPr>
                <w:noProof/>
                <w:webHidden/>
              </w:rPr>
              <w:fldChar w:fldCharType="end"/>
            </w:r>
          </w:hyperlink>
        </w:p>
        <w:p w14:paraId="3597694A" w14:textId="5F41F32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6" w:history="1">
            <w:r w:rsidRPr="00897F17">
              <w:rPr>
                <w:rStyle w:val="Hyperlink"/>
                <w:noProof/>
              </w:rPr>
              <w:t>Ethical Issues in Research</w:t>
            </w:r>
            <w:r>
              <w:rPr>
                <w:noProof/>
                <w:webHidden/>
              </w:rPr>
              <w:tab/>
            </w:r>
            <w:r>
              <w:rPr>
                <w:noProof/>
                <w:webHidden/>
              </w:rPr>
              <w:fldChar w:fldCharType="begin"/>
            </w:r>
            <w:r>
              <w:rPr>
                <w:noProof/>
                <w:webHidden/>
              </w:rPr>
              <w:instrText xml:space="preserve"> PAGEREF _Toc169156696 \h </w:instrText>
            </w:r>
            <w:r>
              <w:rPr>
                <w:noProof/>
                <w:webHidden/>
              </w:rPr>
            </w:r>
            <w:r>
              <w:rPr>
                <w:noProof/>
                <w:webHidden/>
              </w:rPr>
              <w:fldChar w:fldCharType="separate"/>
            </w:r>
            <w:r>
              <w:rPr>
                <w:noProof/>
                <w:webHidden/>
              </w:rPr>
              <w:t>55</w:t>
            </w:r>
            <w:r>
              <w:rPr>
                <w:noProof/>
                <w:webHidden/>
              </w:rPr>
              <w:fldChar w:fldCharType="end"/>
            </w:r>
          </w:hyperlink>
        </w:p>
        <w:p w14:paraId="0CAF1B6B" w14:textId="149C45E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7" w:history="1">
            <w:r w:rsidRPr="00897F17">
              <w:rPr>
                <w:rStyle w:val="Hyperlink"/>
                <w:noProof/>
              </w:rPr>
              <w:t>Research with Children and Young People</w:t>
            </w:r>
            <w:r>
              <w:rPr>
                <w:noProof/>
                <w:webHidden/>
              </w:rPr>
              <w:tab/>
            </w:r>
            <w:r>
              <w:rPr>
                <w:noProof/>
                <w:webHidden/>
              </w:rPr>
              <w:fldChar w:fldCharType="begin"/>
            </w:r>
            <w:r>
              <w:rPr>
                <w:noProof/>
                <w:webHidden/>
              </w:rPr>
              <w:instrText xml:space="preserve"> PAGEREF _Toc169156697 \h </w:instrText>
            </w:r>
            <w:r>
              <w:rPr>
                <w:noProof/>
                <w:webHidden/>
              </w:rPr>
            </w:r>
            <w:r>
              <w:rPr>
                <w:noProof/>
                <w:webHidden/>
              </w:rPr>
              <w:fldChar w:fldCharType="separate"/>
            </w:r>
            <w:r>
              <w:rPr>
                <w:noProof/>
                <w:webHidden/>
              </w:rPr>
              <w:t>58</w:t>
            </w:r>
            <w:r>
              <w:rPr>
                <w:noProof/>
                <w:webHidden/>
              </w:rPr>
              <w:fldChar w:fldCharType="end"/>
            </w:r>
          </w:hyperlink>
        </w:p>
        <w:p w14:paraId="34BBA20D" w14:textId="143555E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8" w:history="1">
            <w:r w:rsidRPr="00897F17">
              <w:rPr>
                <w:rStyle w:val="Hyperlink"/>
                <w:noProof/>
              </w:rPr>
              <w:t>Research with Vulnerable Populations</w:t>
            </w:r>
            <w:r>
              <w:rPr>
                <w:noProof/>
                <w:webHidden/>
              </w:rPr>
              <w:tab/>
            </w:r>
            <w:r>
              <w:rPr>
                <w:noProof/>
                <w:webHidden/>
              </w:rPr>
              <w:fldChar w:fldCharType="begin"/>
            </w:r>
            <w:r>
              <w:rPr>
                <w:noProof/>
                <w:webHidden/>
              </w:rPr>
              <w:instrText xml:space="preserve"> PAGEREF _Toc169156698 \h </w:instrText>
            </w:r>
            <w:r>
              <w:rPr>
                <w:noProof/>
                <w:webHidden/>
              </w:rPr>
            </w:r>
            <w:r>
              <w:rPr>
                <w:noProof/>
                <w:webHidden/>
              </w:rPr>
              <w:fldChar w:fldCharType="separate"/>
            </w:r>
            <w:r>
              <w:rPr>
                <w:noProof/>
                <w:webHidden/>
              </w:rPr>
              <w:t>60</w:t>
            </w:r>
            <w:r>
              <w:rPr>
                <w:noProof/>
                <w:webHidden/>
              </w:rPr>
              <w:fldChar w:fldCharType="end"/>
            </w:r>
          </w:hyperlink>
        </w:p>
        <w:p w14:paraId="1D449FD2" w14:textId="53D99D2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699" w:history="1">
            <w:r w:rsidRPr="00897F17">
              <w:rPr>
                <w:rStyle w:val="Hyperlink"/>
                <w:noProof/>
              </w:rPr>
              <w:t>Ethical Considerations in Online Research</w:t>
            </w:r>
            <w:r>
              <w:rPr>
                <w:noProof/>
                <w:webHidden/>
              </w:rPr>
              <w:tab/>
            </w:r>
            <w:r>
              <w:rPr>
                <w:noProof/>
                <w:webHidden/>
              </w:rPr>
              <w:fldChar w:fldCharType="begin"/>
            </w:r>
            <w:r>
              <w:rPr>
                <w:noProof/>
                <w:webHidden/>
              </w:rPr>
              <w:instrText xml:space="preserve"> PAGEREF _Toc169156699 \h </w:instrText>
            </w:r>
            <w:r>
              <w:rPr>
                <w:noProof/>
                <w:webHidden/>
              </w:rPr>
            </w:r>
            <w:r>
              <w:rPr>
                <w:noProof/>
                <w:webHidden/>
              </w:rPr>
              <w:fldChar w:fldCharType="separate"/>
            </w:r>
            <w:r>
              <w:rPr>
                <w:noProof/>
                <w:webHidden/>
              </w:rPr>
              <w:t>62</w:t>
            </w:r>
            <w:r>
              <w:rPr>
                <w:noProof/>
                <w:webHidden/>
              </w:rPr>
              <w:fldChar w:fldCharType="end"/>
            </w:r>
          </w:hyperlink>
        </w:p>
        <w:p w14:paraId="6CB3FF9F" w14:textId="19C194A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0" w:history="1">
            <w:r w:rsidRPr="00897F17">
              <w:rPr>
                <w:rStyle w:val="Hyperlink"/>
                <w:noProof/>
              </w:rPr>
              <w:t>Cultural Sensitivity in Research</w:t>
            </w:r>
            <w:r>
              <w:rPr>
                <w:noProof/>
                <w:webHidden/>
              </w:rPr>
              <w:tab/>
            </w:r>
            <w:r>
              <w:rPr>
                <w:noProof/>
                <w:webHidden/>
              </w:rPr>
              <w:fldChar w:fldCharType="begin"/>
            </w:r>
            <w:r>
              <w:rPr>
                <w:noProof/>
                <w:webHidden/>
              </w:rPr>
              <w:instrText xml:space="preserve"> PAGEREF _Toc169156700 \h </w:instrText>
            </w:r>
            <w:r>
              <w:rPr>
                <w:noProof/>
                <w:webHidden/>
              </w:rPr>
            </w:r>
            <w:r>
              <w:rPr>
                <w:noProof/>
                <w:webHidden/>
              </w:rPr>
              <w:fldChar w:fldCharType="separate"/>
            </w:r>
            <w:r>
              <w:rPr>
                <w:noProof/>
                <w:webHidden/>
              </w:rPr>
              <w:t>63</w:t>
            </w:r>
            <w:r>
              <w:rPr>
                <w:noProof/>
                <w:webHidden/>
              </w:rPr>
              <w:fldChar w:fldCharType="end"/>
            </w:r>
          </w:hyperlink>
        </w:p>
        <w:p w14:paraId="506269C7" w14:textId="64A2EA5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1" w:history="1">
            <w:r w:rsidRPr="00897F17">
              <w:rPr>
                <w:rStyle w:val="Hyperlink"/>
                <w:noProof/>
              </w:rPr>
              <w:t>Best Practices in Ethical Research</w:t>
            </w:r>
            <w:r>
              <w:rPr>
                <w:noProof/>
                <w:webHidden/>
              </w:rPr>
              <w:tab/>
            </w:r>
            <w:r>
              <w:rPr>
                <w:noProof/>
                <w:webHidden/>
              </w:rPr>
              <w:fldChar w:fldCharType="begin"/>
            </w:r>
            <w:r>
              <w:rPr>
                <w:noProof/>
                <w:webHidden/>
              </w:rPr>
              <w:instrText xml:space="preserve"> PAGEREF _Toc169156701 \h </w:instrText>
            </w:r>
            <w:r>
              <w:rPr>
                <w:noProof/>
                <w:webHidden/>
              </w:rPr>
            </w:r>
            <w:r>
              <w:rPr>
                <w:noProof/>
                <w:webHidden/>
              </w:rPr>
              <w:fldChar w:fldCharType="separate"/>
            </w:r>
            <w:r>
              <w:rPr>
                <w:noProof/>
                <w:webHidden/>
              </w:rPr>
              <w:t>65</w:t>
            </w:r>
            <w:r>
              <w:rPr>
                <w:noProof/>
                <w:webHidden/>
              </w:rPr>
              <w:fldChar w:fldCharType="end"/>
            </w:r>
          </w:hyperlink>
        </w:p>
        <w:p w14:paraId="6A80CA3C" w14:textId="1D1836C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2" w:history="1">
            <w:r w:rsidRPr="00897F17">
              <w:rPr>
                <w:rStyle w:val="Hyperlink"/>
                <w:noProof/>
              </w:rPr>
              <w:t>A Sampling of Research</w:t>
            </w:r>
            <w:r>
              <w:rPr>
                <w:noProof/>
                <w:webHidden/>
              </w:rPr>
              <w:tab/>
            </w:r>
            <w:r>
              <w:rPr>
                <w:noProof/>
                <w:webHidden/>
              </w:rPr>
              <w:fldChar w:fldCharType="begin"/>
            </w:r>
            <w:r>
              <w:rPr>
                <w:noProof/>
                <w:webHidden/>
              </w:rPr>
              <w:instrText xml:space="preserve"> PAGEREF _Toc169156702 \h </w:instrText>
            </w:r>
            <w:r>
              <w:rPr>
                <w:noProof/>
                <w:webHidden/>
              </w:rPr>
            </w:r>
            <w:r>
              <w:rPr>
                <w:noProof/>
                <w:webHidden/>
              </w:rPr>
              <w:fldChar w:fldCharType="separate"/>
            </w:r>
            <w:r>
              <w:rPr>
                <w:noProof/>
                <w:webHidden/>
              </w:rPr>
              <w:t>66</w:t>
            </w:r>
            <w:r>
              <w:rPr>
                <w:noProof/>
                <w:webHidden/>
              </w:rPr>
              <w:fldChar w:fldCharType="end"/>
            </w:r>
          </w:hyperlink>
        </w:p>
        <w:p w14:paraId="69DB62EB" w14:textId="4F37754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3" w:history="1">
            <w:r w:rsidRPr="00897F17">
              <w:rPr>
                <w:rStyle w:val="Hyperlink"/>
                <w:noProof/>
              </w:rPr>
              <w:t>Summary of Chapter 3: Ethics in Research</w:t>
            </w:r>
            <w:r>
              <w:rPr>
                <w:noProof/>
                <w:webHidden/>
              </w:rPr>
              <w:tab/>
            </w:r>
            <w:r>
              <w:rPr>
                <w:noProof/>
                <w:webHidden/>
              </w:rPr>
              <w:fldChar w:fldCharType="begin"/>
            </w:r>
            <w:r>
              <w:rPr>
                <w:noProof/>
                <w:webHidden/>
              </w:rPr>
              <w:instrText xml:space="preserve"> PAGEREF _Toc169156703 \h </w:instrText>
            </w:r>
            <w:r>
              <w:rPr>
                <w:noProof/>
                <w:webHidden/>
              </w:rPr>
            </w:r>
            <w:r>
              <w:rPr>
                <w:noProof/>
                <w:webHidden/>
              </w:rPr>
              <w:fldChar w:fldCharType="separate"/>
            </w:r>
            <w:r>
              <w:rPr>
                <w:noProof/>
                <w:webHidden/>
              </w:rPr>
              <w:t>69</w:t>
            </w:r>
            <w:r>
              <w:rPr>
                <w:noProof/>
                <w:webHidden/>
              </w:rPr>
              <w:fldChar w:fldCharType="end"/>
            </w:r>
          </w:hyperlink>
        </w:p>
        <w:p w14:paraId="206ECCA1" w14:textId="39B58FE2"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04" w:history="1">
            <w:r w:rsidRPr="00897F17">
              <w:rPr>
                <w:rStyle w:val="Hyperlink"/>
                <w:noProof/>
              </w:rPr>
              <w:t>4: Research Design</w:t>
            </w:r>
            <w:r>
              <w:rPr>
                <w:noProof/>
                <w:webHidden/>
              </w:rPr>
              <w:tab/>
            </w:r>
            <w:r>
              <w:rPr>
                <w:noProof/>
                <w:webHidden/>
              </w:rPr>
              <w:fldChar w:fldCharType="begin"/>
            </w:r>
            <w:r>
              <w:rPr>
                <w:noProof/>
                <w:webHidden/>
              </w:rPr>
              <w:instrText xml:space="preserve"> PAGEREF _Toc169156704 \h </w:instrText>
            </w:r>
            <w:r>
              <w:rPr>
                <w:noProof/>
                <w:webHidden/>
              </w:rPr>
            </w:r>
            <w:r>
              <w:rPr>
                <w:noProof/>
                <w:webHidden/>
              </w:rPr>
              <w:fldChar w:fldCharType="separate"/>
            </w:r>
            <w:r>
              <w:rPr>
                <w:noProof/>
                <w:webHidden/>
              </w:rPr>
              <w:t>70</w:t>
            </w:r>
            <w:r>
              <w:rPr>
                <w:noProof/>
                <w:webHidden/>
              </w:rPr>
              <w:fldChar w:fldCharType="end"/>
            </w:r>
          </w:hyperlink>
        </w:p>
        <w:p w14:paraId="55AD0E9C" w14:textId="7EC4F25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5" w:history="1">
            <w:r w:rsidRPr="00897F17">
              <w:rPr>
                <w:rStyle w:val="Hyperlink"/>
                <w:noProof/>
              </w:rPr>
              <w:t>Introduction</w:t>
            </w:r>
            <w:r>
              <w:rPr>
                <w:noProof/>
                <w:webHidden/>
              </w:rPr>
              <w:tab/>
            </w:r>
            <w:r>
              <w:rPr>
                <w:noProof/>
                <w:webHidden/>
              </w:rPr>
              <w:fldChar w:fldCharType="begin"/>
            </w:r>
            <w:r>
              <w:rPr>
                <w:noProof/>
                <w:webHidden/>
              </w:rPr>
              <w:instrText xml:space="preserve"> PAGEREF _Toc169156705 \h </w:instrText>
            </w:r>
            <w:r>
              <w:rPr>
                <w:noProof/>
                <w:webHidden/>
              </w:rPr>
            </w:r>
            <w:r>
              <w:rPr>
                <w:noProof/>
                <w:webHidden/>
              </w:rPr>
              <w:fldChar w:fldCharType="separate"/>
            </w:r>
            <w:r>
              <w:rPr>
                <w:noProof/>
                <w:webHidden/>
              </w:rPr>
              <w:t>70</w:t>
            </w:r>
            <w:r>
              <w:rPr>
                <w:noProof/>
                <w:webHidden/>
              </w:rPr>
              <w:fldChar w:fldCharType="end"/>
            </w:r>
          </w:hyperlink>
        </w:p>
        <w:p w14:paraId="6B165381" w14:textId="7444085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6" w:history="1">
            <w:r w:rsidRPr="00897F17">
              <w:rPr>
                <w:rStyle w:val="Hyperlink"/>
                <w:noProof/>
              </w:rPr>
              <w:t>First Considerations</w:t>
            </w:r>
            <w:r>
              <w:rPr>
                <w:noProof/>
                <w:webHidden/>
              </w:rPr>
              <w:tab/>
            </w:r>
            <w:r>
              <w:rPr>
                <w:noProof/>
                <w:webHidden/>
              </w:rPr>
              <w:fldChar w:fldCharType="begin"/>
            </w:r>
            <w:r>
              <w:rPr>
                <w:noProof/>
                <w:webHidden/>
              </w:rPr>
              <w:instrText xml:space="preserve"> PAGEREF _Toc169156706 \h </w:instrText>
            </w:r>
            <w:r>
              <w:rPr>
                <w:noProof/>
                <w:webHidden/>
              </w:rPr>
            </w:r>
            <w:r>
              <w:rPr>
                <w:noProof/>
                <w:webHidden/>
              </w:rPr>
              <w:fldChar w:fldCharType="separate"/>
            </w:r>
            <w:r>
              <w:rPr>
                <w:noProof/>
                <w:webHidden/>
              </w:rPr>
              <w:t>72</w:t>
            </w:r>
            <w:r>
              <w:rPr>
                <w:noProof/>
                <w:webHidden/>
              </w:rPr>
              <w:fldChar w:fldCharType="end"/>
            </w:r>
          </w:hyperlink>
        </w:p>
        <w:p w14:paraId="528E7E16" w14:textId="53B0B5A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7" w:history="1">
            <w:r w:rsidRPr="00897F17">
              <w:rPr>
                <w:rStyle w:val="Hyperlink"/>
                <w:noProof/>
              </w:rPr>
              <w:t>The Research Process</w:t>
            </w:r>
            <w:r>
              <w:rPr>
                <w:noProof/>
                <w:webHidden/>
              </w:rPr>
              <w:tab/>
            </w:r>
            <w:r>
              <w:rPr>
                <w:noProof/>
                <w:webHidden/>
              </w:rPr>
              <w:fldChar w:fldCharType="begin"/>
            </w:r>
            <w:r>
              <w:rPr>
                <w:noProof/>
                <w:webHidden/>
              </w:rPr>
              <w:instrText xml:space="preserve"> PAGEREF _Toc169156707 \h </w:instrText>
            </w:r>
            <w:r>
              <w:rPr>
                <w:noProof/>
                <w:webHidden/>
              </w:rPr>
            </w:r>
            <w:r>
              <w:rPr>
                <w:noProof/>
                <w:webHidden/>
              </w:rPr>
              <w:fldChar w:fldCharType="separate"/>
            </w:r>
            <w:r>
              <w:rPr>
                <w:noProof/>
                <w:webHidden/>
              </w:rPr>
              <w:t>84</w:t>
            </w:r>
            <w:r>
              <w:rPr>
                <w:noProof/>
                <w:webHidden/>
              </w:rPr>
              <w:fldChar w:fldCharType="end"/>
            </w:r>
          </w:hyperlink>
        </w:p>
        <w:p w14:paraId="3F880682" w14:textId="66D4850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8" w:history="1">
            <w:r w:rsidRPr="00897F17">
              <w:rPr>
                <w:rStyle w:val="Hyperlink"/>
                <w:noProof/>
              </w:rPr>
              <w:t>Mixed Methods</w:t>
            </w:r>
            <w:r>
              <w:rPr>
                <w:noProof/>
                <w:webHidden/>
              </w:rPr>
              <w:tab/>
            </w:r>
            <w:r>
              <w:rPr>
                <w:noProof/>
                <w:webHidden/>
              </w:rPr>
              <w:fldChar w:fldCharType="begin"/>
            </w:r>
            <w:r>
              <w:rPr>
                <w:noProof/>
                <w:webHidden/>
              </w:rPr>
              <w:instrText xml:space="preserve"> PAGEREF _Toc169156708 \h </w:instrText>
            </w:r>
            <w:r>
              <w:rPr>
                <w:noProof/>
                <w:webHidden/>
              </w:rPr>
            </w:r>
            <w:r>
              <w:rPr>
                <w:noProof/>
                <w:webHidden/>
              </w:rPr>
              <w:fldChar w:fldCharType="separate"/>
            </w:r>
            <w:r>
              <w:rPr>
                <w:noProof/>
                <w:webHidden/>
              </w:rPr>
              <w:t>91</w:t>
            </w:r>
            <w:r>
              <w:rPr>
                <w:noProof/>
                <w:webHidden/>
              </w:rPr>
              <w:fldChar w:fldCharType="end"/>
            </w:r>
          </w:hyperlink>
        </w:p>
        <w:p w14:paraId="606E6E02" w14:textId="25FEA8B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09" w:history="1">
            <w:r w:rsidRPr="00897F17">
              <w:rPr>
                <w:rStyle w:val="Hyperlink"/>
                <w:noProof/>
              </w:rPr>
              <w:t>Common Research Mistakes</w:t>
            </w:r>
            <w:r>
              <w:rPr>
                <w:noProof/>
                <w:webHidden/>
              </w:rPr>
              <w:tab/>
            </w:r>
            <w:r>
              <w:rPr>
                <w:noProof/>
                <w:webHidden/>
              </w:rPr>
              <w:fldChar w:fldCharType="begin"/>
            </w:r>
            <w:r>
              <w:rPr>
                <w:noProof/>
                <w:webHidden/>
              </w:rPr>
              <w:instrText xml:space="preserve"> PAGEREF _Toc169156709 \h </w:instrText>
            </w:r>
            <w:r>
              <w:rPr>
                <w:noProof/>
                <w:webHidden/>
              </w:rPr>
            </w:r>
            <w:r>
              <w:rPr>
                <w:noProof/>
                <w:webHidden/>
              </w:rPr>
              <w:fldChar w:fldCharType="separate"/>
            </w:r>
            <w:r>
              <w:rPr>
                <w:noProof/>
                <w:webHidden/>
              </w:rPr>
              <w:t>92</w:t>
            </w:r>
            <w:r>
              <w:rPr>
                <w:noProof/>
                <w:webHidden/>
              </w:rPr>
              <w:fldChar w:fldCharType="end"/>
            </w:r>
          </w:hyperlink>
        </w:p>
        <w:p w14:paraId="077F3931" w14:textId="1563E9E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0" w:history="1">
            <w:r w:rsidRPr="00897F17">
              <w:rPr>
                <w:rStyle w:val="Hyperlink"/>
                <w:noProof/>
              </w:rPr>
              <w:t>Research Designs</w:t>
            </w:r>
            <w:r>
              <w:rPr>
                <w:noProof/>
                <w:webHidden/>
              </w:rPr>
              <w:tab/>
            </w:r>
            <w:r>
              <w:rPr>
                <w:noProof/>
                <w:webHidden/>
              </w:rPr>
              <w:fldChar w:fldCharType="begin"/>
            </w:r>
            <w:r>
              <w:rPr>
                <w:noProof/>
                <w:webHidden/>
              </w:rPr>
              <w:instrText xml:space="preserve"> PAGEREF _Toc169156710 \h </w:instrText>
            </w:r>
            <w:r>
              <w:rPr>
                <w:noProof/>
                <w:webHidden/>
              </w:rPr>
            </w:r>
            <w:r>
              <w:rPr>
                <w:noProof/>
                <w:webHidden/>
              </w:rPr>
              <w:fldChar w:fldCharType="separate"/>
            </w:r>
            <w:r>
              <w:rPr>
                <w:noProof/>
                <w:webHidden/>
              </w:rPr>
              <w:t>94</w:t>
            </w:r>
            <w:r>
              <w:rPr>
                <w:noProof/>
                <w:webHidden/>
              </w:rPr>
              <w:fldChar w:fldCharType="end"/>
            </w:r>
          </w:hyperlink>
        </w:p>
        <w:p w14:paraId="36C1C6F2" w14:textId="364F67A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1" w:history="1">
            <w:r w:rsidRPr="00897F17">
              <w:rPr>
                <w:rStyle w:val="Hyperlink"/>
                <w:noProof/>
              </w:rPr>
              <w:t>Collaboration and Interdisciplinary Research</w:t>
            </w:r>
            <w:r>
              <w:rPr>
                <w:noProof/>
                <w:webHidden/>
              </w:rPr>
              <w:tab/>
            </w:r>
            <w:r>
              <w:rPr>
                <w:noProof/>
                <w:webHidden/>
              </w:rPr>
              <w:fldChar w:fldCharType="begin"/>
            </w:r>
            <w:r>
              <w:rPr>
                <w:noProof/>
                <w:webHidden/>
              </w:rPr>
              <w:instrText xml:space="preserve"> PAGEREF _Toc169156711 \h </w:instrText>
            </w:r>
            <w:r>
              <w:rPr>
                <w:noProof/>
                <w:webHidden/>
              </w:rPr>
            </w:r>
            <w:r>
              <w:rPr>
                <w:noProof/>
                <w:webHidden/>
              </w:rPr>
              <w:fldChar w:fldCharType="separate"/>
            </w:r>
            <w:r>
              <w:rPr>
                <w:noProof/>
                <w:webHidden/>
              </w:rPr>
              <w:t>104</w:t>
            </w:r>
            <w:r>
              <w:rPr>
                <w:noProof/>
                <w:webHidden/>
              </w:rPr>
              <w:fldChar w:fldCharType="end"/>
            </w:r>
          </w:hyperlink>
        </w:p>
        <w:p w14:paraId="42FA09F4" w14:textId="4B0149E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2" w:history="1">
            <w:r w:rsidRPr="00897F17">
              <w:rPr>
                <w:rStyle w:val="Hyperlink"/>
                <w:noProof/>
              </w:rPr>
              <w:t>Selecting the Research Design</w:t>
            </w:r>
            <w:r>
              <w:rPr>
                <w:noProof/>
                <w:webHidden/>
              </w:rPr>
              <w:tab/>
            </w:r>
            <w:r>
              <w:rPr>
                <w:noProof/>
                <w:webHidden/>
              </w:rPr>
              <w:fldChar w:fldCharType="begin"/>
            </w:r>
            <w:r>
              <w:rPr>
                <w:noProof/>
                <w:webHidden/>
              </w:rPr>
              <w:instrText xml:space="preserve"> PAGEREF _Toc169156712 \h </w:instrText>
            </w:r>
            <w:r>
              <w:rPr>
                <w:noProof/>
                <w:webHidden/>
              </w:rPr>
            </w:r>
            <w:r>
              <w:rPr>
                <w:noProof/>
                <w:webHidden/>
              </w:rPr>
              <w:fldChar w:fldCharType="separate"/>
            </w:r>
            <w:r>
              <w:rPr>
                <w:noProof/>
                <w:webHidden/>
              </w:rPr>
              <w:t>106</w:t>
            </w:r>
            <w:r>
              <w:rPr>
                <w:noProof/>
                <w:webHidden/>
              </w:rPr>
              <w:fldChar w:fldCharType="end"/>
            </w:r>
          </w:hyperlink>
        </w:p>
        <w:p w14:paraId="0D5CBFE4" w14:textId="049A77C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3" w:history="1">
            <w:r w:rsidRPr="00897F17">
              <w:rPr>
                <w:rStyle w:val="Hyperlink"/>
                <w:noProof/>
              </w:rPr>
              <w:t>A Sampling of Research</w:t>
            </w:r>
            <w:r>
              <w:rPr>
                <w:noProof/>
                <w:webHidden/>
              </w:rPr>
              <w:tab/>
            </w:r>
            <w:r>
              <w:rPr>
                <w:noProof/>
                <w:webHidden/>
              </w:rPr>
              <w:fldChar w:fldCharType="begin"/>
            </w:r>
            <w:r>
              <w:rPr>
                <w:noProof/>
                <w:webHidden/>
              </w:rPr>
              <w:instrText xml:space="preserve"> PAGEREF _Toc169156713 \h </w:instrText>
            </w:r>
            <w:r>
              <w:rPr>
                <w:noProof/>
                <w:webHidden/>
              </w:rPr>
            </w:r>
            <w:r>
              <w:rPr>
                <w:noProof/>
                <w:webHidden/>
              </w:rPr>
              <w:fldChar w:fldCharType="separate"/>
            </w:r>
            <w:r>
              <w:rPr>
                <w:noProof/>
                <w:webHidden/>
              </w:rPr>
              <w:t>107</w:t>
            </w:r>
            <w:r>
              <w:rPr>
                <w:noProof/>
                <w:webHidden/>
              </w:rPr>
              <w:fldChar w:fldCharType="end"/>
            </w:r>
          </w:hyperlink>
        </w:p>
        <w:p w14:paraId="3A3A5709" w14:textId="2C734A3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4" w:history="1">
            <w:r w:rsidRPr="00897F17">
              <w:rPr>
                <w:rStyle w:val="Hyperlink"/>
                <w:noProof/>
              </w:rPr>
              <w:t>Summary of Chapter 4: Research Design</w:t>
            </w:r>
            <w:r>
              <w:rPr>
                <w:noProof/>
                <w:webHidden/>
              </w:rPr>
              <w:tab/>
            </w:r>
            <w:r>
              <w:rPr>
                <w:noProof/>
                <w:webHidden/>
              </w:rPr>
              <w:fldChar w:fldCharType="begin"/>
            </w:r>
            <w:r>
              <w:rPr>
                <w:noProof/>
                <w:webHidden/>
              </w:rPr>
              <w:instrText xml:space="preserve"> PAGEREF _Toc169156714 \h </w:instrText>
            </w:r>
            <w:r>
              <w:rPr>
                <w:noProof/>
                <w:webHidden/>
              </w:rPr>
            </w:r>
            <w:r>
              <w:rPr>
                <w:noProof/>
                <w:webHidden/>
              </w:rPr>
              <w:fldChar w:fldCharType="separate"/>
            </w:r>
            <w:r>
              <w:rPr>
                <w:noProof/>
                <w:webHidden/>
              </w:rPr>
              <w:t>107</w:t>
            </w:r>
            <w:r>
              <w:rPr>
                <w:noProof/>
                <w:webHidden/>
              </w:rPr>
              <w:fldChar w:fldCharType="end"/>
            </w:r>
          </w:hyperlink>
        </w:p>
        <w:p w14:paraId="6B29B980" w14:textId="1622A871" w:rsidR="00980002" w:rsidRDefault="00980002">
          <w:pPr>
            <w:pStyle w:val="TOC1"/>
            <w:tabs>
              <w:tab w:val="right" w:leader="dot" w:pos="9350"/>
            </w:tabs>
            <w:rPr>
              <w:rFonts w:asciiTheme="minorHAnsi" w:hAnsiTheme="minorHAnsi"/>
              <w:noProof/>
              <w:kern w:val="2"/>
              <w:sz w:val="24"/>
              <w:szCs w:val="24"/>
              <w14:ligatures w14:val="standardContextual"/>
            </w:rPr>
          </w:pPr>
          <w:hyperlink w:anchor="_Toc169156715" w:history="1">
            <w:r w:rsidRPr="00897F17">
              <w:rPr>
                <w:rStyle w:val="Hyperlink"/>
                <w:noProof/>
              </w:rPr>
              <w:t>Quantitative Methods</w:t>
            </w:r>
            <w:r>
              <w:rPr>
                <w:noProof/>
                <w:webHidden/>
              </w:rPr>
              <w:tab/>
            </w:r>
            <w:r>
              <w:rPr>
                <w:noProof/>
                <w:webHidden/>
              </w:rPr>
              <w:fldChar w:fldCharType="begin"/>
            </w:r>
            <w:r>
              <w:rPr>
                <w:noProof/>
                <w:webHidden/>
              </w:rPr>
              <w:instrText xml:space="preserve"> PAGEREF _Toc169156715 \h </w:instrText>
            </w:r>
            <w:r>
              <w:rPr>
                <w:noProof/>
                <w:webHidden/>
              </w:rPr>
            </w:r>
            <w:r>
              <w:rPr>
                <w:noProof/>
                <w:webHidden/>
              </w:rPr>
              <w:fldChar w:fldCharType="separate"/>
            </w:r>
            <w:r>
              <w:rPr>
                <w:noProof/>
                <w:webHidden/>
              </w:rPr>
              <w:t>109</w:t>
            </w:r>
            <w:r>
              <w:rPr>
                <w:noProof/>
                <w:webHidden/>
              </w:rPr>
              <w:fldChar w:fldCharType="end"/>
            </w:r>
          </w:hyperlink>
        </w:p>
        <w:p w14:paraId="3ABE5D69" w14:textId="77AEE9BD"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16" w:history="1">
            <w:r w:rsidRPr="00897F17">
              <w:rPr>
                <w:rStyle w:val="Hyperlink"/>
                <w:noProof/>
              </w:rPr>
              <w:t>5: Defining and Measuring Concepts</w:t>
            </w:r>
            <w:r>
              <w:rPr>
                <w:noProof/>
                <w:webHidden/>
              </w:rPr>
              <w:tab/>
            </w:r>
            <w:r>
              <w:rPr>
                <w:noProof/>
                <w:webHidden/>
              </w:rPr>
              <w:fldChar w:fldCharType="begin"/>
            </w:r>
            <w:r>
              <w:rPr>
                <w:noProof/>
                <w:webHidden/>
              </w:rPr>
              <w:instrText xml:space="preserve"> PAGEREF _Toc169156716 \h </w:instrText>
            </w:r>
            <w:r>
              <w:rPr>
                <w:noProof/>
                <w:webHidden/>
              </w:rPr>
            </w:r>
            <w:r>
              <w:rPr>
                <w:noProof/>
                <w:webHidden/>
              </w:rPr>
              <w:fldChar w:fldCharType="separate"/>
            </w:r>
            <w:r>
              <w:rPr>
                <w:noProof/>
                <w:webHidden/>
              </w:rPr>
              <w:t>110</w:t>
            </w:r>
            <w:r>
              <w:rPr>
                <w:noProof/>
                <w:webHidden/>
              </w:rPr>
              <w:fldChar w:fldCharType="end"/>
            </w:r>
          </w:hyperlink>
        </w:p>
        <w:p w14:paraId="34124D00" w14:textId="5E67C28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7" w:history="1">
            <w:r w:rsidRPr="00897F17">
              <w:rPr>
                <w:rStyle w:val="Hyperlink"/>
                <w:noProof/>
              </w:rPr>
              <w:t>Measurement</w:t>
            </w:r>
            <w:r>
              <w:rPr>
                <w:noProof/>
                <w:webHidden/>
              </w:rPr>
              <w:tab/>
            </w:r>
            <w:r>
              <w:rPr>
                <w:noProof/>
                <w:webHidden/>
              </w:rPr>
              <w:fldChar w:fldCharType="begin"/>
            </w:r>
            <w:r>
              <w:rPr>
                <w:noProof/>
                <w:webHidden/>
              </w:rPr>
              <w:instrText xml:space="preserve"> PAGEREF _Toc169156717 \h </w:instrText>
            </w:r>
            <w:r>
              <w:rPr>
                <w:noProof/>
                <w:webHidden/>
              </w:rPr>
            </w:r>
            <w:r>
              <w:rPr>
                <w:noProof/>
                <w:webHidden/>
              </w:rPr>
              <w:fldChar w:fldCharType="separate"/>
            </w:r>
            <w:r>
              <w:rPr>
                <w:noProof/>
                <w:webHidden/>
              </w:rPr>
              <w:t>110</w:t>
            </w:r>
            <w:r>
              <w:rPr>
                <w:noProof/>
                <w:webHidden/>
              </w:rPr>
              <w:fldChar w:fldCharType="end"/>
            </w:r>
          </w:hyperlink>
        </w:p>
        <w:p w14:paraId="3D20DA42" w14:textId="6539327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8" w:history="1">
            <w:r w:rsidRPr="00897F17">
              <w:rPr>
                <w:rStyle w:val="Hyperlink"/>
                <w:noProof/>
              </w:rPr>
              <w:t>Conceptualization: Defining Terms and Constructs</w:t>
            </w:r>
            <w:r>
              <w:rPr>
                <w:noProof/>
                <w:webHidden/>
              </w:rPr>
              <w:tab/>
            </w:r>
            <w:r>
              <w:rPr>
                <w:noProof/>
                <w:webHidden/>
              </w:rPr>
              <w:fldChar w:fldCharType="begin"/>
            </w:r>
            <w:r>
              <w:rPr>
                <w:noProof/>
                <w:webHidden/>
              </w:rPr>
              <w:instrText xml:space="preserve"> PAGEREF _Toc169156718 \h </w:instrText>
            </w:r>
            <w:r>
              <w:rPr>
                <w:noProof/>
                <w:webHidden/>
              </w:rPr>
            </w:r>
            <w:r>
              <w:rPr>
                <w:noProof/>
                <w:webHidden/>
              </w:rPr>
              <w:fldChar w:fldCharType="separate"/>
            </w:r>
            <w:r>
              <w:rPr>
                <w:noProof/>
                <w:webHidden/>
              </w:rPr>
              <w:t>114</w:t>
            </w:r>
            <w:r>
              <w:rPr>
                <w:noProof/>
                <w:webHidden/>
              </w:rPr>
              <w:fldChar w:fldCharType="end"/>
            </w:r>
          </w:hyperlink>
        </w:p>
        <w:p w14:paraId="3061E6FA" w14:textId="7FD80E3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19" w:history="1">
            <w:r w:rsidRPr="00897F17">
              <w:rPr>
                <w:rStyle w:val="Hyperlink"/>
                <w:noProof/>
              </w:rPr>
              <w:t>Operationalization: Translating Constructs into Measures</w:t>
            </w:r>
            <w:r>
              <w:rPr>
                <w:noProof/>
                <w:webHidden/>
              </w:rPr>
              <w:tab/>
            </w:r>
            <w:r>
              <w:rPr>
                <w:noProof/>
                <w:webHidden/>
              </w:rPr>
              <w:fldChar w:fldCharType="begin"/>
            </w:r>
            <w:r>
              <w:rPr>
                <w:noProof/>
                <w:webHidden/>
              </w:rPr>
              <w:instrText xml:space="preserve"> PAGEREF _Toc169156719 \h </w:instrText>
            </w:r>
            <w:r>
              <w:rPr>
                <w:noProof/>
                <w:webHidden/>
              </w:rPr>
            </w:r>
            <w:r>
              <w:rPr>
                <w:noProof/>
                <w:webHidden/>
              </w:rPr>
              <w:fldChar w:fldCharType="separate"/>
            </w:r>
            <w:r>
              <w:rPr>
                <w:noProof/>
                <w:webHidden/>
              </w:rPr>
              <w:t>115</w:t>
            </w:r>
            <w:r>
              <w:rPr>
                <w:noProof/>
                <w:webHidden/>
              </w:rPr>
              <w:fldChar w:fldCharType="end"/>
            </w:r>
          </w:hyperlink>
        </w:p>
        <w:p w14:paraId="36E6C5DC" w14:textId="6D9533DA"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0" w:history="1">
            <w:r w:rsidRPr="00897F17">
              <w:rPr>
                <w:rStyle w:val="Hyperlink"/>
                <w:noProof/>
              </w:rPr>
              <w:t>Evaluating Measurement Quality: Reliability and Validity</w:t>
            </w:r>
            <w:r>
              <w:rPr>
                <w:noProof/>
                <w:webHidden/>
              </w:rPr>
              <w:tab/>
            </w:r>
            <w:r>
              <w:rPr>
                <w:noProof/>
                <w:webHidden/>
              </w:rPr>
              <w:fldChar w:fldCharType="begin"/>
            </w:r>
            <w:r>
              <w:rPr>
                <w:noProof/>
                <w:webHidden/>
              </w:rPr>
              <w:instrText xml:space="preserve"> PAGEREF _Toc169156720 \h </w:instrText>
            </w:r>
            <w:r>
              <w:rPr>
                <w:noProof/>
                <w:webHidden/>
              </w:rPr>
            </w:r>
            <w:r>
              <w:rPr>
                <w:noProof/>
                <w:webHidden/>
              </w:rPr>
              <w:fldChar w:fldCharType="separate"/>
            </w:r>
            <w:r>
              <w:rPr>
                <w:noProof/>
                <w:webHidden/>
              </w:rPr>
              <w:t>117</w:t>
            </w:r>
            <w:r>
              <w:rPr>
                <w:noProof/>
                <w:webHidden/>
              </w:rPr>
              <w:fldChar w:fldCharType="end"/>
            </w:r>
          </w:hyperlink>
        </w:p>
        <w:p w14:paraId="4E4155DF" w14:textId="2B66438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1" w:history="1">
            <w:r w:rsidRPr="00897F17">
              <w:rPr>
                <w:rStyle w:val="Hyperlink"/>
                <w:noProof/>
              </w:rPr>
              <w:t>A Sampling of Research</w:t>
            </w:r>
            <w:r>
              <w:rPr>
                <w:noProof/>
                <w:webHidden/>
              </w:rPr>
              <w:tab/>
            </w:r>
            <w:r>
              <w:rPr>
                <w:noProof/>
                <w:webHidden/>
              </w:rPr>
              <w:fldChar w:fldCharType="begin"/>
            </w:r>
            <w:r>
              <w:rPr>
                <w:noProof/>
                <w:webHidden/>
              </w:rPr>
              <w:instrText xml:space="preserve"> PAGEREF _Toc169156721 \h </w:instrText>
            </w:r>
            <w:r>
              <w:rPr>
                <w:noProof/>
                <w:webHidden/>
              </w:rPr>
            </w:r>
            <w:r>
              <w:rPr>
                <w:noProof/>
                <w:webHidden/>
              </w:rPr>
              <w:fldChar w:fldCharType="separate"/>
            </w:r>
            <w:r>
              <w:rPr>
                <w:noProof/>
                <w:webHidden/>
              </w:rPr>
              <w:t>128</w:t>
            </w:r>
            <w:r>
              <w:rPr>
                <w:noProof/>
                <w:webHidden/>
              </w:rPr>
              <w:fldChar w:fldCharType="end"/>
            </w:r>
          </w:hyperlink>
        </w:p>
        <w:p w14:paraId="3B883AC2" w14:textId="4F56D7D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2" w:history="1">
            <w:r w:rsidRPr="00897F17">
              <w:rPr>
                <w:rStyle w:val="Hyperlink"/>
                <w:noProof/>
              </w:rPr>
              <w:t>Summary of Chapter 5: Defining and Measuring Concepts</w:t>
            </w:r>
            <w:r>
              <w:rPr>
                <w:noProof/>
                <w:webHidden/>
              </w:rPr>
              <w:tab/>
            </w:r>
            <w:r>
              <w:rPr>
                <w:noProof/>
                <w:webHidden/>
              </w:rPr>
              <w:fldChar w:fldCharType="begin"/>
            </w:r>
            <w:r>
              <w:rPr>
                <w:noProof/>
                <w:webHidden/>
              </w:rPr>
              <w:instrText xml:space="preserve"> PAGEREF _Toc169156722 \h </w:instrText>
            </w:r>
            <w:r>
              <w:rPr>
                <w:noProof/>
                <w:webHidden/>
              </w:rPr>
            </w:r>
            <w:r>
              <w:rPr>
                <w:noProof/>
                <w:webHidden/>
              </w:rPr>
              <w:fldChar w:fldCharType="separate"/>
            </w:r>
            <w:r>
              <w:rPr>
                <w:noProof/>
                <w:webHidden/>
              </w:rPr>
              <w:t>130</w:t>
            </w:r>
            <w:r>
              <w:rPr>
                <w:noProof/>
                <w:webHidden/>
              </w:rPr>
              <w:fldChar w:fldCharType="end"/>
            </w:r>
          </w:hyperlink>
        </w:p>
        <w:p w14:paraId="7442E9C8" w14:textId="072BFBB5"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23" w:history="1">
            <w:r w:rsidRPr="00897F17">
              <w:rPr>
                <w:rStyle w:val="Hyperlink"/>
                <w:noProof/>
              </w:rPr>
              <w:t>6: Data</w:t>
            </w:r>
            <w:r>
              <w:rPr>
                <w:noProof/>
                <w:webHidden/>
              </w:rPr>
              <w:tab/>
            </w:r>
            <w:r>
              <w:rPr>
                <w:noProof/>
                <w:webHidden/>
              </w:rPr>
              <w:fldChar w:fldCharType="begin"/>
            </w:r>
            <w:r>
              <w:rPr>
                <w:noProof/>
                <w:webHidden/>
              </w:rPr>
              <w:instrText xml:space="preserve"> PAGEREF _Toc169156723 \h </w:instrText>
            </w:r>
            <w:r>
              <w:rPr>
                <w:noProof/>
                <w:webHidden/>
              </w:rPr>
            </w:r>
            <w:r>
              <w:rPr>
                <w:noProof/>
                <w:webHidden/>
              </w:rPr>
              <w:fldChar w:fldCharType="separate"/>
            </w:r>
            <w:r>
              <w:rPr>
                <w:noProof/>
                <w:webHidden/>
              </w:rPr>
              <w:t>132</w:t>
            </w:r>
            <w:r>
              <w:rPr>
                <w:noProof/>
                <w:webHidden/>
              </w:rPr>
              <w:fldChar w:fldCharType="end"/>
            </w:r>
          </w:hyperlink>
        </w:p>
        <w:p w14:paraId="460F9E88" w14:textId="0C5375C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4" w:history="1">
            <w:r w:rsidRPr="00897F17">
              <w:rPr>
                <w:rStyle w:val="Hyperlink"/>
                <w:noProof/>
              </w:rPr>
              <w:t>Introduction</w:t>
            </w:r>
            <w:r>
              <w:rPr>
                <w:noProof/>
                <w:webHidden/>
              </w:rPr>
              <w:tab/>
            </w:r>
            <w:r>
              <w:rPr>
                <w:noProof/>
                <w:webHidden/>
              </w:rPr>
              <w:fldChar w:fldCharType="begin"/>
            </w:r>
            <w:r>
              <w:rPr>
                <w:noProof/>
                <w:webHidden/>
              </w:rPr>
              <w:instrText xml:space="preserve"> PAGEREF _Toc169156724 \h </w:instrText>
            </w:r>
            <w:r>
              <w:rPr>
                <w:noProof/>
                <w:webHidden/>
              </w:rPr>
            </w:r>
            <w:r>
              <w:rPr>
                <w:noProof/>
                <w:webHidden/>
              </w:rPr>
              <w:fldChar w:fldCharType="separate"/>
            </w:r>
            <w:r>
              <w:rPr>
                <w:noProof/>
                <w:webHidden/>
              </w:rPr>
              <w:t>132</w:t>
            </w:r>
            <w:r>
              <w:rPr>
                <w:noProof/>
                <w:webHidden/>
              </w:rPr>
              <w:fldChar w:fldCharType="end"/>
            </w:r>
          </w:hyperlink>
        </w:p>
        <w:p w14:paraId="6041B16E" w14:textId="7869D95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5" w:history="1">
            <w:r w:rsidRPr="00897F17">
              <w:rPr>
                <w:rStyle w:val="Hyperlink"/>
                <w:noProof/>
              </w:rPr>
              <w:t>Types of Data</w:t>
            </w:r>
            <w:r>
              <w:rPr>
                <w:noProof/>
                <w:webHidden/>
              </w:rPr>
              <w:tab/>
            </w:r>
            <w:r>
              <w:rPr>
                <w:noProof/>
                <w:webHidden/>
              </w:rPr>
              <w:fldChar w:fldCharType="begin"/>
            </w:r>
            <w:r>
              <w:rPr>
                <w:noProof/>
                <w:webHidden/>
              </w:rPr>
              <w:instrText xml:space="preserve"> PAGEREF _Toc169156725 \h </w:instrText>
            </w:r>
            <w:r>
              <w:rPr>
                <w:noProof/>
                <w:webHidden/>
              </w:rPr>
            </w:r>
            <w:r>
              <w:rPr>
                <w:noProof/>
                <w:webHidden/>
              </w:rPr>
              <w:fldChar w:fldCharType="separate"/>
            </w:r>
            <w:r>
              <w:rPr>
                <w:noProof/>
                <w:webHidden/>
              </w:rPr>
              <w:t>133</w:t>
            </w:r>
            <w:r>
              <w:rPr>
                <w:noProof/>
                <w:webHidden/>
              </w:rPr>
              <w:fldChar w:fldCharType="end"/>
            </w:r>
          </w:hyperlink>
        </w:p>
        <w:p w14:paraId="5340A3A0" w14:textId="6A8D80C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6" w:history="1">
            <w:r w:rsidRPr="00897F17">
              <w:rPr>
                <w:rStyle w:val="Hyperlink"/>
                <w:noProof/>
              </w:rPr>
              <w:t>Rating Scale</w:t>
            </w:r>
            <w:r>
              <w:rPr>
                <w:noProof/>
                <w:webHidden/>
              </w:rPr>
              <w:tab/>
            </w:r>
            <w:r>
              <w:rPr>
                <w:noProof/>
                <w:webHidden/>
              </w:rPr>
              <w:fldChar w:fldCharType="begin"/>
            </w:r>
            <w:r>
              <w:rPr>
                <w:noProof/>
                <w:webHidden/>
              </w:rPr>
              <w:instrText xml:space="preserve"> PAGEREF _Toc169156726 \h </w:instrText>
            </w:r>
            <w:r>
              <w:rPr>
                <w:noProof/>
                <w:webHidden/>
              </w:rPr>
            </w:r>
            <w:r>
              <w:rPr>
                <w:noProof/>
                <w:webHidden/>
              </w:rPr>
              <w:fldChar w:fldCharType="separate"/>
            </w:r>
            <w:r>
              <w:rPr>
                <w:noProof/>
                <w:webHidden/>
              </w:rPr>
              <w:t>136</w:t>
            </w:r>
            <w:r>
              <w:rPr>
                <w:noProof/>
                <w:webHidden/>
              </w:rPr>
              <w:fldChar w:fldCharType="end"/>
            </w:r>
          </w:hyperlink>
        </w:p>
        <w:p w14:paraId="71D202B8" w14:textId="611E076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7" w:history="1">
            <w:r w:rsidRPr="00897F17">
              <w:rPr>
                <w:rStyle w:val="Hyperlink"/>
                <w:noProof/>
              </w:rPr>
              <w:t>Properties of Data</w:t>
            </w:r>
            <w:r>
              <w:rPr>
                <w:noProof/>
                <w:webHidden/>
              </w:rPr>
              <w:tab/>
            </w:r>
            <w:r>
              <w:rPr>
                <w:noProof/>
                <w:webHidden/>
              </w:rPr>
              <w:fldChar w:fldCharType="begin"/>
            </w:r>
            <w:r>
              <w:rPr>
                <w:noProof/>
                <w:webHidden/>
              </w:rPr>
              <w:instrText xml:space="preserve"> PAGEREF _Toc169156727 \h </w:instrText>
            </w:r>
            <w:r>
              <w:rPr>
                <w:noProof/>
                <w:webHidden/>
              </w:rPr>
            </w:r>
            <w:r>
              <w:rPr>
                <w:noProof/>
                <w:webHidden/>
              </w:rPr>
              <w:fldChar w:fldCharType="separate"/>
            </w:r>
            <w:r>
              <w:rPr>
                <w:noProof/>
                <w:webHidden/>
              </w:rPr>
              <w:t>141</w:t>
            </w:r>
            <w:r>
              <w:rPr>
                <w:noProof/>
                <w:webHidden/>
              </w:rPr>
              <w:fldChar w:fldCharType="end"/>
            </w:r>
          </w:hyperlink>
        </w:p>
        <w:p w14:paraId="20BF45A1" w14:textId="70C5F4B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8" w:history="1">
            <w:r w:rsidRPr="00897F17">
              <w:rPr>
                <w:rStyle w:val="Hyperlink"/>
                <w:noProof/>
              </w:rPr>
              <w:t>Databases</w:t>
            </w:r>
            <w:r>
              <w:rPr>
                <w:noProof/>
                <w:webHidden/>
              </w:rPr>
              <w:tab/>
            </w:r>
            <w:r>
              <w:rPr>
                <w:noProof/>
                <w:webHidden/>
              </w:rPr>
              <w:fldChar w:fldCharType="begin"/>
            </w:r>
            <w:r>
              <w:rPr>
                <w:noProof/>
                <w:webHidden/>
              </w:rPr>
              <w:instrText xml:space="preserve"> PAGEREF _Toc169156728 \h </w:instrText>
            </w:r>
            <w:r>
              <w:rPr>
                <w:noProof/>
                <w:webHidden/>
              </w:rPr>
            </w:r>
            <w:r>
              <w:rPr>
                <w:noProof/>
                <w:webHidden/>
              </w:rPr>
              <w:fldChar w:fldCharType="separate"/>
            </w:r>
            <w:r>
              <w:rPr>
                <w:noProof/>
                <w:webHidden/>
              </w:rPr>
              <w:t>146</w:t>
            </w:r>
            <w:r>
              <w:rPr>
                <w:noProof/>
                <w:webHidden/>
              </w:rPr>
              <w:fldChar w:fldCharType="end"/>
            </w:r>
          </w:hyperlink>
        </w:p>
        <w:p w14:paraId="64DF03D5" w14:textId="7475B3B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29" w:history="1">
            <w:r w:rsidRPr="00897F17">
              <w:rPr>
                <w:rStyle w:val="Hyperlink"/>
                <w:noProof/>
              </w:rPr>
              <w:t>Statistical Test Selection</w:t>
            </w:r>
            <w:r>
              <w:rPr>
                <w:noProof/>
                <w:webHidden/>
              </w:rPr>
              <w:tab/>
            </w:r>
            <w:r>
              <w:rPr>
                <w:noProof/>
                <w:webHidden/>
              </w:rPr>
              <w:fldChar w:fldCharType="begin"/>
            </w:r>
            <w:r>
              <w:rPr>
                <w:noProof/>
                <w:webHidden/>
              </w:rPr>
              <w:instrText xml:space="preserve"> PAGEREF _Toc169156729 \h </w:instrText>
            </w:r>
            <w:r>
              <w:rPr>
                <w:noProof/>
                <w:webHidden/>
              </w:rPr>
            </w:r>
            <w:r>
              <w:rPr>
                <w:noProof/>
                <w:webHidden/>
              </w:rPr>
              <w:fldChar w:fldCharType="separate"/>
            </w:r>
            <w:r>
              <w:rPr>
                <w:noProof/>
                <w:webHidden/>
              </w:rPr>
              <w:t>148</w:t>
            </w:r>
            <w:r>
              <w:rPr>
                <w:noProof/>
                <w:webHidden/>
              </w:rPr>
              <w:fldChar w:fldCharType="end"/>
            </w:r>
          </w:hyperlink>
        </w:p>
        <w:p w14:paraId="5AA2F41E" w14:textId="3B9F9ABB"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0" w:history="1">
            <w:r w:rsidRPr="00897F17">
              <w:rPr>
                <w:rStyle w:val="Hyperlink"/>
                <w:noProof/>
              </w:rPr>
              <w:t>Statistical Test Sampler</w:t>
            </w:r>
            <w:r>
              <w:rPr>
                <w:noProof/>
                <w:webHidden/>
              </w:rPr>
              <w:tab/>
            </w:r>
            <w:r>
              <w:rPr>
                <w:noProof/>
                <w:webHidden/>
              </w:rPr>
              <w:fldChar w:fldCharType="begin"/>
            </w:r>
            <w:r>
              <w:rPr>
                <w:noProof/>
                <w:webHidden/>
              </w:rPr>
              <w:instrText xml:space="preserve"> PAGEREF _Toc169156730 \h </w:instrText>
            </w:r>
            <w:r>
              <w:rPr>
                <w:noProof/>
                <w:webHidden/>
              </w:rPr>
            </w:r>
            <w:r>
              <w:rPr>
                <w:noProof/>
                <w:webHidden/>
              </w:rPr>
              <w:fldChar w:fldCharType="separate"/>
            </w:r>
            <w:r>
              <w:rPr>
                <w:noProof/>
                <w:webHidden/>
              </w:rPr>
              <w:t>154</w:t>
            </w:r>
            <w:r>
              <w:rPr>
                <w:noProof/>
                <w:webHidden/>
              </w:rPr>
              <w:fldChar w:fldCharType="end"/>
            </w:r>
          </w:hyperlink>
        </w:p>
        <w:p w14:paraId="387C18C3" w14:textId="188A63A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1" w:history="1">
            <w:r w:rsidRPr="00897F17">
              <w:rPr>
                <w:rStyle w:val="Hyperlink"/>
                <w:noProof/>
              </w:rPr>
              <w:t>Data Mining</w:t>
            </w:r>
            <w:r>
              <w:rPr>
                <w:noProof/>
                <w:webHidden/>
              </w:rPr>
              <w:tab/>
            </w:r>
            <w:r>
              <w:rPr>
                <w:noProof/>
                <w:webHidden/>
              </w:rPr>
              <w:fldChar w:fldCharType="begin"/>
            </w:r>
            <w:r>
              <w:rPr>
                <w:noProof/>
                <w:webHidden/>
              </w:rPr>
              <w:instrText xml:space="preserve"> PAGEREF _Toc169156731 \h </w:instrText>
            </w:r>
            <w:r>
              <w:rPr>
                <w:noProof/>
                <w:webHidden/>
              </w:rPr>
            </w:r>
            <w:r>
              <w:rPr>
                <w:noProof/>
                <w:webHidden/>
              </w:rPr>
              <w:fldChar w:fldCharType="separate"/>
            </w:r>
            <w:r>
              <w:rPr>
                <w:noProof/>
                <w:webHidden/>
              </w:rPr>
              <w:t>161</w:t>
            </w:r>
            <w:r>
              <w:rPr>
                <w:noProof/>
                <w:webHidden/>
              </w:rPr>
              <w:fldChar w:fldCharType="end"/>
            </w:r>
          </w:hyperlink>
        </w:p>
        <w:p w14:paraId="0BCEBFF8" w14:textId="32C8DCC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2" w:history="1">
            <w:r w:rsidRPr="00897F17">
              <w:rPr>
                <w:rStyle w:val="Hyperlink"/>
                <w:noProof/>
              </w:rPr>
              <w:t>Summary of Chapter 6: Data</w:t>
            </w:r>
            <w:r>
              <w:rPr>
                <w:noProof/>
                <w:webHidden/>
              </w:rPr>
              <w:tab/>
            </w:r>
            <w:r>
              <w:rPr>
                <w:noProof/>
                <w:webHidden/>
              </w:rPr>
              <w:fldChar w:fldCharType="begin"/>
            </w:r>
            <w:r>
              <w:rPr>
                <w:noProof/>
                <w:webHidden/>
              </w:rPr>
              <w:instrText xml:space="preserve"> PAGEREF _Toc169156732 \h </w:instrText>
            </w:r>
            <w:r>
              <w:rPr>
                <w:noProof/>
                <w:webHidden/>
              </w:rPr>
            </w:r>
            <w:r>
              <w:rPr>
                <w:noProof/>
                <w:webHidden/>
              </w:rPr>
              <w:fldChar w:fldCharType="separate"/>
            </w:r>
            <w:r>
              <w:rPr>
                <w:noProof/>
                <w:webHidden/>
              </w:rPr>
              <w:t>166</w:t>
            </w:r>
            <w:r>
              <w:rPr>
                <w:noProof/>
                <w:webHidden/>
              </w:rPr>
              <w:fldChar w:fldCharType="end"/>
            </w:r>
          </w:hyperlink>
        </w:p>
        <w:p w14:paraId="15A73961" w14:textId="6D2997CB"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33" w:history="1">
            <w:r w:rsidRPr="00897F17">
              <w:rPr>
                <w:rStyle w:val="Hyperlink"/>
                <w:noProof/>
              </w:rPr>
              <w:t>7: Sampling</w:t>
            </w:r>
            <w:r>
              <w:rPr>
                <w:noProof/>
                <w:webHidden/>
              </w:rPr>
              <w:tab/>
            </w:r>
            <w:r>
              <w:rPr>
                <w:noProof/>
                <w:webHidden/>
              </w:rPr>
              <w:fldChar w:fldCharType="begin"/>
            </w:r>
            <w:r>
              <w:rPr>
                <w:noProof/>
                <w:webHidden/>
              </w:rPr>
              <w:instrText xml:space="preserve"> PAGEREF _Toc169156733 \h </w:instrText>
            </w:r>
            <w:r>
              <w:rPr>
                <w:noProof/>
                <w:webHidden/>
              </w:rPr>
            </w:r>
            <w:r>
              <w:rPr>
                <w:noProof/>
                <w:webHidden/>
              </w:rPr>
              <w:fldChar w:fldCharType="separate"/>
            </w:r>
            <w:r>
              <w:rPr>
                <w:noProof/>
                <w:webHidden/>
              </w:rPr>
              <w:t>167</w:t>
            </w:r>
            <w:r>
              <w:rPr>
                <w:noProof/>
                <w:webHidden/>
              </w:rPr>
              <w:fldChar w:fldCharType="end"/>
            </w:r>
          </w:hyperlink>
        </w:p>
        <w:p w14:paraId="4B50FF20" w14:textId="0C2B334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4" w:history="1">
            <w:r w:rsidRPr="00897F17">
              <w:rPr>
                <w:rStyle w:val="Hyperlink"/>
                <w:noProof/>
              </w:rPr>
              <w:t>Introduction</w:t>
            </w:r>
            <w:r>
              <w:rPr>
                <w:noProof/>
                <w:webHidden/>
              </w:rPr>
              <w:tab/>
            </w:r>
            <w:r>
              <w:rPr>
                <w:noProof/>
                <w:webHidden/>
              </w:rPr>
              <w:fldChar w:fldCharType="begin"/>
            </w:r>
            <w:r>
              <w:rPr>
                <w:noProof/>
                <w:webHidden/>
              </w:rPr>
              <w:instrText xml:space="preserve"> PAGEREF _Toc169156734 \h </w:instrText>
            </w:r>
            <w:r>
              <w:rPr>
                <w:noProof/>
                <w:webHidden/>
              </w:rPr>
            </w:r>
            <w:r>
              <w:rPr>
                <w:noProof/>
                <w:webHidden/>
              </w:rPr>
              <w:fldChar w:fldCharType="separate"/>
            </w:r>
            <w:r>
              <w:rPr>
                <w:noProof/>
                <w:webHidden/>
              </w:rPr>
              <w:t>169</w:t>
            </w:r>
            <w:r>
              <w:rPr>
                <w:noProof/>
                <w:webHidden/>
              </w:rPr>
              <w:fldChar w:fldCharType="end"/>
            </w:r>
          </w:hyperlink>
        </w:p>
        <w:p w14:paraId="7D585400" w14:textId="1E005B5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5" w:history="1">
            <w:r w:rsidRPr="00897F17">
              <w:rPr>
                <w:rStyle w:val="Hyperlink"/>
                <w:noProof/>
              </w:rPr>
              <w:t>Sampling Stages</w:t>
            </w:r>
            <w:r>
              <w:rPr>
                <w:noProof/>
                <w:webHidden/>
              </w:rPr>
              <w:tab/>
            </w:r>
            <w:r>
              <w:rPr>
                <w:noProof/>
                <w:webHidden/>
              </w:rPr>
              <w:fldChar w:fldCharType="begin"/>
            </w:r>
            <w:r>
              <w:rPr>
                <w:noProof/>
                <w:webHidden/>
              </w:rPr>
              <w:instrText xml:space="preserve"> PAGEREF _Toc169156735 \h </w:instrText>
            </w:r>
            <w:r>
              <w:rPr>
                <w:noProof/>
                <w:webHidden/>
              </w:rPr>
            </w:r>
            <w:r>
              <w:rPr>
                <w:noProof/>
                <w:webHidden/>
              </w:rPr>
              <w:fldChar w:fldCharType="separate"/>
            </w:r>
            <w:r>
              <w:rPr>
                <w:noProof/>
                <w:webHidden/>
              </w:rPr>
              <w:t>170</w:t>
            </w:r>
            <w:r>
              <w:rPr>
                <w:noProof/>
                <w:webHidden/>
              </w:rPr>
              <w:fldChar w:fldCharType="end"/>
            </w:r>
          </w:hyperlink>
        </w:p>
        <w:p w14:paraId="409B7AFD" w14:textId="4328833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6" w:history="1">
            <w:r w:rsidRPr="00897F17">
              <w:rPr>
                <w:rStyle w:val="Hyperlink"/>
                <w:noProof/>
              </w:rPr>
              <w:t>Sampling in Quantitative Research</w:t>
            </w:r>
            <w:r>
              <w:rPr>
                <w:noProof/>
                <w:webHidden/>
              </w:rPr>
              <w:tab/>
            </w:r>
            <w:r>
              <w:rPr>
                <w:noProof/>
                <w:webHidden/>
              </w:rPr>
              <w:fldChar w:fldCharType="begin"/>
            </w:r>
            <w:r>
              <w:rPr>
                <w:noProof/>
                <w:webHidden/>
              </w:rPr>
              <w:instrText xml:space="preserve"> PAGEREF _Toc169156736 \h </w:instrText>
            </w:r>
            <w:r>
              <w:rPr>
                <w:noProof/>
                <w:webHidden/>
              </w:rPr>
            </w:r>
            <w:r>
              <w:rPr>
                <w:noProof/>
                <w:webHidden/>
              </w:rPr>
              <w:fldChar w:fldCharType="separate"/>
            </w:r>
            <w:r>
              <w:rPr>
                <w:noProof/>
                <w:webHidden/>
              </w:rPr>
              <w:t>174</w:t>
            </w:r>
            <w:r>
              <w:rPr>
                <w:noProof/>
                <w:webHidden/>
              </w:rPr>
              <w:fldChar w:fldCharType="end"/>
            </w:r>
          </w:hyperlink>
        </w:p>
        <w:p w14:paraId="27CA0079" w14:textId="4E08E17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7" w:history="1">
            <w:r w:rsidRPr="00897F17">
              <w:rPr>
                <w:rStyle w:val="Hyperlink"/>
                <w:noProof/>
              </w:rPr>
              <w:t>Sampling in Qualitative Research</w:t>
            </w:r>
            <w:r>
              <w:rPr>
                <w:noProof/>
                <w:webHidden/>
              </w:rPr>
              <w:tab/>
            </w:r>
            <w:r>
              <w:rPr>
                <w:noProof/>
                <w:webHidden/>
              </w:rPr>
              <w:fldChar w:fldCharType="begin"/>
            </w:r>
            <w:r>
              <w:rPr>
                <w:noProof/>
                <w:webHidden/>
              </w:rPr>
              <w:instrText xml:space="preserve"> PAGEREF _Toc169156737 \h </w:instrText>
            </w:r>
            <w:r>
              <w:rPr>
                <w:noProof/>
                <w:webHidden/>
              </w:rPr>
            </w:r>
            <w:r>
              <w:rPr>
                <w:noProof/>
                <w:webHidden/>
              </w:rPr>
              <w:fldChar w:fldCharType="separate"/>
            </w:r>
            <w:r>
              <w:rPr>
                <w:noProof/>
                <w:webHidden/>
              </w:rPr>
              <w:t>183</w:t>
            </w:r>
            <w:r>
              <w:rPr>
                <w:noProof/>
                <w:webHidden/>
              </w:rPr>
              <w:fldChar w:fldCharType="end"/>
            </w:r>
          </w:hyperlink>
        </w:p>
        <w:p w14:paraId="0B80DD27" w14:textId="2301E4E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8" w:history="1">
            <w:r w:rsidRPr="00897F17">
              <w:rPr>
                <w:rStyle w:val="Hyperlink"/>
                <w:noProof/>
              </w:rPr>
              <w:t>Summary of Sampling Techniques</w:t>
            </w:r>
            <w:r>
              <w:rPr>
                <w:noProof/>
                <w:webHidden/>
              </w:rPr>
              <w:tab/>
            </w:r>
            <w:r>
              <w:rPr>
                <w:noProof/>
                <w:webHidden/>
              </w:rPr>
              <w:fldChar w:fldCharType="begin"/>
            </w:r>
            <w:r>
              <w:rPr>
                <w:noProof/>
                <w:webHidden/>
              </w:rPr>
              <w:instrText xml:space="preserve"> PAGEREF _Toc169156738 \h </w:instrText>
            </w:r>
            <w:r>
              <w:rPr>
                <w:noProof/>
                <w:webHidden/>
              </w:rPr>
            </w:r>
            <w:r>
              <w:rPr>
                <w:noProof/>
                <w:webHidden/>
              </w:rPr>
              <w:fldChar w:fldCharType="separate"/>
            </w:r>
            <w:r>
              <w:rPr>
                <w:noProof/>
                <w:webHidden/>
              </w:rPr>
              <w:t>190</w:t>
            </w:r>
            <w:r>
              <w:rPr>
                <w:noProof/>
                <w:webHidden/>
              </w:rPr>
              <w:fldChar w:fldCharType="end"/>
            </w:r>
          </w:hyperlink>
        </w:p>
        <w:p w14:paraId="69B0E7AC" w14:textId="675F412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39" w:history="1">
            <w:r w:rsidRPr="00897F17">
              <w:rPr>
                <w:rStyle w:val="Hyperlink"/>
                <w:noProof/>
              </w:rPr>
              <w:t>Statistics of Sampling</w:t>
            </w:r>
            <w:r>
              <w:rPr>
                <w:noProof/>
                <w:webHidden/>
              </w:rPr>
              <w:tab/>
            </w:r>
            <w:r>
              <w:rPr>
                <w:noProof/>
                <w:webHidden/>
              </w:rPr>
              <w:fldChar w:fldCharType="begin"/>
            </w:r>
            <w:r>
              <w:rPr>
                <w:noProof/>
                <w:webHidden/>
              </w:rPr>
              <w:instrText xml:space="preserve"> PAGEREF _Toc169156739 \h </w:instrText>
            </w:r>
            <w:r>
              <w:rPr>
                <w:noProof/>
                <w:webHidden/>
              </w:rPr>
            </w:r>
            <w:r>
              <w:rPr>
                <w:noProof/>
                <w:webHidden/>
              </w:rPr>
              <w:fldChar w:fldCharType="separate"/>
            </w:r>
            <w:r>
              <w:rPr>
                <w:noProof/>
                <w:webHidden/>
              </w:rPr>
              <w:t>190</w:t>
            </w:r>
            <w:r>
              <w:rPr>
                <w:noProof/>
                <w:webHidden/>
              </w:rPr>
              <w:fldChar w:fldCharType="end"/>
            </w:r>
          </w:hyperlink>
        </w:p>
        <w:p w14:paraId="42B4AEC4" w14:textId="3A860C3B"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0" w:history="1">
            <w:r w:rsidRPr="00897F17">
              <w:rPr>
                <w:rStyle w:val="Hyperlink"/>
                <w:noProof/>
              </w:rPr>
              <w:t>Sample Size</w:t>
            </w:r>
            <w:r>
              <w:rPr>
                <w:noProof/>
                <w:webHidden/>
              </w:rPr>
              <w:tab/>
            </w:r>
            <w:r>
              <w:rPr>
                <w:noProof/>
                <w:webHidden/>
              </w:rPr>
              <w:fldChar w:fldCharType="begin"/>
            </w:r>
            <w:r>
              <w:rPr>
                <w:noProof/>
                <w:webHidden/>
              </w:rPr>
              <w:instrText xml:space="preserve"> PAGEREF _Toc169156740 \h </w:instrText>
            </w:r>
            <w:r>
              <w:rPr>
                <w:noProof/>
                <w:webHidden/>
              </w:rPr>
            </w:r>
            <w:r>
              <w:rPr>
                <w:noProof/>
                <w:webHidden/>
              </w:rPr>
              <w:fldChar w:fldCharType="separate"/>
            </w:r>
            <w:r>
              <w:rPr>
                <w:noProof/>
                <w:webHidden/>
              </w:rPr>
              <w:t>193</w:t>
            </w:r>
            <w:r>
              <w:rPr>
                <w:noProof/>
                <w:webHidden/>
              </w:rPr>
              <w:fldChar w:fldCharType="end"/>
            </w:r>
          </w:hyperlink>
        </w:p>
        <w:p w14:paraId="28A163A8" w14:textId="132BB160"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1" w:history="1">
            <w:r w:rsidRPr="00897F17">
              <w:rPr>
                <w:rStyle w:val="Hyperlink"/>
                <w:noProof/>
              </w:rPr>
              <w:t>A Word of Caution</w:t>
            </w:r>
            <w:r>
              <w:rPr>
                <w:noProof/>
                <w:webHidden/>
              </w:rPr>
              <w:tab/>
            </w:r>
            <w:r>
              <w:rPr>
                <w:noProof/>
                <w:webHidden/>
              </w:rPr>
              <w:fldChar w:fldCharType="begin"/>
            </w:r>
            <w:r>
              <w:rPr>
                <w:noProof/>
                <w:webHidden/>
              </w:rPr>
              <w:instrText xml:space="preserve"> PAGEREF _Toc169156741 \h </w:instrText>
            </w:r>
            <w:r>
              <w:rPr>
                <w:noProof/>
                <w:webHidden/>
              </w:rPr>
            </w:r>
            <w:r>
              <w:rPr>
                <w:noProof/>
                <w:webHidden/>
              </w:rPr>
              <w:fldChar w:fldCharType="separate"/>
            </w:r>
            <w:r>
              <w:rPr>
                <w:noProof/>
                <w:webHidden/>
              </w:rPr>
              <w:t>195</w:t>
            </w:r>
            <w:r>
              <w:rPr>
                <w:noProof/>
                <w:webHidden/>
              </w:rPr>
              <w:fldChar w:fldCharType="end"/>
            </w:r>
          </w:hyperlink>
        </w:p>
        <w:p w14:paraId="5278DE53" w14:textId="2EC9703B"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2" w:history="1">
            <w:r w:rsidRPr="00897F17">
              <w:rPr>
                <w:rStyle w:val="Hyperlink"/>
                <w:noProof/>
              </w:rPr>
              <w:t>Summary of Chapter 7: Sampling</w:t>
            </w:r>
            <w:r>
              <w:rPr>
                <w:noProof/>
                <w:webHidden/>
              </w:rPr>
              <w:tab/>
            </w:r>
            <w:r>
              <w:rPr>
                <w:noProof/>
                <w:webHidden/>
              </w:rPr>
              <w:fldChar w:fldCharType="begin"/>
            </w:r>
            <w:r>
              <w:rPr>
                <w:noProof/>
                <w:webHidden/>
              </w:rPr>
              <w:instrText xml:space="preserve"> PAGEREF _Toc169156742 \h </w:instrText>
            </w:r>
            <w:r>
              <w:rPr>
                <w:noProof/>
                <w:webHidden/>
              </w:rPr>
            </w:r>
            <w:r>
              <w:rPr>
                <w:noProof/>
                <w:webHidden/>
              </w:rPr>
              <w:fldChar w:fldCharType="separate"/>
            </w:r>
            <w:r>
              <w:rPr>
                <w:noProof/>
                <w:webHidden/>
              </w:rPr>
              <w:t>196</w:t>
            </w:r>
            <w:r>
              <w:rPr>
                <w:noProof/>
                <w:webHidden/>
              </w:rPr>
              <w:fldChar w:fldCharType="end"/>
            </w:r>
          </w:hyperlink>
        </w:p>
        <w:p w14:paraId="01F5FC22" w14:textId="3775E437"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43" w:history="1">
            <w:r w:rsidRPr="00897F17">
              <w:rPr>
                <w:rStyle w:val="Hyperlink"/>
                <w:noProof/>
              </w:rPr>
              <w:t>8: Survey Research</w:t>
            </w:r>
            <w:r>
              <w:rPr>
                <w:noProof/>
                <w:webHidden/>
              </w:rPr>
              <w:tab/>
            </w:r>
            <w:r>
              <w:rPr>
                <w:noProof/>
                <w:webHidden/>
              </w:rPr>
              <w:fldChar w:fldCharType="begin"/>
            </w:r>
            <w:r>
              <w:rPr>
                <w:noProof/>
                <w:webHidden/>
              </w:rPr>
              <w:instrText xml:space="preserve"> PAGEREF _Toc169156743 \h </w:instrText>
            </w:r>
            <w:r>
              <w:rPr>
                <w:noProof/>
                <w:webHidden/>
              </w:rPr>
            </w:r>
            <w:r>
              <w:rPr>
                <w:noProof/>
                <w:webHidden/>
              </w:rPr>
              <w:fldChar w:fldCharType="separate"/>
            </w:r>
            <w:r>
              <w:rPr>
                <w:noProof/>
                <w:webHidden/>
              </w:rPr>
              <w:t>198</w:t>
            </w:r>
            <w:r>
              <w:rPr>
                <w:noProof/>
                <w:webHidden/>
              </w:rPr>
              <w:fldChar w:fldCharType="end"/>
            </w:r>
          </w:hyperlink>
        </w:p>
        <w:p w14:paraId="54D65FFE" w14:textId="037556D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4" w:history="1">
            <w:r w:rsidRPr="00897F17">
              <w:rPr>
                <w:rStyle w:val="Hyperlink"/>
                <w:noProof/>
              </w:rPr>
              <w:t>Introduction</w:t>
            </w:r>
            <w:r>
              <w:rPr>
                <w:noProof/>
                <w:webHidden/>
              </w:rPr>
              <w:tab/>
            </w:r>
            <w:r>
              <w:rPr>
                <w:noProof/>
                <w:webHidden/>
              </w:rPr>
              <w:fldChar w:fldCharType="begin"/>
            </w:r>
            <w:r>
              <w:rPr>
                <w:noProof/>
                <w:webHidden/>
              </w:rPr>
              <w:instrText xml:space="preserve"> PAGEREF _Toc169156744 \h </w:instrText>
            </w:r>
            <w:r>
              <w:rPr>
                <w:noProof/>
                <w:webHidden/>
              </w:rPr>
            </w:r>
            <w:r>
              <w:rPr>
                <w:noProof/>
                <w:webHidden/>
              </w:rPr>
              <w:fldChar w:fldCharType="separate"/>
            </w:r>
            <w:r>
              <w:rPr>
                <w:noProof/>
                <w:webHidden/>
              </w:rPr>
              <w:t>199</w:t>
            </w:r>
            <w:r>
              <w:rPr>
                <w:noProof/>
                <w:webHidden/>
              </w:rPr>
              <w:fldChar w:fldCharType="end"/>
            </w:r>
          </w:hyperlink>
        </w:p>
        <w:p w14:paraId="3F2D8398" w14:textId="3EEFEB4B"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5" w:history="1">
            <w:r w:rsidRPr="00897F17">
              <w:rPr>
                <w:rStyle w:val="Hyperlink"/>
                <w:noProof/>
              </w:rPr>
              <w:t>Types of Surveys</w:t>
            </w:r>
            <w:r>
              <w:rPr>
                <w:noProof/>
                <w:webHidden/>
              </w:rPr>
              <w:tab/>
            </w:r>
            <w:r>
              <w:rPr>
                <w:noProof/>
                <w:webHidden/>
              </w:rPr>
              <w:fldChar w:fldCharType="begin"/>
            </w:r>
            <w:r>
              <w:rPr>
                <w:noProof/>
                <w:webHidden/>
              </w:rPr>
              <w:instrText xml:space="preserve"> PAGEREF _Toc169156745 \h </w:instrText>
            </w:r>
            <w:r>
              <w:rPr>
                <w:noProof/>
                <w:webHidden/>
              </w:rPr>
            </w:r>
            <w:r>
              <w:rPr>
                <w:noProof/>
                <w:webHidden/>
              </w:rPr>
              <w:fldChar w:fldCharType="separate"/>
            </w:r>
            <w:r>
              <w:rPr>
                <w:noProof/>
                <w:webHidden/>
              </w:rPr>
              <w:t>200</w:t>
            </w:r>
            <w:r>
              <w:rPr>
                <w:noProof/>
                <w:webHidden/>
              </w:rPr>
              <w:fldChar w:fldCharType="end"/>
            </w:r>
          </w:hyperlink>
        </w:p>
        <w:p w14:paraId="501E3369" w14:textId="35FD6AD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6" w:history="1">
            <w:r w:rsidRPr="00897F17">
              <w:rPr>
                <w:rStyle w:val="Hyperlink"/>
                <w:noProof/>
              </w:rPr>
              <w:t>Designing Effective Questionnaires</w:t>
            </w:r>
            <w:r>
              <w:rPr>
                <w:noProof/>
                <w:webHidden/>
              </w:rPr>
              <w:tab/>
            </w:r>
            <w:r>
              <w:rPr>
                <w:noProof/>
                <w:webHidden/>
              </w:rPr>
              <w:fldChar w:fldCharType="begin"/>
            </w:r>
            <w:r>
              <w:rPr>
                <w:noProof/>
                <w:webHidden/>
              </w:rPr>
              <w:instrText xml:space="preserve"> PAGEREF _Toc169156746 \h </w:instrText>
            </w:r>
            <w:r>
              <w:rPr>
                <w:noProof/>
                <w:webHidden/>
              </w:rPr>
            </w:r>
            <w:r>
              <w:rPr>
                <w:noProof/>
                <w:webHidden/>
              </w:rPr>
              <w:fldChar w:fldCharType="separate"/>
            </w:r>
            <w:r>
              <w:rPr>
                <w:noProof/>
                <w:webHidden/>
              </w:rPr>
              <w:t>205</w:t>
            </w:r>
            <w:r>
              <w:rPr>
                <w:noProof/>
                <w:webHidden/>
              </w:rPr>
              <w:fldChar w:fldCharType="end"/>
            </w:r>
          </w:hyperlink>
        </w:p>
        <w:p w14:paraId="31A73124" w14:textId="2DDC064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7" w:history="1">
            <w:r w:rsidRPr="00897F17">
              <w:rPr>
                <w:rStyle w:val="Hyperlink"/>
                <w:noProof/>
              </w:rPr>
              <w:t>Survey Pre-Testing</w:t>
            </w:r>
            <w:r>
              <w:rPr>
                <w:noProof/>
                <w:webHidden/>
              </w:rPr>
              <w:tab/>
            </w:r>
            <w:r>
              <w:rPr>
                <w:noProof/>
                <w:webHidden/>
              </w:rPr>
              <w:fldChar w:fldCharType="begin"/>
            </w:r>
            <w:r>
              <w:rPr>
                <w:noProof/>
                <w:webHidden/>
              </w:rPr>
              <w:instrText xml:space="preserve"> PAGEREF _Toc169156747 \h </w:instrText>
            </w:r>
            <w:r>
              <w:rPr>
                <w:noProof/>
                <w:webHidden/>
              </w:rPr>
            </w:r>
            <w:r>
              <w:rPr>
                <w:noProof/>
                <w:webHidden/>
              </w:rPr>
              <w:fldChar w:fldCharType="separate"/>
            </w:r>
            <w:r>
              <w:rPr>
                <w:noProof/>
                <w:webHidden/>
              </w:rPr>
              <w:t>214</w:t>
            </w:r>
            <w:r>
              <w:rPr>
                <w:noProof/>
                <w:webHidden/>
              </w:rPr>
              <w:fldChar w:fldCharType="end"/>
            </w:r>
          </w:hyperlink>
        </w:p>
        <w:p w14:paraId="7614FE6D" w14:textId="56CD43F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8" w:history="1">
            <w:r w:rsidRPr="00897F17">
              <w:rPr>
                <w:rStyle w:val="Hyperlink"/>
                <w:noProof/>
              </w:rPr>
              <w:t>Survey Translation</w:t>
            </w:r>
            <w:r>
              <w:rPr>
                <w:noProof/>
                <w:webHidden/>
              </w:rPr>
              <w:tab/>
            </w:r>
            <w:r>
              <w:rPr>
                <w:noProof/>
                <w:webHidden/>
              </w:rPr>
              <w:fldChar w:fldCharType="begin"/>
            </w:r>
            <w:r>
              <w:rPr>
                <w:noProof/>
                <w:webHidden/>
              </w:rPr>
              <w:instrText xml:space="preserve"> PAGEREF _Toc169156748 \h </w:instrText>
            </w:r>
            <w:r>
              <w:rPr>
                <w:noProof/>
                <w:webHidden/>
              </w:rPr>
            </w:r>
            <w:r>
              <w:rPr>
                <w:noProof/>
                <w:webHidden/>
              </w:rPr>
              <w:fldChar w:fldCharType="separate"/>
            </w:r>
            <w:r>
              <w:rPr>
                <w:noProof/>
                <w:webHidden/>
              </w:rPr>
              <w:t>216</w:t>
            </w:r>
            <w:r>
              <w:rPr>
                <w:noProof/>
                <w:webHidden/>
              </w:rPr>
              <w:fldChar w:fldCharType="end"/>
            </w:r>
          </w:hyperlink>
        </w:p>
        <w:p w14:paraId="1E719F53" w14:textId="1D4F9EF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49" w:history="1">
            <w:r w:rsidRPr="00897F17">
              <w:rPr>
                <w:rStyle w:val="Hyperlink"/>
                <w:noProof/>
              </w:rPr>
              <w:t>Survey Incentives</w:t>
            </w:r>
            <w:r>
              <w:rPr>
                <w:noProof/>
                <w:webHidden/>
              </w:rPr>
              <w:tab/>
            </w:r>
            <w:r>
              <w:rPr>
                <w:noProof/>
                <w:webHidden/>
              </w:rPr>
              <w:fldChar w:fldCharType="begin"/>
            </w:r>
            <w:r>
              <w:rPr>
                <w:noProof/>
                <w:webHidden/>
              </w:rPr>
              <w:instrText xml:space="preserve"> PAGEREF _Toc169156749 \h </w:instrText>
            </w:r>
            <w:r>
              <w:rPr>
                <w:noProof/>
                <w:webHidden/>
              </w:rPr>
            </w:r>
            <w:r>
              <w:rPr>
                <w:noProof/>
                <w:webHidden/>
              </w:rPr>
              <w:fldChar w:fldCharType="separate"/>
            </w:r>
            <w:r>
              <w:rPr>
                <w:noProof/>
                <w:webHidden/>
              </w:rPr>
              <w:t>218</w:t>
            </w:r>
            <w:r>
              <w:rPr>
                <w:noProof/>
                <w:webHidden/>
              </w:rPr>
              <w:fldChar w:fldCharType="end"/>
            </w:r>
          </w:hyperlink>
        </w:p>
        <w:p w14:paraId="07F9F338" w14:textId="18F7C6C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0" w:history="1">
            <w:r w:rsidRPr="00897F17">
              <w:rPr>
                <w:rStyle w:val="Hyperlink"/>
                <w:noProof/>
              </w:rPr>
              <w:t>Analysis of Survey Data</w:t>
            </w:r>
            <w:r>
              <w:rPr>
                <w:noProof/>
                <w:webHidden/>
              </w:rPr>
              <w:tab/>
            </w:r>
            <w:r>
              <w:rPr>
                <w:noProof/>
                <w:webHidden/>
              </w:rPr>
              <w:fldChar w:fldCharType="begin"/>
            </w:r>
            <w:r>
              <w:rPr>
                <w:noProof/>
                <w:webHidden/>
              </w:rPr>
              <w:instrText xml:space="preserve"> PAGEREF _Toc169156750 \h </w:instrText>
            </w:r>
            <w:r>
              <w:rPr>
                <w:noProof/>
                <w:webHidden/>
              </w:rPr>
            </w:r>
            <w:r>
              <w:rPr>
                <w:noProof/>
                <w:webHidden/>
              </w:rPr>
              <w:fldChar w:fldCharType="separate"/>
            </w:r>
            <w:r>
              <w:rPr>
                <w:noProof/>
                <w:webHidden/>
              </w:rPr>
              <w:t>220</w:t>
            </w:r>
            <w:r>
              <w:rPr>
                <w:noProof/>
                <w:webHidden/>
              </w:rPr>
              <w:fldChar w:fldCharType="end"/>
            </w:r>
          </w:hyperlink>
        </w:p>
        <w:p w14:paraId="1AF46A70" w14:textId="30B2FC6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1" w:history="1">
            <w:r w:rsidRPr="00897F17">
              <w:rPr>
                <w:rStyle w:val="Hyperlink"/>
                <w:noProof/>
              </w:rPr>
              <w:t>Summary of Chapter 8: Survey Research</w:t>
            </w:r>
            <w:r>
              <w:rPr>
                <w:noProof/>
                <w:webHidden/>
              </w:rPr>
              <w:tab/>
            </w:r>
            <w:r>
              <w:rPr>
                <w:noProof/>
                <w:webHidden/>
              </w:rPr>
              <w:fldChar w:fldCharType="begin"/>
            </w:r>
            <w:r>
              <w:rPr>
                <w:noProof/>
                <w:webHidden/>
              </w:rPr>
              <w:instrText xml:space="preserve"> PAGEREF _Toc169156751 \h </w:instrText>
            </w:r>
            <w:r>
              <w:rPr>
                <w:noProof/>
                <w:webHidden/>
              </w:rPr>
            </w:r>
            <w:r>
              <w:rPr>
                <w:noProof/>
                <w:webHidden/>
              </w:rPr>
              <w:fldChar w:fldCharType="separate"/>
            </w:r>
            <w:r>
              <w:rPr>
                <w:noProof/>
                <w:webHidden/>
              </w:rPr>
              <w:t>228</w:t>
            </w:r>
            <w:r>
              <w:rPr>
                <w:noProof/>
                <w:webHidden/>
              </w:rPr>
              <w:fldChar w:fldCharType="end"/>
            </w:r>
          </w:hyperlink>
        </w:p>
        <w:p w14:paraId="2DA3FBEB" w14:textId="150D862A"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52" w:history="1">
            <w:r w:rsidRPr="00897F17">
              <w:rPr>
                <w:rStyle w:val="Hyperlink"/>
                <w:noProof/>
              </w:rPr>
              <w:t>9: Experimental Research</w:t>
            </w:r>
            <w:r>
              <w:rPr>
                <w:noProof/>
                <w:webHidden/>
              </w:rPr>
              <w:tab/>
            </w:r>
            <w:r>
              <w:rPr>
                <w:noProof/>
                <w:webHidden/>
              </w:rPr>
              <w:fldChar w:fldCharType="begin"/>
            </w:r>
            <w:r>
              <w:rPr>
                <w:noProof/>
                <w:webHidden/>
              </w:rPr>
              <w:instrText xml:space="preserve"> PAGEREF _Toc169156752 \h </w:instrText>
            </w:r>
            <w:r>
              <w:rPr>
                <w:noProof/>
                <w:webHidden/>
              </w:rPr>
            </w:r>
            <w:r>
              <w:rPr>
                <w:noProof/>
                <w:webHidden/>
              </w:rPr>
              <w:fldChar w:fldCharType="separate"/>
            </w:r>
            <w:r>
              <w:rPr>
                <w:noProof/>
                <w:webHidden/>
              </w:rPr>
              <w:t>229</w:t>
            </w:r>
            <w:r>
              <w:rPr>
                <w:noProof/>
                <w:webHidden/>
              </w:rPr>
              <w:fldChar w:fldCharType="end"/>
            </w:r>
          </w:hyperlink>
        </w:p>
        <w:p w14:paraId="070426D0" w14:textId="47584C2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3" w:history="1">
            <w:r w:rsidRPr="00897F17">
              <w:rPr>
                <w:rStyle w:val="Hyperlink"/>
                <w:noProof/>
              </w:rPr>
              <w:t>Introduction</w:t>
            </w:r>
            <w:r>
              <w:rPr>
                <w:noProof/>
                <w:webHidden/>
              </w:rPr>
              <w:tab/>
            </w:r>
            <w:r>
              <w:rPr>
                <w:noProof/>
                <w:webHidden/>
              </w:rPr>
              <w:fldChar w:fldCharType="begin"/>
            </w:r>
            <w:r>
              <w:rPr>
                <w:noProof/>
                <w:webHidden/>
              </w:rPr>
              <w:instrText xml:space="preserve"> PAGEREF _Toc169156753 \h </w:instrText>
            </w:r>
            <w:r>
              <w:rPr>
                <w:noProof/>
                <w:webHidden/>
              </w:rPr>
            </w:r>
            <w:r>
              <w:rPr>
                <w:noProof/>
                <w:webHidden/>
              </w:rPr>
              <w:fldChar w:fldCharType="separate"/>
            </w:r>
            <w:r>
              <w:rPr>
                <w:noProof/>
                <w:webHidden/>
              </w:rPr>
              <w:t>229</w:t>
            </w:r>
            <w:r>
              <w:rPr>
                <w:noProof/>
                <w:webHidden/>
              </w:rPr>
              <w:fldChar w:fldCharType="end"/>
            </w:r>
          </w:hyperlink>
        </w:p>
        <w:p w14:paraId="4551B521" w14:textId="4E9CB3F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4" w:history="1">
            <w:r w:rsidRPr="00897F17">
              <w:rPr>
                <w:rStyle w:val="Hyperlink"/>
                <w:noProof/>
              </w:rPr>
              <w:t>Basic Concepts</w:t>
            </w:r>
            <w:r>
              <w:rPr>
                <w:noProof/>
                <w:webHidden/>
              </w:rPr>
              <w:tab/>
            </w:r>
            <w:r>
              <w:rPr>
                <w:noProof/>
                <w:webHidden/>
              </w:rPr>
              <w:fldChar w:fldCharType="begin"/>
            </w:r>
            <w:r>
              <w:rPr>
                <w:noProof/>
                <w:webHidden/>
              </w:rPr>
              <w:instrText xml:space="preserve"> PAGEREF _Toc169156754 \h </w:instrText>
            </w:r>
            <w:r>
              <w:rPr>
                <w:noProof/>
                <w:webHidden/>
              </w:rPr>
            </w:r>
            <w:r>
              <w:rPr>
                <w:noProof/>
                <w:webHidden/>
              </w:rPr>
              <w:fldChar w:fldCharType="separate"/>
            </w:r>
            <w:r>
              <w:rPr>
                <w:noProof/>
                <w:webHidden/>
              </w:rPr>
              <w:t>232</w:t>
            </w:r>
            <w:r>
              <w:rPr>
                <w:noProof/>
                <w:webHidden/>
              </w:rPr>
              <w:fldChar w:fldCharType="end"/>
            </w:r>
          </w:hyperlink>
        </w:p>
        <w:p w14:paraId="6A9E9C56" w14:textId="78EC0B8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5" w:history="1">
            <w:r w:rsidRPr="00897F17">
              <w:rPr>
                <w:rStyle w:val="Hyperlink"/>
                <w:noProof/>
              </w:rPr>
              <w:t>Replication and Reproducibility in Experimental Research</w:t>
            </w:r>
            <w:r>
              <w:rPr>
                <w:noProof/>
                <w:webHidden/>
              </w:rPr>
              <w:tab/>
            </w:r>
            <w:r>
              <w:rPr>
                <w:noProof/>
                <w:webHidden/>
              </w:rPr>
              <w:fldChar w:fldCharType="begin"/>
            </w:r>
            <w:r>
              <w:rPr>
                <w:noProof/>
                <w:webHidden/>
              </w:rPr>
              <w:instrText xml:space="preserve"> PAGEREF _Toc169156755 \h </w:instrText>
            </w:r>
            <w:r>
              <w:rPr>
                <w:noProof/>
                <w:webHidden/>
              </w:rPr>
            </w:r>
            <w:r>
              <w:rPr>
                <w:noProof/>
                <w:webHidden/>
              </w:rPr>
              <w:fldChar w:fldCharType="separate"/>
            </w:r>
            <w:r>
              <w:rPr>
                <w:noProof/>
                <w:webHidden/>
              </w:rPr>
              <w:t>233</w:t>
            </w:r>
            <w:r>
              <w:rPr>
                <w:noProof/>
                <w:webHidden/>
              </w:rPr>
              <w:fldChar w:fldCharType="end"/>
            </w:r>
          </w:hyperlink>
        </w:p>
        <w:p w14:paraId="61E077EA" w14:textId="2C53BD9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6" w:history="1">
            <w:r w:rsidRPr="00897F17">
              <w:rPr>
                <w:rStyle w:val="Hyperlink"/>
                <w:noProof/>
              </w:rPr>
              <w:t>Two-Group Experimental Designs</w:t>
            </w:r>
            <w:r>
              <w:rPr>
                <w:noProof/>
                <w:webHidden/>
              </w:rPr>
              <w:tab/>
            </w:r>
            <w:r>
              <w:rPr>
                <w:noProof/>
                <w:webHidden/>
              </w:rPr>
              <w:fldChar w:fldCharType="begin"/>
            </w:r>
            <w:r>
              <w:rPr>
                <w:noProof/>
                <w:webHidden/>
              </w:rPr>
              <w:instrText xml:space="preserve"> PAGEREF _Toc169156756 \h </w:instrText>
            </w:r>
            <w:r>
              <w:rPr>
                <w:noProof/>
                <w:webHidden/>
              </w:rPr>
            </w:r>
            <w:r>
              <w:rPr>
                <w:noProof/>
                <w:webHidden/>
              </w:rPr>
              <w:fldChar w:fldCharType="separate"/>
            </w:r>
            <w:r>
              <w:rPr>
                <w:noProof/>
                <w:webHidden/>
              </w:rPr>
              <w:t>234</w:t>
            </w:r>
            <w:r>
              <w:rPr>
                <w:noProof/>
                <w:webHidden/>
              </w:rPr>
              <w:fldChar w:fldCharType="end"/>
            </w:r>
          </w:hyperlink>
        </w:p>
        <w:p w14:paraId="7B6542B1" w14:textId="1201B49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7" w:history="1">
            <w:r w:rsidRPr="00897F17">
              <w:rPr>
                <w:rStyle w:val="Hyperlink"/>
                <w:noProof/>
              </w:rPr>
              <w:t>Factorial Designs</w:t>
            </w:r>
            <w:r>
              <w:rPr>
                <w:noProof/>
                <w:webHidden/>
              </w:rPr>
              <w:tab/>
            </w:r>
            <w:r>
              <w:rPr>
                <w:noProof/>
                <w:webHidden/>
              </w:rPr>
              <w:fldChar w:fldCharType="begin"/>
            </w:r>
            <w:r>
              <w:rPr>
                <w:noProof/>
                <w:webHidden/>
              </w:rPr>
              <w:instrText xml:space="preserve"> PAGEREF _Toc169156757 \h </w:instrText>
            </w:r>
            <w:r>
              <w:rPr>
                <w:noProof/>
                <w:webHidden/>
              </w:rPr>
            </w:r>
            <w:r>
              <w:rPr>
                <w:noProof/>
                <w:webHidden/>
              </w:rPr>
              <w:fldChar w:fldCharType="separate"/>
            </w:r>
            <w:r>
              <w:rPr>
                <w:noProof/>
                <w:webHidden/>
              </w:rPr>
              <w:t>236</w:t>
            </w:r>
            <w:r>
              <w:rPr>
                <w:noProof/>
                <w:webHidden/>
              </w:rPr>
              <w:fldChar w:fldCharType="end"/>
            </w:r>
          </w:hyperlink>
        </w:p>
        <w:p w14:paraId="76BC75B6" w14:textId="6E4E9DE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8" w:history="1">
            <w:r w:rsidRPr="00897F17">
              <w:rPr>
                <w:rStyle w:val="Hyperlink"/>
                <w:noProof/>
              </w:rPr>
              <w:t>Hybrid Experimental Designs</w:t>
            </w:r>
            <w:r>
              <w:rPr>
                <w:noProof/>
                <w:webHidden/>
              </w:rPr>
              <w:tab/>
            </w:r>
            <w:r>
              <w:rPr>
                <w:noProof/>
                <w:webHidden/>
              </w:rPr>
              <w:fldChar w:fldCharType="begin"/>
            </w:r>
            <w:r>
              <w:rPr>
                <w:noProof/>
                <w:webHidden/>
              </w:rPr>
              <w:instrText xml:space="preserve"> PAGEREF _Toc169156758 \h </w:instrText>
            </w:r>
            <w:r>
              <w:rPr>
                <w:noProof/>
                <w:webHidden/>
              </w:rPr>
            </w:r>
            <w:r>
              <w:rPr>
                <w:noProof/>
                <w:webHidden/>
              </w:rPr>
              <w:fldChar w:fldCharType="separate"/>
            </w:r>
            <w:r>
              <w:rPr>
                <w:noProof/>
                <w:webHidden/>
              </w:rPr>
              <w:t>237</w:t>
            </w:r>
            <w:r>
              <w:rPr>
                <w:noProof/>
                <w:webHidden/>
              </w:rPr>
              <w:fldChar w:fldCharType="end"/>
            </w:r>
          </w:hyperlink>
        </w:p>
        <w:p w14:paraId="36FCB93C" w14:textId="7C031BE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59" w:history="1">
            <w:r w:rsidRPr="00897F17">
              <w:rPr>
                <w:rStyle w:val="Hyperlink"/>
                <w:noProof/>
              </w:rPr>
              <w:t>Quasi-Experimental Designs</w:t>
            </w:r>
            <w:r>
              <w:rPr>
                <w:noProof/>
                <w:webHidden/>
              </w:rPr>
              <w:tab/>
            </w:r>
            <w:r>
              <w:rPr>
                <w:noProof/>
                <w:webHidden/>
              </w:rPr>
              <w:fldChar w:fldCharType="begin"/>
            </w:r>
            <w:r>
              <w:rPr>
                <w:noProof/>
                <w:webHidden/>
              </w:rPr>
              <w:instrText xml:space="preserve"> PAGEREF _Toc169156759 \h </w:instrText>
            </w:r>
            <w:r>
              <w:rPr>
                <w:noProof/>
                <w:webHidden/>
              </w:rPr>
            </w:r>
            <w:r>
              <w:rPr>
                <w:noProof/>
                <w:webHidden/>
              </w:rPr>
              <w:fldChar w:fldCharType="separate"/>
            </w:r>
            <w:r>
              <w:rPr>
                <w:noProof/>
                <w:webHidden/>
              </w:rPr>
              <w:t>239</w:t>
            </w:r>
            <w:r>
              <w:rPr>
                <w:noProof/>
                <w:webHidden/>
              </w:rPr>
              <w:fldChar w:fldCharType="end"/>
            </w:r>
          </w:hyperlink>
        </w:p>
        <w:p w14:paraId="185AFEDA" w14:textId="7075782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0" w:history="1">
            <w:r w:rsidRPr="00897F17">
              <w:rPr>
                <w:rStyle w:val="Hyperlink"/>
                <w:noProof/>
              </w:rPr>
              <w:t>Strengths and Weaknesses of Experimental Research</w:t>
            </w:r>
            <w:r>
              <w:rPr>
                <w:noProof/>
                <w:webHidden/>
              </w:rPr>
              <w:tab/>
            </w:r>
            <w:r>
              <w:rPr>
                <w:noProof/>
                <w:webHidden/>
              </w:rPr>
              <w:fldChar w:fldCharType="begin"/>
            </w:r>
            <w:r>
              <w:rPr>
                <w:noProof/>
                <w:webHidden/>
              </w:rPr>
              <w:instrText xml:space="preserve"> PAGEREF _Toc169156760 \h </w:instrText>
            </w:r>
            <w:r>
              <w:rPr>
                <w:noProof/>
                <w:webHidden/>
              </w:rPr>
            </w:r>
            <w:r>
              <w:rPr>
                <w:noProof/>
                <w:webHidden/>
              </w:rPr>
              <w:fldChar w:fldCharType="separate"/>
            </w:r>
            <w:r>
              <w:rPr>
                <w:noProof/>
                <w:webHidden/>
              </w:rPr>
              <w:t>245</w:t>
            </w:r>
            <w:r>
              <w:rPr>
                <w:noProof/>
                <w:webHidden/>
              </w:rPr>
              <w:fldChar w:fldCharType="end"/>
            </w:r>
          </w:hyperlink>
        </w:p>
        <w:p w14:paraId="75EFB2AE" w14:textId="5250847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1" w:history="1">
            <w:r w:rsidRPr="00897F17">
              <w:rPr>
                <w:rStyle w:val="Hyperlink"/>
                <w:noProof/>
              </w:rPr>
              <w:t>Applications of Experimental Research in Various Fields</w:t>
            </w:r>
            <w:r>
              <w:rPr>
                <w:noProof/>
                <w:webHidden/>
              </w:rPr>
              <w:tab/>
            </w:r>
            <w:r>
              <w:rPr>
                <w:noProof/>
                <w:webHidden/>
              </w:rPr>
              <w:fldChar w:fldCharType="begin"/>
            </w:r>
            <w:r>
              <w:rPr>
                <w:noProof/>
                <w:webHidden/>
              </w:rPr>
              <w:instrText xml:space="preserve"> PAGEREF _Toc169156761 \h </w:instrText>
            </w:r>
            <w:r>
              <w:rPr>
                <w:noProof/>
                <w:webHidden/>
              </w:rPr>
            </w:r>
            <w:r>
              <w:rPr>
                <w:noProof/>
                <w:webHidden/>
              </w:rPr>
              <w:fldChar w:fldCharType="separate"/>
            </w:r>
            <w:r>
              <w:rPr>
                <w:noProof/>
                <w:webHidden/>
              </w:rPr>
              <w:t>246</w:t>
            </w:r>
            <w:r>
              <w:rPr>
                <w:noProof/>
                <w:webHidden/>
              </w:rPr>
              <w:fldChar w:fldCharType="end"/>
            </w:r>
          </w:hyperlink>
        </w:p>
        <w:p w14:paraId="07A6B3FA" w14:textId="4FC3DD9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2" w:history="1">
            <w:r w:rsidRPr="00897F17">
              <w:rPr>
                <w:rStyle w:val="Hyperlink"/>
                <w:noProof/>
              </w:rPr>
              <w:t>Summary of Chapter 9: Experimental Research</w:t>
            </w:r>
            <w:r>
              <w:rPr>
                <w:noProof/>
                <w:webHidden/>
              </w:rPr>
              <w:tab/>
            </w:r>
            <w:r>
              <w:rPr>
                <w:noProof/>
                <w:webHidden/>
              </w:rPr>
              <w:fldChar w:fldCharType="begin"/>
            </w:r>
            <w:r>
              <w:rPr>
                <w:noProof/>
                <w:webHidden/>
              </w:rPr>
              <w:instrText xml:space="preserve"> PAGEREF _Toc169156762 \h </w:instrText>
            </w:r>
            <w:r>
              <w:rPr>
                <w:noProof/>
                <w:webHidden/>
              </w:rPr>
            </w:r>
            <w:r>
              <w:rPr>
                <w:noProof/>
                <w:webHidden/>
              </w:rPr>
              <w:fldChar w:fldCharType="separate"/>
            </w:r>
            <w:r>
              <w:rPr>
                <w:noProof/>
                <w:webHidden/>
              </w:rPr>
              <w:t>248</w:t>
            </w:r>
            <w:r>
              <w:rPr>
                <w:noProof/>
                <w:webHidden/>
              </w:rPr>
              <w:fldChar w:fldCharType="end"/>
            </w:r>
          </w:hyperlink>
        </w:p>
        <w:p w14:paraId="21532D8D" w14:textId="39BACCA9"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63" w:history="1">
            <w:r w:rsidRPr="00897F17">
              <w:rPr>
                <w:rStyle w:val="Hyperlink"/>
                <w:noProof/>
              </w:rPr>
              <w:t>10: The Role of Statistics in Research</w:t>
            </w:r>
            <w:r>
              <w:rPr>
                <w:noProof/>
                <w:webHidden/>
              </w:rPr>
              <w:tab/>
            </w:r>
            <w:r>
              <w:rPr>
                <w:noProof/>
                <w:webHidden/>
              </w:rPr>
              <w:fldChar w:fldCharType="begin"/>
            </w:r>
            <w:r>
              <w:rPr>
                <w:noProof/>
                <w:webHidden/>
              </w:rPr>
              <w:instrText xml:space="preserve"> PAGEREF _Toc169156763 \h </w:instrText>
            </w:r>
            <w:r>
              <w:rPr>
                <w:noProof/>
                <w:webHidden/>
              </w:rPr>
            </w:r>
            <w:r>
              <w:rPr>
                <w:noProof/>
                <w:webHidden/>
              </w:rPr>
              <w:fldChar w:fldCharType="separate"/>
            </w:r>
            <w:r>
              <w:rPr>
                <w:noProof/>
                <w:webHidden/>
              </w:rPr>
              <w:t>249</w:t>
            </w:r>
            <w:r>
              <w:rPr>
                <w:noProof/>
                <w:webHidden/>
              </w:rPr>
              <w:fldChar w:fldCharType="end"/>
            </w:r>
          </w:hyperlink>
        </w:p>
        <w:p w14:paraId="0F0748C0" w14:textId="0BE20E8B"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4" w:history="1">
            <w:r w:rsidRPr="00897F17">
              <w:rPr>
                <w:rStyle w:val="Hyperlink"/>
                <w:noProof/>
              </w:rPr>
              <w:t>Introduction</w:t>
            </w:r>
            <w:r>
              <w:rPr>
                <w:noProof/>
                <w:webHidden/>
              </w:rPr>
              <w:tab/>
            </w:r>
            <w:r>
              <w:rPr>
                <w:noProof/>
                <w:webHidden/>
              </w:rPr>
              <w:fldChar w:fldCharType="begin"/>
            </w:r>
            <w:r>
              <w:rPr>
                <w:noProof/>
                <w:webHidden/>
              </w:rPr>
              <w:instrText xml:space="preserve"> PAGEREF _Toc169156764 \h </w:instrText>
            </w:r>
            <w:r>
              <w:rPr>
                <w:noProof/>
                <w:webHidden/>
              </w:rPr>
            </w:r>
            <w:r>
              <w:rPr>
                <w:noProof/>
                <w:webHidden/>
              </w:rPr>
              <w:fldChar w:fldCharType="separate"/>
            </w:r>
            <w:r>
              <w:rPr>
                <w:noProof/>
                <w:webHidden/>
              </w:rPr>
              <w:t>249</w:t>
            </w:r>
            <w:r>
              <w:rPr>
                <w:noProof/>
                <w:webHidden/>
              </w:rPr>
              <w:fldChar w:fldCharType="end"/>
            </w:r>
          </w:hyperlink>
        </w:p>
        <w:p w14:paraId="257EAF04" w14:textId="5729693A"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5" w:history="1">
            <w:r w:rsidRPr="00897F17">
              <w:rPr>
                <w:rStyle w:val="Hyperlink"/>
                <w:noProof/>
              </w:rPr>
              <w:t>The Importance of Statistics in Research</w:t>
            </w:r>
            <w:r>
              <w:rPr>
                <w:noProof/>
                <w:webHidden/>
              </w:rPr>
              <w:tab/>
            </w:r>
            <w:r>
              <w:rPr>
                <w:noProof/>
                <w:webHidden/>
              </w:rPr>
              <w:fldChar w:fldCharType="begin"/>
            </w:r>
            <w:r>
              <w:rPr>
                <w:noProof/>
                <w:webHidden/>
              </w:rPr>
              <w:instrText xml:space="preserve"> PAGEREF _Toc169156765 \h </w:instrText>
            </w:r>
            <w:r>
              <w:rPr>
                <w:noProof/>
                <w:webHidden/>
              </w:rPr>
            </w:r>
            <w:r>
              <w:rPr>
                <w:noProof/>
                <w:webHidden/>
              </w:rPr>
              <w:fldChar w:fldCharType="separate"/>
            </w:r>
            <w:r>
              <w:rPr>
                <w:noProof/>
                <w:webHidden/>
              </w:rPr>
              <w:t>250</w:t>
            </w:r>
            <w:r>
              <w:rPr>
                <w:noProof/>
                <w:webHidden/>
              </w:rPr>
              <w:fldChar w:fldCharType="end"/>
            </w:r>
          </w:hyperlink>
        </w:p>
        <w:p w14:paraId="080CE7F3" w14:textId="48B6746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6" w:history="1">
            <w:r w:rsidRPr="00897F17">
              <w:rPr>
                <w:rStyle w:val="Hyperlink"/>
                <w:noProof/>
              </w:rPr>
              <w:t>Introduction to Descriptive Statistics</w:t>
            </w:r>
            <w:r>
              <w:rPr>
                <w:noProof/>
                <w:webHidden/>
              </w:rPr>
              <w:tab/>
            </w:r>
            <w:r>
              <w:rPr>
                <w:noProof/>
                <w:webHidden/>
              </w:rPr>
              <w:fldChar w:fldCharType="begin"/>
            </w:r>
            <w:r>
              <w:rPr>
                <w:noProof/>
                <w:webHidden/>
              </w:rPr>
              <w:instrText xml:space="preserve"> PAGEREF _Toc169156766 \h </w:instrText>
            </w:r>
            <w:r>
              <w:rPr>
                <w:noProof/>
                <w:webHidden/>
              </w:rPr>
            </w:r>
            <w:r>
              <w:rPr>
                <w:noProof/>
                <w:webHidden/>
              </w:rPr>
              <w:fldChar w:fldCharType="separate"/>
            </w:r>
            <w:r>
              <w:rPr>
                <w:noProof/>
                <w:webHidden/>
              </w:rPr>
              <w:t>250</w:t>
            </w:r>
            <w:r>
              <w:rPr>
                <w:noProof/>
                <w:webHidden/>
              </w:rPr>
              <w:fldChar w:fldCharType="end"/>
            </w:r>
          </w:hyperlink>
        </w:p>
        <w:p w14:paraId="722B114B" w14:textId="028D79D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7" w:history="1">
            <w:r w:rsidRPr="00897F17">
              <w:rPr>
                <w:rStyle w:val="Hyperlink"/>
                <w:noProof/>
              </w:rPr>
              <w:t>Hypothesis Testing: A Cornerstone of Inferential Statistics</w:t>
            </w:r>
            <w:r>
              <w:rPr>
                <w:noProof/>
                <w:webHidden/>
              </w:rPr>
              <w:tab/>
            </w:r>
            <w:r>
              <w:rPr>
                <w:noProof/>
                <w:webHidden/>
              </w:rPr>
              <w:fldChar w:fldCharType="begin"/>
            </w:r>
            <w:r>
              <w:rPr>
                <w:noProof/>
                <w:webHidden/>
              </w:rPr>
              <w:instrText xml:space="preserve"> PAGEREF _Toc169156767 \h </w:instrText>
            </w:r>
            <w:r>
              <w:rPr>
                <w:noProof/>
                <w:webHidden/>
              </w:rPr>
            </w:r>
            <w:r>
              <w:rPr>
                <w:noProof/>
                <w:webHidden/>
              </w:rPr>
              <w:fldChar w:fldCharType="separate"/>
            </w:r>
            <w:r>
              <w:rPr>
                <w:noProof/>
                <w:webHidden/>
              </w:rPr>
              <w:t>252</w:t>
            </w:r>
            <w:r>
              <w:rPr>
                <w:noProof/>
                <w:webHidden/>
              </w:rPr>
              <w:fldChar w:fldCharType="end"/>
            </w:r>
          </w:hyperlink>
        </w:p>
        <w:p w14:paraId="7943570A" w14:textId="300FCEC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8" w:history="1">
            <w:r w:rsidRPr="00897F17">
              <w:rPr>
                <w:rStyle w:val="Hyperlink"/>
                <w:noProof/>
              </w:rPr>
              <w:t>Values: Interpreting Statistical Significance</w:t>
            </w:r>
            <w:r>
              <w:rPr>
                <w:noProof/>
                <w:webHidden/>
              </w:rPr>
              <w:tab/>
            </w:r>
            <w:r>
              <w:rPr>
                <w:noProof/>
                <w:webHidden/>
              </w:rPr>
              <w:fldChar w:fldCharType="begin"/>
            </w:r>
            <w:r>
              <w:rPr>
                <w:noProof/>
                <w:webHidden/>
              </w:rPr>
              <w:instrText xml:space="preserve"> PAGEREF _Toc169156768 \h </w:instrText>
            </w:r>
            <w:r>
              <w:rPr>
                <w:noProof/>
                <w:webHidden/>
              </w:rPr>
            </w:r>
            <w:r>
              <w:rPr>
                <w:noProof/>
                <w:webHidden/>
              </w:rPr>
              <w:fldChar w:fldCharType="separate"/>
            </w:r>
            <w:r>
              <w:rPr>
                <w:noProof/>
                <w:webHidden/>
              </w:rPr>
              <w:t>254</w:t>
            </w:r>
            <w:r>
              <w:rPr>
                <w:noProof/>
                <w:webHidden/>
              </w:rPr>
              <w:fldChar w:fldCharType="end"/>
            </w:r>
          </w:hyperlink>
        </w:p>
        <w:p w14:paraId="276F10F2" w14:textId="5E5178F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69" w:history="1">
            <w:r w:rsidRPr="00897F17">
              <w:rPr>
                <w:rStyle w:val="Hyperlink"/>
                <w:noProof/>
              </w:rPr>
              <w:t>Parametric Statistical Tests and Their Application</w:t>
            </w:r>
            <w:r>
              <w:rPr>
                <w:noProof/>
                <w:webHidden/>
              </w:rPr>
              <w:tab/>
            </w:r>
            <w:r>
              <w:rPr>
                <w:noProof/>
                <w:webHidden/>
              </w:rPr>
              <w:fldChar w:fldCharType="begin"/>
            </w:r>
            <w:r>
              <w:rPr>
                <w:noProof/>
                <w:webHidden/>
              </w:rPr>
              <w:instrText xml:space="preserve"> PAGEREF _Toc169156769 \h </w:instrText>
            </w:r>
            <w:r>
              <w:rPr>
                <w:noProof/>
                <w:webHidden/>
              </w:rPr>
            </w:r>
            <w:r>
              <w:rPr>
                <w:noProof/>
                <w:webHidden/>
              </w:rPr>
              <w:fldChar w:fldCharType="separate"/>
            </w:r>
            <w:r>
              <w:rPr>
                <w:noProof/>
                <w:webHidden/>
              </w:rPr>
              <w:t>256</w:t>
            </w:r>
            <w:r>
              <w:rPr>
                <w:noProof/>
                <w:webHidden/>
              </w:rPr>
              <w:fldChar w:fldCharType="end"/>
            </w:r>
          </w:hyperlink>
        </w:p>
        <w:p w14:paraId="6AE9E68F" w14:textId="4D56FBE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0" w:history="1">
            <w:r w:rsidRPr="00897F17">
              <w:rPr>
                <w:rStyle w:val="Hyperlink"/>
                <w:noProof/>
              </w:rPr>
              <w:t>Non-Parametric Tests for Data That Do Not Meet Parametric Assumptions</w:t>
            </w:r>
            <w:r>
              <w:rPr>
                <w:noProof/>
                <w:webHidden/>
              </w:rPr>
              <w:tab/>
            </w:r>
            <w:r>
              <w:rPr>
                <w:noProof/>
                <w:webHidden/>
              </w:rPr>
              <w:fldChar w:fldCharType="begin"/>
            </w:r>
            <w:r>
              <w:rPr>
                <w:noProof/>
                <w:webHidden/>
              </w:rPr>
              <w:instrText xml:space="preserve"> PAGEREF _Toc169156770 \h </w:instrText>
            </w:r>
            <w:r>
              <w:rPr>
                <w:noProof/>
                <w:webHidden/>
              </w:rPr>
            </w:r>
            <w:r>
              <w:rPr>
                <w:noProof/>
                <w:webHidden/>
              </w:rPr>
              <w:fldChar w:fldCharType="separate"/>
            </w:r>
            <w:r>
              <w:rPr>
                <w:noProof/>
                <w:webHidden/>
              </w:rPr>
              <w:t>258</w:t>
            </w:r>
            <w:r>
              <w:rPr>
                <w:noProof/>
                <w:webHidden/>
              </w:rPr>
              <w:fldChar w:fldCharType="end"/>
            </w:r>
          </w:hyperlink>
        </w:p>
        <w:p w14:paraId="2A3EE334" w14:textId="2FF39A8A"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1" w:history="1">
            <w:r w:rsidRPr="00897F17">
              <w:rPr>
                <w:rStyle w:val="Hyperlink"/>
                <w:noProof/>
              </w:rPr>
              <w:t>Comparing Continuous Variables</w:t>
            </w:r>
            <w:r>
              <w:rPr>
                <w:noProof/>
                <w:webHidden/>
              </w:rPr>
              <w:tab/>
            </w:r>
            <w:r>
              <w:rPr>
                <w:noProof/>
                <w:webHidden/>
              </w:rPr>
              <w:fldChar w:fldCharType="begin"/>
            </w:r>
            <w:r>
              <w:rPr>
                <w:noProof/>
                <w:webHidden/>
              </w:rPr>
              <w:instrText xml:space="preserve"> PAGEREF _Toc169156771 \h </w:instrText>
            </w:r>
            <w:r>
              <w:rPr>
                <w:noProof/>
                <w:webHidden/>
              </w:rPr>
            </w:r>
            <w:r>
              <w:rPr>
                <w:noProof/>
                <w:webHidden/>
              </w:rPr>
              <w:fldChar w:fldCharType="separate"/>
            </w:r>
            <w:r>
              <w:rPr>
                <w:noProof/>
                <w:webHidden/>
              </w:rPr>
              <w:t>259</w:t>
            </w:r>
            <w:r>
              <w:rPr>
                <w:noProof/>
                <w:webHidden/>
              </w:rPr>
              <w:fldChar w:fldCharType="end"/>
            </w:r>
          </w:hyperlink>
        </w:p>
        <w:p w14:paraId="499F010E" w14:textId="3793A41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2" w:history="1">
            <w:r w:rsidRPr="00897F17">
              <w:rPr>
                <w:rStyle w:val="Hyperlink"/>
                <w:noProof/>
              </w:rPr>
              <w:t>Analysis of Variance (ANOVA)</w:t>
            </w:r>
            <w:r>
              <w:rPr>
                <w:noProof/>
                <w:webHidden/>
              </w:rPr>
              <w:tab/>
            </w:r>
            <w:r>
              <w:rPr>
                <w:noProof/>
                <w:webHidden/>
              </w:rPr>
              <w:fldChar w:fldCharType="begin"/>
            </w:r>
            <w:r>
              <w:rPr>
                <w:noProof/>
                <w:webHidden/>
              </w:rPr>
              <w:instrText xml:space="preserve"> PAGEREF _Toc169156772 \h </w:instrText>
            </w:r>
            <w:r>
              <w:rPr>
                <w:noProof/>
                <w:webHidden/>
              </w:rPr>
            </w:r>
            <w:r>
              <w:rPr>
                <w:noProof/>
                <w:webHidden/>
              </w:rPr>
              <w:fldChar w:fldCharType="separate"/>
            </w:r>
            <w:r>
              <w:rPr>
                <w:noProof/>
                <w:webHidden/>
              </w:rPr>
              <w:t>261</w:t>
            </w:r>
            <w:r>
              <w:rPr>
                <w:noProof/>
                <w:webHidden/>
              </w:rPr>
              <w:fldChar w:fldCharType="end"/>
            </w:r>
          </w:hyperlink>
        </w:p>
        <w:p w14:paraId="73F854A5" w14:textId="70C2A5F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3" w:history="1">
            <w:r w:rsidRPr="00897F17">
              <w:rPr>
                <w:rStyle w:val="Hyperlink"/>
                <w:noProof/>
              </w:rPr>
              <w:t>Chi-Square and Other Tests for Association Between Categorical Variables</w:t>
            </w:r>
            <w:r>
              <w:rPr>
                <w:noProof/>
                <w:webHidden/>
              </w:rPr>
              <w:tab/>
            </w:r>
            <w:r>
              <w:rPr>
                <w:noProof/>
                <w:webHidden/>
              </w:rPr>
              <w:fldChar w:fldCharType="begin"/>
            </w:r>
            <w:r>
              <w:rPr>
                <w:noProof/>
                <w:webHidden/>
              </w:rPr>
              <w:instrText xml:space="preserve"> PAGEREF _Toc169156773 \h </w:instrText>
            </w:r>
            <w:r>
              <w:rPr>
                <w:noProof/>
                <w:webHidden/>
              </w:rPr>
            </w:r>
            <w:r>
              <w:rPr>
                <w:noProof/>
                <w:webHidden/>
              </w:rPr>
              <w:fldChar w:fldCharType="separate"/>
            </w:r>
            <w:r>
              <w:rPr>
                <w:noProof/>
                <w:webHidden/>
              </w:rPr>
              <w:t>264</w:t>
            </w:r>
            <w:r>
              <w:rPr>
                <w:noProof/>
                <w:webHidden/>
              </w:rPr>
              <w:fldChar w:fldCharType="end"/>
            </w:r>
          </w:hyperlink>
        </w:p>
        <w:p w14:paraId="18D420A0" w14:textId="018CE16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4" w:history="1">
            <w:r w:rsidRPr="00897F17">
              <w:rPr>
                <w:rStyle w:val="Hyperlink"/>
                <w:noProof/>
              </w:rPr>
              <w:t>Choosing the Correct Statistical Test</w:t>
            </w:r>
            <w:r>
              <w:rPr>
                <w:noProof/>
                <w:webHidden/>
              </w:rPr>
              <w:tab/>
            </w:r>
            <w:r>
              <w:rPr>
                <w:noProof/>
                <w:webHidden/>
              </w:rPr>
              <w:fldChar w:fldCharType="begin"/>
            </w:r>
            <w:r>
              <w:rPr>
                <w:noProof/>
                <w:webHidden/>
              </w:rPr>
              <w:instrText xml:space="preserve"> PAGEREF _Toc169156774 \h </w:instrText>
            </w:r>
            <w:r>
              <w:rPr>
                <w:noProof/>
                <w:webHidden/>
              </w:rPr>
            </w:r>
            <w:r>
              <w:rPr>
                <w:noProof/>
                <w:webHidden/>
              </w:rPr>
              <w:fldChar w:fldCharType="separate"/>
            </w:r>
            <w:r>
              <w:rPr>
                <w:noProof/>
                <w:webHidden/>
              </w:rPr>
              <w:t>267</w:t>
            </w:r>
            <w:r>
              <w:rPr>
                <w:noProof/>
                <w:webHidden/>
              </w:rPr>
              <w:fldChar w:fldCharType="end"/>
            </w:r>
          </w:hyperlink>
        </w:p>
        <w:p w14:paraId="1CF45625" w14:textId="21CC9B0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5" w:history="1">
            <w:r w:rsidRPr="00897F17">
              <w:rPr>
                <w:rStyle w:val="Hyperlink"/>
                <w:noProof/>
              </w:rPr>
              <w:t>Reporting Statistical Test Results</w:t>
            </w:r>
            <w:r>
              <w:rPr>
                <w:noProof/>
                <w:webHidden/>
              </w:rPr>
              <w:tab/>
            </w:r>
            <w:r>
              <w:rPr>
                <w:noProof/>
                <w:webHidden/>
              </w:rPr>
              <w:fldChar w:fldCharType="begin"/>
            </w:r>
            <w:r>
              <w:rPr>
                <w:noProof/>
                <w:webHidden/>
              </w:rPr>
              <w:instrText xml:space="preserve"> PAGEREF _Toc169156775 \h </w:instrText>
            </w:r>
            <w:r>
              <w:rPr>
                <w:noProof/>
                <w:webHidden/>
              </w:rPr>
            </w:r>
            <w:r>
              <w:rPr>
                <w:noProof/>
                <w:webHidden/>
              </w:rPr>
              <w:fldChar w:fldCharType="separate"/>
            </w:r>
            <w:r>
              <w:rPr>
                <w:noProof/>
                <w:webHidden/>
              </w:rPr>
              <w:t>271</w:t>
            </w:r>
            <w:r>
              <w:rPr>
                <w:noProof/>
                <w:webHidden/>
              </w:rPr>
              <w:fldChar w:fldCharType="end"/>
            </w:r>
          </w:hyperlink>
        </w:p>
        <w:p w14:paraId="64998FDF" w14:textId="33B463F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6" w:history="1">
            <w:r w:rsidRPr="00897F17">
              <w:rPr>
                <w:rStyle w:val="Hyperlink"/>
                <w:noProof/>
              </w:rPr>
              <w:t>Summary: Chapter 10: Statistics in Research</w:t>
            </w:r>
            <w:r>
              <w:rPr>
                <w:noProof/>
                <w:webHidden/>
              </w:rPr>
              <w:tab/>
            </w:r>
            <w:r>
              <w:rPr>
                <w:noProof/>
                <w:webHidden/>
              </w:rPr>
              <w:fldChar w:fldCharType="begin"/>
            </w:r>
            <w:r>
              <w:rPr>
                <w:noProof/>
                <w:webHidden/>
              </w:rPr>
              <w:instrText xml:space="preserve"> PAGEREF _Toc169156776 \h </w:instrText>
            </w:r>
            <w:r>
              <w:rPr>
                <w:noProof/>
                <w:webHidden/>
              </w:rPr>
            </w:r>
            <w:r>
              <w:rPr>
                <w:noProof/>
                <w:webHidden/>
              </w:rPr>
              <w:fldChar w:fldCharType="separate"/>
            </w:r>
            <w:r>
              <w:rPr>
                <w:noProof/>
                <w:webHidden/>
              </w:rPr>
              <w:t>273</w:t>
            </w:r>
            <w:r>
              <w:rPr>
                <w:noProof/>
                <w:webHidden/>
              </w:rPr>
              <w:fldChar w:fldCharType="end"/>
            </w:r>
          </w:hyperlink>
        </w:p>
        <w:p w14:paraId="72315452" w14:textId="1FDAE071" w:rsidR="00980002" w:rsidRDefault="00980002">
          <w:pPr>
            <w:pStyle w:val="TOC1"/>
            <w:tabs>
              <w:tab w:val="right" w:leader="dot" w:pos="9350"/>
            </w:tabs>
            <w:rPr>
              <w:rFonts w:asciiTheme="minorHAnsi" w:hAnsiTheme="minorHAnsi"/>
              <w:noProof/>
              <w:kern w:val="2"/>
              <w:sz w:val="24"/>
              <w:szCs w:val="24"/>
              <w14:ligatures w14:val="standardContextual"/>
            </w:rPr>
          </w:pPr>
          <w:hyperlink w:anchor="_Toc169156777" w:history="1">
            <w:r w:rsidRPr="00897F17">
              <w:rPr>
                <w:rStyle w:val="Hyperlink"/>
                <w:noProof/>
              </w:rPr>
              <w:t>Qualitative Methods</w:t>
            </w:r>
            <w:r>
              <w:rPr>
                <w:noProof/>
                <w:webHidden/>
              </w:rPr>
              <w:tab/>
            </w:r>
            <w:r>
              <w:rPr>
                <w:noProof/>
                <w:webHidden/>
              </w:rPr>
              <w:fldChar w:fldCharType="begin"/>
            </w:r>
            <w:r>
              <w:rPr>
                <w:noProof/>
                <w:webHidden/>
              </w:rPr>
              <w:instrText xml:space="preserve"> PAGEREF _Toc169156777 \h </w:instrText>
            </w:r>
            <w:r>
              <w:rPr>
                <w:noProof/>
                <w:webHidden/>
              </w:rPr>
            </w:r>
            <w:r>
              <w:rPr>
                <w:noProof/>
                <w:webHidden/>
              </w:rPr>
              <w:fldChar w:fldCharType="separate"/>
            </w:r>
            <w:r>
              <w:rPr>
                <w:noProof/>
                <w:webHidden/>
              </w:rPr>
              <w:t>274</w:t>
            </w:r>
            <w:r>
              <w:rPr>
                <w:noProof/>
                <w:webHidden/>
              </w:rPr>
              <w:fldChar w:fldCharType="end"/>
            </w:r>
          </w:hyperlink>
        </w:p>
        <w:p w14:paraId="697CC6B9" w14:textId="1894D587"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78" w:history="1">
            <w:r w:rsidRPr="00897F17">
              <w:rPr>
                <w:rStyle w:val="Hyperlink"/>
                <w:noProof/>
              </w:rPr>
              <w:t>11: Interviews</w:t>
            </w:r>
            <w:r>
              <w:rPr>
                <w:noProof/>
                <w:webHidden/>
              </w:rPr>
              <w:tab/>
            </w:r>
            <w:r>
              <w:rPr>
                <w:noProof/>
                <w:webHidden/>
              </w:rPr>
              <w:fldChar w:fldCharType="begin"/>
            </w:r>
            <w:r>
              <w:rPr>
                <w:noProof/>
                <w:webHidden/>
              </w:rPr>
              <w:instrText xml:space="preserve"> PAGEREF _Toc169156778 \h </w:instrText>
            </w:r>
            <w:r>
              <w:rPr>
                <w:noProof/>
                <w:webHidden/>
              </w:rPr>
            </w:r>
            <w:r>
              <w:rPr>
                <w:noProof/>
                <w:webHidden/>
              </w:rPr>
              <w:fldChar w:fldCharType="separate"/>
            </w:r>
            <w:r>
              <w:rPr>
                <w:noProof/>
                <w:webHidden/>
              </w:rPr>
              <w:t>275</w:t>
            </w:r>
            <w:r>
              <w:rPr>
                <w:noProof/>
                <w:webHidden/>
              </w:rPr>
              <w:fldChar w:fldCharType="end"/>
            </w:r>
          </w:hyperlink>
        </w:p>
        <w:p w14:paraId="72E087A3" w14:textId="27AEE07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79" w:history="1">
            <w:r w:rsidRPr="00897F17">
              <w:rPr>
                <w:rStyle w:val="Hyperlink"/>
                <w:noProof/>
              </w:rPr>
              <w:t>What Is Interview Research?</w:t>
            </w:r>
            <w:r>
              <w:rPr>
                <w:noProof/>
                <w:webHidden/>
              </w:rPr>
              <w:tab/>
            </w:r>
            <w:r>
              <w:rPr>
                <w:noProof/>
                <w:webHidden/>
              </w:rPr>
              <w:fldChar w:fldCharType="begin"/>
            </w:r>
            <w:r>
              <w:rPr>
                <w:noProof/>
                <w:webHidden/>
              </w:rPr>
              <w:instrText xml:space="preserve"> PAGEREF _Toc169156779 \h </w:instrText>
            </w:r>
            <w:r>
              <w:rPr>
                <w:noProof/>
                <w:webHidden/>
              </w:rPr>
            </w:r>
            <w:r>
              <w:rPr>
                <w:noProof/>
                <w:webHidden/>
              </w:rPr>
              <w:fldChar w:fldCharType="separate"/>
            </w:r>
            <w:r>
              <w:rPr>
                <w:noProof/>
                <w:webHidden/>
              </w:rPr>
              <w:t>275</w:t>
            </w:r>
            <w:r>
              <w:rPr>
                <w:noProof/>
                <w:webHidden/>
              </w:rPr>
              <w:fldChar w:fldCharType="end"/>
            </w:r>
          </w:hyperlink>
        </w:p>
        <w:p w14:paraId="2AC06FA7" w14:textId="05CBE8C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0" w:history="1">
            <w:r w:rsidRPr="00897F17">
              <w:rPr>
                <w:rStyle w:val="Hyperlink"/>
                <w:noProof/>
              </w:rPr>
              <w:t>Qualitative Interview Techniques</w:t>
            </w:r>
            <w:r>
              <w:rPr>
                <w:noProof/>
                <w:webHidden/>
              </w:rPr>
              <w:tab/>
            </w:r>
            <w:r>
              <w:rPr>
                <w:noProof/>
                <w:webHidden/>
              </w:rPr>
              <w:fldChar w:fldCharType="begin"/>
            </w:r>
            <w:r>
              <w:rPr>
                <w:noProof/>
                <w:webHidden/>
              </w:rPr>
              <w:instrText xml:space="preserve"> PAGEREF _Toc169156780 \h </w:instrText>
            </w:r>
            <w:r>
              <w:rPr>
                <w:noProof/>
                <w:webHidden/>
              </w:rPr>
            </w:r>
            <w:r>
              <w:rPr>
                <w:noProof/>
                <w:webHidden/>
              </w:rPr>
              <w:fldChar w:fldCharType="separate"/>
            </w:r>
            <w:r>
              <w:rPr>
                <w:noProof/>
                <w:webHidden/>
              </w:rPr>
              <w:t>278</w:t>
            </w:r>
            <w:r>
              <w:rPr>
                <w:noProof/>
                <w:webHidden/>
              </w:rPr>
              <w:fldChar w:fldCharType="end"/>
            </w:r>
          </w:hyperlink>
        </w:p>
        <w:p w14:paraId="338821D3" w14:textId="0B431F5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1" w:history="1">
            <w:r w:rsidRPr="00897F17">
              <w:rPr>
                <w:rStyle w:val="Hyperlink"/>
                <w:noProof/>
              </w:rPr>
              <w:t>Quantitative Interview Techniques</w:t>
            </w:r>
            <w:r>
              <w:rPr>
                <w:noProof/>
                <w:webHidden/>
              </w:rPr>
              <w:tab/>
            </w:r>
            <w:r>
              <w:rPr>
                <w:noProof/>
                <w:webHidden/>
              </w:rPr>
              <w:fldChar w:fldCharType="begin"/>
            </w:r>
            <w:r>
              <w:rPr>
                <w:noProof/>
                <w:webHidden/>
              </w:rPr>
              <w:instrText xml:space="preserve"> PAGEREF _Toc169156781 \h </w:instrText>
            </w:r>
            <w:r>
              <w:rPr>
                <w:noProof/>
                <w:webHidden/>
              </w:rPr>
            </w:r>
            <w:r>
              <w:rPr>
                <w:noProof/>
                <w:webHidden/>
              </w:rPr>
              <w:fldChar w:fldCharType="separate"/>
            </w:r>
            <w:r>
              <w:rPr>
                <w:noProof/>
                <w:webHidden/>
              </w:rPr>
              <w:t>283</w:t>
            </w:r>
            <w:r>
              <w:rPr>
                <w:noProof/>
                <w:webHidden/>
              </w:rPr>
              <w:fldChar w:fldCharType="end"/>
            </w:r>
          </w:hyperlink>
        </w:p>
        <w:p w14:paraId="0886726C" w14:textId="54616BA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2" w:history="1">
            <w:r w:rsidRPr="00897F17">
              <w:rPr>
                <w:rStyle w:val="Hyperlink"/>
                <w:noProof/>
              </w:rPr>
              <w:t>Issues to Consider</w:t>
            </w:r>
            <w:r>
              <w:rPr>
                <w:noProof/>
                <w:webHidden/>
              </w:rPr>
              <w:tab/>
            </w:r>
            <w:r>
              <w:rPr>
                <w:noProof/>
                <w:webHidden/>
              </w:rPr>
              <w:fldChar w:fldCharType="begin"/>
            </w:r>
            <w:r>
              <w:rPr>
                <w:noProof/>
                <w:webHidden/>
              </w:rPr>
              <w:instrText xml:space="preserve"> PAGEREF _Toc169156782 \h </w:instrText>
            </w:r>
            <w:r>
              <w:rPr>
                <w:noProof/>
                <w:webHidden/>
              </w:rPr>
            </w:r>
            <w:r>
              <w:rPr>
                <w:noProof/>
                <w:webHidden/>
              </w:rPr>
              <w:fldChar w:fldCharType="separate"/>
            </w:r>
            <w:r>
              <w:rPr>
                <w:noProof/>
                <w:webHidden/>
              </w:rPr>
              <w:t>287</w:t>
            </w:r>
            <w:r>
              <w:rPr>
                <w:noProof/>
                <w:webHidden/>
              </w:rPr>
              <w:fldChar w:fldCharType="end"/>
            </w:r>
          </w:hyperlink>
        </w:p>
        <w:p w14:paraId="28E059C0" w14:textId="257F398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3" w:history="1">
            <w:r w:rsidRPr="00897F17">
              <w:rPr>
                <w:rStyle w:val="Hyperlink"/>
                <w:noProof/>
              </w:rPr>
              <w:t>Conducting the Interview</w:t>
            </w:r>
            <w:r>
              <w:rPr>
                <w:noProof/>
                <w:webHidden/>
              </w:rPr>
              <w:tab/>
            </w:r>
            <w:r>
              <w:rPr>
                <w:noProof/>
                <w:webHidden/>
              </w:rPr>
              <w:fldChar w:fldCharType="begin"/>
            </w:r>
            <w:r>
              <w:rPr>
                <w:noProof/>
                <w:webHidden/>
              </w:rPr>
              <w:instrText xml:space="preserve"> PAGEREF _Toc169156783 \h </w:instrText>
            </w:r>
            <w:r>
              <w:rPr>
                <w:noProof/>
                <w:webHidden/>
              </w:rPr>
            </w:r>
            <w:r>
              <w:rPr>
                <w:noProof/>
                <w:webHidden/>
              </w:rPr>
              <w:fldChar w:fldCharType="separate"/>
            </w:r>
            <w:r>
              <w:rPr>
                <w:noProof/>
                <w:webHidden/>
              </w:rPr>
              <w:t>289</w:t>
            </w:r>
            <w:r>
              <w:rPr>
                <w:noProof/>
                <w:webHidden/>
              </w:rPr>
              <w:fldChar w:fldCharType="end"/>
            </w:r>
          </w:hyperlink>
        </w:p>
        <w:p w14:paraId="41DFDD49" w14:textId="40B1709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4" w:history="1">
            <w:r w:rsidRPr="00897F17">
              <w:rPr>
                <w:rStyle w:val="Hyperlink"/>
                <w:noProof/>
              </w:rPr>
              <w:t>Using Technology in Interview Research</w:t>
            </w:r>
            <w:r>
              <w:rPr>
                <w:noProof/>
                <w:webHidden/>
              </w:rPr>
              <w:tab/>
            </w:r>
            <w:r>
              <w:rPr>
                <w:noProof/>
                <w:webHidden/>
              </w:rPr>
              <w:fldChar w:fldCharType="begin"/>
            </w:r>
            <w:r>
              <w:rPr>
                <w:noProof/>
                <w:webHidden/>
              </w:rPr>
              <w:instrText xml:space="preserve"> PAGEREF _Toc169156784 \h </w:instrText>
            </w:r>
            <w:r>
              <w:rPr>
                <w:noProof/>
                <w:webHidden/>
              </w:rPr>
            </w:r>
            <w:r>
              <w:rPr>
                <w:noProof/>
                <w:webHidden/>
              </w:rPr>
              <w:fldChar w:fldCharType="separate"/>
            </w:r>
            <w:r>
              <w:rPr>
                <w:noProof/>
                <w:webHidden/>
              </w:rPr>
              <w:t>290</w:t>
            </w:r>
            <w:r>
              <w:rPr>
                <w:noProof/>
                <w:webHidden/>
              </w:rPr>
              <w:fldChar w:fldCharType="end"/>
            </w:r>
          </w:hyperlink>
        </w:p>
        <w:p w14:paraId="44391EBF" w14:textId="4DB29C3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5" w:history="1">
            <w:r w:rsidRPr="00897F17">
              <w:rPr>
                <w:rStyle w:val="Hyperlink"/>
                <w:noProof/>
              </w:rPr>
              <w:t>Focus Groups</w:t>
            </w:r>
            <w:r>
              <w:rPr>
                <w:noProof/>
                <w:webHidden/>
              </w:rPr>
              <w:tab/>
            </w:r>
            <w:r>
              <w:rPr>
                <w:noProof/>
                <w:webHidden/>
              </w:rPr>
              <w:fldChar w:fldCharType="begin"/>
            </w:r>
            <w:r>
              <w:rPr>
                <w:noProof/>
                <w:webHidden/>
              </w:rPr>
              <w:instrText xml:space="preserve"> PAGEREF _Toc169156785 \h </w:instrText>
            </w:r>
            <w:r>
              <w:rPr>
                <w:noProof/>
                <w:webHidden/>
              </w:rPr>
            </w:r>
            <w:r>
              <w:rPr>
                <w:noProof/>
                <w:webHidden/>
              </w:rPr>
              <w:fldChar w:fldCharType="separate"/>
            </w:r>
            <w:r>
              <w:rPr>
                <w:noProof/>
                <w:webHidden/>
              </w:rPr>
              <w:t>291</w:t>
            </w:r>
            <w:r>
              <w:rPr>
                <w:noProof/>
                <w:webHidden/>
              </w:rPr>
              <w:fldChar w:fldCharType="end"/>
            </w:r>
          </w:hyperlink>
        </w:p>
        <w:p w14:paraId="5E5D6E6F" w14:textId="50E7DF1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6" w:history="1">
            <w:r w:rsidRPr="00897F17">
              <w:rPr>
                <w:rStyle w:val="Hyperlink"/>
                <w:noProof/>
              </w:rPr>
              <w:t>Summary of Chapter 11: Interviews</w:t>
            </w:r>
            <w:r>
              <w:rPr>
                <w:noProof/>
                <w:webHidden/>
              </w:rPr>
              <w:tab/>
            </w:r>
            <w:r>
              <w:rPr>
                <w:noProof/>
                <w:webHidden/>
              </w:rPr>
              <w:fldChar w:fldCharType="begin"/>
            </w:r>
            <w:r>
              <w:rPr>
                <w:noProof/>
                <w:webHidden/>
              </w:rPr>
              <w:instrText xml:space="preserve"> PAGEREF _Toc169156786 \h </w:instrText>
            </w:r>
            <w:r>
              <w:rPr>
                <w:noProof/>
                <w:webHidden/>
              </w:rPr>
            </w:r>
            <w:r>
              <w:rPr>
                <w:noProof/>
                <w:webHidden/>
              </w:rPr>
              <w:fldChar w:fldCharType="separate"/>
            </w:r>
            <w:r>
              <w:rPr>
                <w:noProof/>
                <w:webHidden/>
              </w:rPr>
              <w:t>292</w:t>
            </w:r>
            <w:r>
              <w:rPr>
                <w:noProof/>
                <w:webHidden/>
              </w:rPr>
              <w:fldChar w:fldCharType="end"/>
            </w:r>
          </w:hyperlink>
        </w:p>
        <w:p w14:paraId="41628B7D" w14:textId="3C83A9DF"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787" w:history="1">
            <w:r w:rsidRPr="00897F17">
              <w:rPr>
                <w:rStyle w:val="Hyperlink"/>
                <w:noProof/>
              </w:rPr>
              <w:t>12: Field Research</w:t>
            </w:r>
            <w:r>
              <w:rPr>
                <w:noProof/>
                <w:webHidden/>
              </w:rPr>
              <w:tab/>
            </w:r>
            <w:r>
              <w:rPr>
                <w:noProof/>
                <w:webHidden/>
              </w:rPr>
              <w:fldChar w:fldCharType="begin"/>
            </w:r>
            <w:r>
              <w:rPr>
                <w:noProof/>
                <w:webHidden/>
              </w:rPr>
              <w:instrText xml:space="preserve"> PAGEREF _Toc169156787 \h </w:instrText>
            </w:r>
            <w:r>
              <w:rPr>
                <w:noProof/>
                <w:webHidden/>
              </w:rPr>
            </w:r>
            <w:r>
              <w:rPr>
                <w:noProof/>
                <w:webHidden/>
              </w:rPr>
              <w:fldChar w:fldCharType="separate"/>
            </w:r>
            <w:r>
              <w:rPr>
                <w:noProof/>
                <w:webHidden/>
              </w:rPr>
              <w:t>293</w:t>
            </w:r>
            <w:r>
              <w:rPr>
                <w:noProof/>
                <w:webHidden/>
              </w:rPr>
              <w:fldChar w:fldCharType="end"/>
            </w:r>
          </w:hyperlink>
        </w:p>
        <w:p w14:paraId="7C8E1B37" w14:textId="6E46979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8" w:history="1">
            <w:r w:rsidRPr="00897F17">
              <w:rPr>
                <w:rStyle w:val="Hyperlink"/>
                <w:noProof/>
              </w:rPr>
              <w:t>Introduction</w:t>
            </w:r>
            <w:r>
              <w:rPr>
                <w:noProof/>
                <w:webHidden/>
              </w:rPr>
              <w:tab/>
            </w:r>
            <w:r>
              <w:rPr>
                <w:noProof/>
                <w:webHidden/>
              </w:rPr>
              <w:fldChar w:fldCharType="begin"/>
            </w:r>
            <w:r>
              <w:rPr>
                <w:noProof/>
                <w:webHidden/>
              </w:rPr>
              <w:instrText xml:space="preserve"> PAGEREF _Toc169156788 \h </w:instrText>
            </w:r>
            <w:r>
              <w:rPr>
                <w:noProof/>
                <w:webHidden/>
              </w:rPr>
            </w:r>
            <w:r>
              <w:rPr>
                <w:noProof/>
                <w:webHidden/>
              </w:rPr>
              <w:fldChar w:fldCharType="separate"/>
            </w:r>
            <w:r>
              <w:rPr>
                <w:noProof/>
                <w:webHidden/>
              </w:rPr>
              <w:t>293</w:t>
            </w:r>
            <w:r>
              <w:rPr>
                <w:noProof/>
                <w:webHidden/>
              </w:rPr>
              <w:fldChar w:fldCharType="end"/>
            </w:r>
          </w:hyperlink>
        </w:p>
        <w:p w14:paraId="72B700E4" w14:textId="1015297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89" w:history="1">
            <w:r w:rsidRPr="00897F17">
              <w:rPr>
                <w:rStyle w:val="Hyperlink"/>
                <w:noProof/>
              </w:rPr>
              <w:t>Field Research and Participant Observation</w:t>
            </w:r>
            <w:r>
              <w:rPr>
                <w:noProof/>
                <w:webHidden/>
              </w:rPr>
              <w:tab/>
            </w:r>
            <w:r>
              <w:rPr>
                <w:noProof/>
                <w:webHidden/>
              </w:rPr>
              <w:fldChar w:fldCharType="begin"/>
            </w:r>
            <w:r>
              <w:rPr>
                <w:noProof/>
                <w:webHidden/>
              </w:rPr>
              <w:instrText xml:space="preserve"> PAGEREF _Toc169156789 \h </w:instrText>
            </w:r>
            <w:r>
              <w:rPr>
                <w:noProof/>
                <w:webHidden/>
              </w:rPr>
            </w:r>
            <w:r>
              <w:rPr>
                <w:noProof/>
                <w:webHidden/>
              </w:rPr>
              <w:fldChar w:fldCharType="separate"/>
            </w:r>
            <w:r>
              <w:rPr>
                <w:noProof/>
                <w:webHidden/>
              </w:rPr>
              <w:t>294</w:t>
            </w:r>
            <w:r>
              <w:rPr>
                <w:noProof/>
                <w:webHidden/>
              </w:rPr>
              <w:fldChar w:fldCharType="end"/>
            </w:r>
          </w:hyperlink>
        </w:p>
        <w:p w14:paraId="71AA2B07" w14:textId="52C5B58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0" w:history="1">
            <w:r w:rsidRPr="00897F17">
              <w:rPr>
                <w:rStyle w:val="Hyperlink"/>
                <w:noProof/>
              </w:rPr>
              <w:t>Strengths and Weaknesses of Field Research</w:t>
            </w:r>
            <w:r>
              <w:rPr>
                <w:noProof/>
                <w:webHidden/>
              </w:rPr>
              <w:tab/>
            </w:r>
            <w:r>
              <w:rPr>
                <w:noProof/>
                <w:webHidden/>
              </w:rPr>
              <w:fldChar w:fldCharType="begin"/>
            </w:r>
            <w:r>
              <w:rPr>
                <w:noProof/>
                <w:webHidden/>
              </w:rPr>
              <w:instrText xml:space="preserve"> PAGEREF _Toc169156790 \h </w:instrText>
            </w:r>
            <w:r>
              <w:rPr>
                <w:noProof/>
                <w:webHidden/>
              </w:rPr>
            </w:r>
            <w:r>
              <w:rPr>
                <w:noProof/>
                <w:webHidden/>
              </w:rPr>
              <w:fldChar w:fldCharType="separate"/>
            </w:r>
            <w:r>
              <w:rPr>
                <w:noProof/>
                <w:webHidden/>
              </w:rPr>
              <w:t>296</w:t>
            </w:r>
            <w:r>
              <w:rPr>
                <w:noProof/>
                <w:webHidden/>
              </w:rPr>
              <w:fldChar w:fldCharType="end"/>
            </w:r>
          </w:hyperlink>
        </w:p>
        <w:p w14:paraId="2841A3A8" w14:textId="28D11F2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1" w:history="1">
            <w:r w:rsidRPr="00897F17">
              <w:rPr>
                <w:rStyle w:val="Hyperlink"/>
                <w:noProof/>
              </w:rPr>
              <w:t>Getting In</w:t>
            </w:r>
            <w:r>
              <w:rPr>
                <w:noProof/>
                <w:webHidden/>
              </w:rPr>
              <w:tab/>
            </w:r>
            <w:r>
              <w:rPr>
                <w:noProof/>
                <w:webHidden/>
              </w:rPr>
              <w:fldChar w:fldCharType="begin"/>
            </w:r>
            <w:r>
              <w:rPr>
                <w:noProof/>
                <w:webHidden/>
              </w:rPr>
              <w:instrText xml:space="preserve"> PAGEREF _Toc169156791 \h </w:instrText>
            </w:r>
            <w:r>
              <w:rPr>
                <w:noProof/>
                <w:webHidden/>
              </w:rPr>
            </w:r>
            <w:r>
              <w:rPr>
                <w:noProof/>
                <w:webHidden/>
              </w:rPr>
              <w:fldChar w:fldCharType="separate"/>
            </w:r>
            <w:r>
              <w:rPr>
                <w:noProof/>
                <w:webHidden/>
              </w:rPr>
              <w:t>297</w:t>
            </w:r>
            <w:r>
              <w:rPr>
                <w:noProof/>
                <w:webHidden/>
              </w:rPr>
              <w:fldChar w:fldCharType="end"/>
            </w:r>
          </w:hyperlink>
        </w:p>
        <w:p w14:paraId="79301E19" w14:textId="15AB323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2" w:history="1">
            <w:r w:rsidRPr="00897F17">
              <w:rPr>
                <w:rStyle w:val="Hyperlink"/>
                <w:noProof/>
              </w:rPr>
              <w:t>Researcher Roles in Participant Observation: Navigating the Field</w:t>
            </w:r>
            <w:r>
              <w:rPr>
                <w:noProof/>
                <w:webHidden/>
              </w:rPr>
              <w:tab/>
            </w:r>
            <w:r>
              <w:rPr>
                <w:noProof/>
                <w:webHidden/>
              </w:rPr>
              <w:fldChar w:fldCharType="begin"/>
            </w:r>
            <w:r>
              <w:rPr>
                <w:noProof/>
                <w:webHidden/>
              </w:rPr>
              <w:instrText xml:space="preserve"> PAGEREF _Toc169156792 \h </w:instrText>
            </w:r>
            <w:r>
              <w:rPr>
                <w:noProof/>
                <w:webHidden/>
              </w:rPr>
            </w:r>
            <w:r>
              <w:rPr>
                <w:noProof/>
                <w:webHidden/>
              </w:rPr>
              <w:fldChar w:fldCharType="separate"/>
            </w:r>
            <w:r>
              <w:rPr>
                <w:noProof/>
                <w:webHidden/>
              </w:rPr>
              <w:t>298</w:t>
            </w:r>
            <w:r>
              <w:rPr>
                <w:noProof/>
                <w:webHidden/>
              </w:rPr>
              <w:fldChar w:fldCharType="end"/>
            </w:r>
          </w:hyperlink>
        </w:p>
        <w:p w14:paraId="45FF9C85" w14:textId="1CE75E0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3" w:history="1">
            <w:r w:rsidRPr="00897F17">
              <w:rPr>
                <w:rStyle w:val="Hyperlink"/>
                <w:noProof/>
              </w:rPr>
              <w:t>The Vital Role of Field Notes in Qualitative Research</w:t>
            </w:r>
            <w:r>
              <w:rPr>
                <w:noProof/>
                <w:webHidden/>
              </w:rPr>
              <w:tab/>
            </w:r>
            <w:r>
              <w:rPr>
                <w:noProof/>
                <w:webHidden/>
              </w:rPr>
              <w:fldChar w:fldCharType="begin"/>
            </w:r>
            <w:r>
              <w:rPr>
                <w:noProof/>
                <w:webHidden/>
              </w:rPr>
              <w:instrText xml:space="preserve"> PAGEREF _Toc169156793 \h </w:instrText>
            </w:r>
            <w:r>
              <w:rPr>
                <w:noProof/>
                <w:webHidden/>
              </w:rPr>
            </w:r>
            <w:r>
              <w:rPr>
                <w:noProof/>
                <w:webHidden/>
              </w:rPr>
              <w:fldChar w:fldCharType="separate"/>
            </w:r>
            <w:r>
              <w:rPr>
                <w:noProof/>
                <w:webHidden/>
              </w:rPr>
              <w:t>299</w:t>
            </w:r>
            <w:r>
              <w:rPr>
                <w:noProof/>
                <w:webHidden/>
              </w:rPr>
              <w:fldChar w:fldCharType="end"/>
            </w:r>
          </w:hyperlink>
        </w:p>
        <w:p w14:paraId="7A246278" w14:textId="0EBC7A2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4" w:history="1">
            <w:r w:rsidRPr="00897F17">
              <w:rPr>
                <w:rStyle w:val="Hyperlink"/>
                <w:noProof/>
              </w:rPr>
              <w:t>Technology in Field Research</w:t>
            </w:r>
            <w:r>
              <w:rPr>
                <w:noProof/>
                <w:webHidden/>
              </w:rPr>
              <w:tab/>
            </w:r>
            <w:r>
              <w:rPr>
                <w:noProof/>
                <w:webHidden/>
              </w:rPr>
              <w:fldChar w:fldCharType="begin"/>
            </w:r>
            <w:r>
              <w:rPr>
                <w:noProof/>
                <w:webHidden/>
              </w:rPr>
              <w:instrText xml:space="preserve"> PAGEREF _Toc169156794 \h </w:instrText>
            </w:r>
            <w:r>
              <w:rPr>
                <w:noProof/>
                <w:webHidden/>
              </w:rPr>
            </w:r>
            <w:r>
              <w:rPr>
                <w:noProof/>
                <w:webHidden/>
              </w:rPr>
              <w:fldChar w:fldCharType="separate"/>
            </w:r>
            <w:r>
              <w:rPr>
                <w:noProof/>
                <w:webHidden/>
              </w:rPr>
              <w:t>303</w:t>
            </w:r>
            <w:r>
              <w:rPr>
                <w:noProof/>
                <w:webHidden/>
              </w:rPr>
              <w:fldChar w:fldCharType="end"/>
            </w:r>
          </w:hyperlink>
        </w:p>
        <w:p w14:paraId="60E292B9" w14:textId="3C74094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5" w:history="1">
            <w:r w:rsidRPr="00897F17">
              <w:rPr>
                <w:rStyle w:val="Hyperlink"/>
                <w:noProof/>
              </w:rPr>
              <w:t>Analysis of Field Research Data</w:t>
            </w:r>
            <w:r>
              <w:rPr>
                <w:noProof/>
                <w:webHidden/>
              </w:rPr>
              <w:tab/>
            </w:r>
            <w:r>
              <w:rPr>
                <w:noProof/>
                <w:webHidden/>
              </w:rPr>
              <w:fldChar w:fldCharType="begin"/>
            </w:r>
            <w:r>
              <w:rPr>
                <w:noProof/>
                <w:webHidden/>
              </w:rPr>
              <w:instrText xml:space="preserve"> PAGEREF _Toc169156795 \h </w:instrText>
            </w:r>
            <w:r>
              <w:rPr>
                <w:noProof/>
                <w:webHidden/>
              </w:rPr>
            </w:r>
            <w:r>
              <w:rPr>
                <w:noProof/>
                <w:webHidden/>
              </w:rPr>
              <w:fldChar w:fldCharType="separate"/>
            </w:r>
            <w:r>
              <w:rPr>
                <w:noProof/>
                <w:webHidden/>
              </w:rPr>
              <w:t>304</w:t>
            </w:r>
            <w:r>
              <w:rPr>
                <w:noProof/>
                <w:webHidden/>
              </w:rPr>
              <w:fldChar w:fldCharType="end"/>
            </w:r>
          </w:hyperlink>
        </w:p>
        <w:p w14:paraId="6F23AA3B" w14:textId="0213739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6" w:history="1">
            <w:r w:rsidRPr="00897F17">
              <w:rPr>
                <w:rStyle w:val="Hyperlink"/>
                <w:noProof/>
              </w:rPr>
              <w:t>Ethical Issues</w:t>
            </w:r>
            <w:r>
              <w:rPr>
                <w:noProof/>
                <w:webHidden/>
              </w:rPr>
              <w:tab/>
            </w:r>
            <w:r>
              <w:rPr>
                <w:noProof/>
                <w:webHidden/>
              </w:rPr>
              <w:fldChar w:fldCharType="begin"/>
            </w:r>
            <w:r>
              <w:rPr>
                <w:noProof/>
                <w:webHidden/>
              </w:rPr>
              <w:instrText xml:space="preserve"> PAGEREF _Toc169156796 \h </w:instrText>
            </w:r>
            <w:r>
              <w:rPr>
                <w:noProof/>
                <w:webHidden/>
              </w:rPr>
            </w:r>
            <w:r>
              <w:rPr>
                <w:noProof/>
                <w:webHidden/>
              </w:rPr>
              <w:fldChar w:fldCharType="separate"/>
            </w:r>
            <w:r>
              <w:rPr>
                <w:noProof/>
                <w:webHidden/>
              </w:rPr>
              <w:t>305</w:t>
            </w:r>
            <w:r>
              <w:rPr>
                <w:noProof/>
                <w:webHidden/>
              </w:rPr>
              <w:fldChar w:fldCharType="end"/>
            </w:r>
          </w:hyperlink>
        </w:p>
        <w:p w14:paraId="46469045" w14:textId="5D56FA6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7" w:history="1">
            <w:r w:rsidRPr="00897F17">
              <w:rPr>
                <w:rStyle w:val="Hyperlink"/>
                <w:noProof/>
              </w:rPr>
              <w:t>Reliability and Validity</w:t>
            </w:r>
            <w:r>
              <w:rPr>
                <w:noProof/>
                <w:webHidden/>
              </w:rPr>
              <w:tab/>
            </w:r>
            <w:r>
              <w:rPr>
                <w:noProof/>
                <w:webHidden/>
              </w:rPr>
              <w:fldChar w:fldCharType="begin"/>
            </w:r>
            <w:r>
              <w:rPr>
                <w:noProof/>
                <w:webHidden/>
              </w:rPr>
              <w:instrText xml:space="preserve"> PAGEREF _Toc169156797 \h </w:instrText>
            </w:r>
            <w:r>
              <w:rPr>
                <w:noProof/>
                <w:webHidden/>
              </w:rPr>
            </w:r>
            <w:r>
              <w:rPr>
                <w:noProof/>
                <w:webHidden/>
              </w:rPr>
              <w:fldChar w:fldCharType="separate"/>
            </w:r>
            <w:r>
              <w:rPr>
                <w:noProof/>
                <w:webHidden/>
              </w:rPr>
              <w:t>306</w:t>
            </w:r>
            <w:r>
              <w:rPr>
                <w:noProof/>
                <w:webHidden/>
              </w:rPr>
              <w:fldChar w:fldCharType="end"/>
            </w:r>
          </w:hyperlink>
        </w:p>
        <w:p w14:paraId="1C198434" w14:textId="541E9A9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8" w:history="1">
            <w:r w:rsidRPr="00897F17">
              <w:rPr>
                <w:rStyle w:val="Hyperlink"/>
                <w:noProof/>
              </w:rPr>
              <w:t>A Sampling of Research</w:t>
            </w:r>
            <w:r>
              <w:rPr>
                <w:noProof/>
                <w:webHidden/>
              </w:rPr>
              <w:tab/>
            </w:r>
            <w:r>
              <w:rPr>
                <w:noProof/>
                <w:webHidden/>
              </w:rPr>
              <w:fldChar w:fldCharType="begin"/>
            </w:r>
            <w:r>
              <w:rPr>
                <w:noProof/>
                <w:webHidden/>
              </w:rPr>
              <w:instrText xml:space="preserve"> PAGEREF _Toc169156798 \h </w:instrText>
            </w:r>
            <w:r>
              <w:rPr>
                <w:noProof/>
                <w:webHidden/>
              </w:rPr>
            </w:r>
            <w:r>
              <w:rPr>
                <w:noProof/>
                <w:webHidden/>
              </w:rPr>
              <w:fldChar w:fldCharType="separate"/>
            </w:r>
            <w:r>
              <w:rPr>
                <w:noProof/>
                <w:webHidden/>
              </w:rPr>
              <w:t>307</w:t>
            </w:r>
            <w:r>
              <w:rPr>
                <w:noProof/>
                <w:webHidden/>
              </w:rPr>
              <w:fldChar w:fldCharType="end"/>
            </w:r>
          </w:hyperlink>
        </w:p>
        <w:p w14:paraId="19F19044" w14:textId="62938845"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799" w:history="1">
            <w:r w:rsidRPr="00897F17">
              <w:rPr>
                <w:rStyle w:val="Hyperlink"/>
                <w:noProof/>
              </w:rPr>
              <w:t>Summary of Chapter 12: Field Research</w:t>
            </w:r>
            <w:r>
              <w:rPr>
                <w:noProof/>
                <w:webHidden/>
              </w:rPr>
              <w:tab/>
            </w:r>
            <w:r>
              <w:rPr>
                <w:noProof/>
                <w:webHidden/>
              </w:rPr>
              <w:fldChar w:fldCharType="begin"/>
            </w:r>
            <w:r>
              <w:rPr>
                <w:noProof/>
                <w:webHidden/>
              </w:rPr>
              <w:instrText xml:space="preserve"> PAGEREF _Toc169156799 \h </w:instrText>
            </w:r>
            <w:r>
              <w:rPr>
                <w:noProof/>
                <w:webHidden/>
              </w:rPr>
            </w:r>
            <w:r>
              <w:rPr>
                <w:noProof/>
                <w:webHidden/>
              </w:rPr>
              <w:fldChar w:fldCharType="separate"/>
            </w:r>
            <w:r>
              <w:rPr>
                <w:noProof/>
                <w:webHidden/>
              </w:rPr>
              <w:t>309</w:t>
            </w:r>
            <w:r>
              <w:rPr>
                <w:noProof/>
                <w:webHidden/>
              </w:rPr>
              <w:fldChar w:fldCharType="end"/>
            </w:r>
          </w:hyperlink>
        </w:p>
        <w:p w14:paraId="63383E38" w14:textId="415F6EA8"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800" w:history="1">
            <w:r w:rsidRPr="00897F17">
              <w:rPr>
                <w:rStyle w:val="Hyperlink"/>
                <w:noProof/>
              </w:rPr>
              <w:t>13: Unobtrusive Research</w:t>
            </w:r>
            <w:r>
              <w:rPr>
                <w:noProof/>
                <w:webHidden/>
              </w:rPr>
              <w:tab/>
            </w:r>
            <w:r>
              <w:rPr>
                <w:noProof/>
                <w:webHidden/>
              </w:rPr>
              <w:fldChar w:fldCharType="begin"/>
            </w:r>
            <w:r>
              <w:rPr>
                <w:noProof/>
                <w:webHidden/>
              </w:rPr>
              <w:instrText xml:space="preserve"> PAGEREF _Toc169156800 \h </w:instrText>
            </w:r>
            <w:r>
              <w:rPr>
                <w:noProof/>
                <w:webHidden/>
              </w:rPr>
            </w:r>
            <w:r>
              <w:rPr>
                <w:noProof/>
                <w:webHidden/>
              </w:rPr>
              <w:fldChar w:fldCharType="separate"/>
            </w:r>
            <w:r>
              <w:rPr>
                <w:noProof/>
                <w:webHidden/>
              </w:rPr>
              <w:t>310</w:t>
            </w:r>
            <w:r>
              <w:rPr>
                <w:noProof/>
                <w:webHidden/>
              </w:rPr>
              <w:fldChar w:fldCharType="end"/>
            </w:r>
          </w:hyperlink>
        </w:p>
        <w:p w14:paraId="7FB7C90D" w14:textId="1651580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1" w:history="1">
            <w:r w:rsidRPr="00897F17">
              <w:rPr>
                <w:rStyle w:val="Hyperlink"/>
                <w:noProof/>
              </w:rPr>
              <w:t>Introduction</w:t>
            </w:r>
            <w:r>
              <w:rPr>
                <w:noProof/>
                <w:webHidden/>
              </w:rPr>
              <w:tab/>
            </w:r>
            <w:r>
              <w:rPr>
                <w:noProof/>
                <w:webHidden/>
              </w:rPr>
              <w:fldChar w:fldCharType="begin"/>
            </w:r>
            <w:r>
              <w:rPr>
                <w:noProof/>
                <w:webHidden/>
              </w:rPr>
              <w:instrText xml:space="preserve"> PAGEREF _Toc169156801 \h </w:instrText>
            </w:r>
            <w:r>
              <w:rPr>
                <w:noProof/>
                <w:webHidden/>
              </w:rPr>
            </w:r>
            <w:r>
              <w:rPr>
                <w:noProof/>
                <w:webHidden/>
              </w:rPr>
              <w:fldChar w:fldCharType="separate"/>
            </w:r>
            <w:r>
              <w:rPr>
                <w:noProof/>
                <w:webHidden/>
              </w:rPr>
              <w:t>310</w:t>
            </w:r>
            <w:r>
              <w:rPr>
                <w:noProof/>
                <w:webHidden/>
              </w:rPr>
              <w:fldChar w:fldCharType="end"/>
            </w:r>
          </w:hyperlink>
        </w:p>
        <w:p w14:paraId="48A8E857" w14:textId="5F666A0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2" w:history="1">
            <w:r w:rsidRPr="00897F17">
              <w:rPr>
                <w:rStyle w:val="Hyperlink"/>
                <w:noProof/>
              </w:rPr>
              <w:t>What Is Unobtrusive Research?</w:t>
            </w:r>
            <w:r>
              <w:rPr>
                <w:noProof/>
                <w:webHidden/>
              </w:rPr>
              <w:tab/>
            </w:r>
            <w:r>
              <w:rPr>
                <w:noProof/>
                <w:webHidden/>
              </w:rPr>
              <w:fldChar w:fldCharType="begin"/>
            </w:r>
            <w:r>
              <w:rPr>
                <w:noProof/>
                <w:webHidden/>
              </w:rPr>
              <w:instrText xml:space="preserve"> PAGEREF _Toc169156802 \h </w:instrText>
            </w:r>
            <w:r>
              <w:rPr>
                <w:noProof/>
                <w:webHidden/>
              </w:rPr>
            </w:r>
            <w:r>
              <w:rPr>
                <w:noProof/>
                <w:webHidden/>
              </w:rPr>
              <w:fldChar w:fldCharType="separate"/>
            </w:r>
            <w:r>
              <w:rPr>
                <w:noProof/>
                <w:webHidden/>
              </w:rPr>
              <w:t>311</w:t>
            </w:r>
            <w:r>
              <w:rPr>
                <w:noProof/>
                <w:webHidden/>
              </w:rPr>
              <w:fldChar w:fldCharType="end"/>
            </w:r>
          </w:hyperlink>
        </w:p>
        <w:p w14:paraId="12E62BBF" w14:textId="2351DF7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3" w:history="1">
            <w:r w:rsidRPr="00897F17">
              <w:rPr>
                <w:rStyle w:val="Hyperlink"/>
                <w:noProof/>
              </w:rPr>
              <w:t>Unobtrusive Data Collection</w:t>
            </w:r>
            <w:r>
              <w:rPr>
                <w:noProof/>
                <w:webHidden/>
              </w:rPr>
              <w:tab/>
            </w:r>
            <w:r>
              <w:rPr>
                <w:noProof/>
                <w:webHidden/>
              </w:rPr>
              <w:fldChar w:fldCharType="begin"/>
            </w:r>
            <w:r>
              <w:rPr>
                <w:noProof/>
                <w:webHidden/>
              </w:rPr>
              <w:instrText xml:space="preserve"> PAGEREF _Toc169156803 \h </w:instrText>
            </w:r>
            <w:r>
              <w:rPr>
                <w:noProof/>
                <w:webHidden/>
              </w:rPr>
            </w:r>
            <w:r>
              <w:rPr>
                <w:noProof/>
                <w:webHidden/>
              </w:rPr>
              <w:fldChar w:fldCharType="separate"/>
            </w:r>
            <w:r>
              <w:rPr>
                <w:noProof/>
                <w:webHidden/>
              </w:rPr>
              <w:t>314</w:t>
            </w:r>
            <w:r>
              <w:rPr>
                <w:noProof/>
                <w:webHidden/>
              </w:rPr>
              <w:fldChar w:fldCharType="end"/>
            </w:r>
          </w:hyperlink>
        </w:p>
        <w:p w14:paraId="23290592" w14:textId="60D0A3A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4" w:history="1">
            <w:r w:rsidRPr="00897F17">
              <w:rPr>
                <w:rStyle w:val="Hyperlink"/>
                <w:noProof/>
              </w:rPr>
              <w:t>Unobtrusive Research in the Digital Age</w:t>
            </w:r>
            <w:r>
              <w:rPr>
                <w:noProof/>
                <w:webHidden/>
              </w:rPr>
              <w:tab/>
            </w:r>
            <w:r>
              <w:rPr>
                <w:noProof/>
                <w:webHidden/>
              </w:rPr>
              <w:fldChar w:fldCharType="begin"/>
            </w:r>
            <w:r>
              <w:rPr>
                <w:noProof/>
                <w:webHidden/>
              </w:rPr>
              <w:instrText xml:space="preserve"> PAGEREF _Toc169156804 \h </w:instrText>
            </w:r>
            <w:r>
              <w:rPr>
                <w:noProof/>
                <w:webHidden/>
              </w:rPr>
            </w:r>
            <w:r>
              <w:rPr>
                <w:noProof/>
                <w:webHidden/>
              </w:rPr>
              <w:fldChar w:fldCharType="separate"/>
            </w:r>
            <w:r>
              <w:rPr>
                <w:noProof/>
                <w:webHidden/>
              </w:rPr>
              <w:t>321</w:t>
            </w:r>
            <w:r>
              <w:rPr>
                <w:noProof/>
                <w:webHidden/>
              </w:rPr>
              <w:fldChar w:fldCharType="end"/>
            </w:r>
          </w:hyperlink>
        </w:p>
        <w:p w14:paraId="77C77AF1" w14:textId="57DC464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5" w:history="1">
            <w:r w:rsidRPr="00897F17">
              <w:rPr>
                <w:rStyle w:val="Hyperlink"/>
                <w:noProof/>
              </w:rPr>
              <w:t>Analyzing Others’ Data</w:t>
            </w:r>
            <w:r>
              <w:rPr>
                <w:noProof/>
                <w:webHidden/>
              </w:rPr>
              <w:tab/>
            </w:r>
            <w:r>
              <w:rPr>
                <w:noProof/>
                <w:webHidden/>
              </w:rPr>
              <w:fldChar w:fldCharType="begin"/>
            </w:r>
            <w:r>
              <w:rPr>
                <w:noProof/>
                <w:webHidden/>
              </w:rPr>
              <w:instrText xml:space="preserve"> PAGEREF _Toc169156805 \h </w:instrText>
            </w:r>
            <w:r>
              <w:rPr>
                <w:noProof/>
                <w:webHidden/>
              </w:rPr>
            </w:r>
            <w:r>
              <w:rPr>
                <w:noProof/>
                <w:webHidden/>
              </w:rPr>
              <w:fldChar w:fldCharType="separate"/>
            </w:r>
            <w:r>
              <w:rPr>
                <w:noProof/>
                <w:webHidden/>
              </w:rPr>
              <w:t>322</w:t>
            </w:r>
            <w:r>
              <w:rPr>
                <w:noProof/>
                <w:webHidden/>
              </w:rPr>
              <w:fldChar w:fldCharType="end"/>
            </w:r>
          </w:hyperlink>
        </w:p>
        <w:p w14:paraId="3AC465A3" w14:textId="13C3979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6" w:history="1">
            <w:r w:rsidRPr="00897F17">
              <w:rPr>
                <w:rStyle w:val="Hyperlink"/>
                <w:noProof/>
              </w:rPr>
              <w:t>Reliability In Unobtrusive Research</w:t>
            </w:r>
            <w:r>
              <w:rPr>
                <w:noProof/>
                <w:webHidden/>
              </w:rPr>
              <w:tab/>
            </w:r>
            <w:r>
              <w:rPr>
                <w:noProof/>
                <w:webHidden/>
              </w:rPr>
              <w:fldChar w:fldCharType="begin"/>
            </w:r>
            <w:r>
              <w:rPr>
                <w:noProof/>
                <w:webHidden/>
              </w:rPr>
              <w:instrText xml:space="preserve"> PAGEREF _Toc169156806 \h </w:instrText>
            </w:r>
            <w:r>
              <w:rPr>
                <w:noProof/>
                <w:webHidden/>
              </w:rPr>
            </w:r>
            <w:r>
              <w:rPr>
                <w:noProof/>
                <w:webHidden/>
              </w:rPr>
              <w:fldChar w:fldCharType="separate"/>
            </w:r>
            <w:r>
              <w:rPr>
                <w:noProof/>
                <w:webHidden/>
              </w:rPr>
              <w:t>326</w:t>
            </w:r>
            <w:r>
              <w:rPr>
                <w:noProof/>
                <w:webHidden/>
              </w:rPr>
              <w:fldChar w:fldCharType="end"/>
            </w:r>
          </w:hyperlink>
        </w:p>
        <w:p w14:paraId="1B7C023F" w14:textId="55CE832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7" w:history="1">
            <w:r w:rsidRPr="00897F17">
              <w:rPr>
                <w:rStyle w:val="Hyperlink"/>
                <w:noProof/>
              </w:rPr>
              <w:t>Combining Unobtrusive and Obtrusive Research Methods</w:t>
            </w:r>
            <w:r>
              <w:rPr>
                <w:noProof/>
                <w:webHidden/>
              </w:rPr>
              <w:tab/>
            </w:r>
            <w:r>
              <w:rPr>
                <w:noProof/>
                <w:webHidden/>
              </w:rPr>
              <w:fldChar w:fldCharType="begin"/>
            </w:r>
            <w:r>
              <w:rPr>
                <w:noProof/>
                <w:webHidden/>
              </w:rPr>
              <w:instrText xml:space="preserve"> PAGEREF _Toc169156807 \h </w:instrText>
            </w:r>
            <w:r>
              <w:rPr>
                <w:noProof/>
                <w:webHidden/>
              </w:rPr>
            </w:r>
            <w:r>
              <w:rPr>
                <w:noProof/>
                <w:webHidden/>
              </w:rPr>
              <w:fldChar w:fldCharType="separate"/>
            </w:r>
            <w:r>
              <w:rPr>
                <w:noProof/>
                <w:webHidden/>
              </w:rPr>
              <w:t>327</w:t>
            </w:r>
            <w:r>
              <w:rPr>
                <w:noProof/>
                <w:webHidden/>
              </w:rPr>
              <w:fldChar w:fldCharType="end"/>
            </w:r>
          </w:hyperlink>
        </w:p>
        <w:p w14:paraId="7F6EF12A" w14:textId="455BE627"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08" w:history="1">
            <w:r w:rsidRPr="00897F17">
              <w:rPr>
                <w:rStyle w:val="Hyperlink"/>
                <w:noProof/>
              </w:rPr>
              <w:t>Summary of Chapter 13: Unobtrusive Research</w:t>
            </w:r>
            <w:r>
              <w:rPr>
                <w:noProof/>
                <w:webHidden/>
              </w:rPr>
              <w:tab/>
            </w:r>
            <w:r>
              <w:rPr>
                <w:noProof/>
                <w:webHidden/>
              </w:rPr>
              <w:fldChar w:fldCharType="begin"/>
            </w:r>
            <w:r>
              <w:rPr>
                <w:noProof/>
                <w:webHidden/>
              </w:rPr>
              <w:instrText xml:space="preserve"> PAGEREF _Toc169156808 \h </w:instrText>
            </w:r>
            <w:r>
              <w:rPr>
                <w:noProof/>
                <w:webHidden/>
              </w:rPr>
            </w:r>
            <w:r>
              <w:rPr>
                <w:noProof/>
                <w:webHidden/>
              </w:rPr>
              <w:fldChar w:fldCharType="separate"/>
            </w:r>
            <w:r>
              <w:rPr>
                <w:noProof/>
                <w:webHidden/>
              </w:rPr>
              <w:t>328</w:t>
            </w:r>
            <w:r>
              <w:rPr>
                <w:noProof/>
                <w:webHidden/>
              </w:rPr>
              <w:fldChar w:fldCharType="end"/>
            </w:r>
          </w:hyperlink>
        </w:p>
        <w:p w14:paraId="5E26E6FF" w14:textId="29B0B25B"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809" w:history="1">
            <w:r w:rsidRPr="00897F17">
              <w:rPr>
                <w:rStyle w:val="Hyperlink"/>
                <w:noProof/>
              </w:rPr>
              <w:t>14: Interpretive Research</w:t>
            </w:r>
            <w:r>
              <w:rPr>
                <w:noProof/>
                <w:webHidden/>
              </w:rPr>
              <w:tab/>
            </w:r>
            <w:r>
              <w:rPr>
                <w:noProof/>
                <w:webHidden/>
              </w:rPr>
              <w:fldChar w:fldCharType="begin"/>
            </w:r>
            <w:r>
              <w:rPr>
                <w:noProof/>
                <w:webHidden/>
              </w:rPr>
              <w:instrText xml:space="preserve"> PAGEREF _Toc169156809 \h </w:instrText>
            </w:r>
            <w:r>
              <w:rPr>
                <w:noProof/>
                <w:webHidden/>
              </w:rPr>
            </w:r>
            <w:r>
              <w:rPr>
                <w:noProof/>
                <w:webHidden/>
              </w:rPr>
              <w:fldChar w:fldCharType="separate"/>
            </w:r>
            <w:r>
              <w:rPr>
                <w:noProof/>
                <w:webHidden/>
              </w:rPr>
              <w:t>330</w:t>
            </w:r>
            <w:r>
              <w:rPr>
                <w:noProof/>
                <w:webHidden/>
              </w:rPr>
              <w:fldChar w:fldCharType="end"/>
            </w:r>
          </w:hyperlink>
        </w:p>
        <w:p w14:paraId="15789F87" w14:textId="1A2DC17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0" w:history="1">
            <w:r w:rsidRPr="00897F17">
              <w:rPr>
                <w:rStyle w:val="Hyperlink"/>
                <w:noProof/>
              </w:rPr>
              <w:t>Introduction</w:t>
            </w:r>
            <w:r>
              <w:rPr>
                <w:noProof/>
                <w:webHidden/>
              </w:rPr>
              <w:tab/>
            </w:r>
            <w:r>
              <w:rPr>
                <w:noProof/>
                <w:webHidden/>
              </w:rPr>
              <w:fldChar w:fldCharType="begin"/>
            </w:r>
            <w:r>
              <w:rPr>
                <w:noProof/>
                <w:webHidden/>
              </w:rPr>
              <w:instrText xml:space="preserve"> PAGEREF _Toc169156810 \h </w:instrText>
            </w:r>
            <w:r>
              <w:rPr>
                <w:noProof/>
                <w:webHidden/>
              </w:rPr>
            </w:r>
            <w:r>
              <w:rPr>
                <w:noProof/>
                <w:webHidden/>
              </w:rPr>
              <w:fldChar w:fldCharType="separate"/>
            </w:r>
            <w:r>
              <w:rPr>
                <w:noProof/>
                <w:webHidden/>
              </w:rPr>
              <w:t>330</w:t>
            </w:r>
            <w:r>
              <w:rPr>
                <w:noProof/>
                <w:webHidden/>
              </w:rPr>
              <w:fldChar w:fldCharType="end"/>
            </w:r>
          </w:hyperlink>
        </w:p>
        <w:p w14:paraId="4F8CBE2E" w14:textId="32B3275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1" w:history="1">
            <w:r w:rsidRPr="00897F17">
              <w:rPr>
                <w:rStyle w:val="Hyperlink"/>
                <w:noProof/>
              </w:rPr>
              <w:t>Distinctions From Positivist Research</w:t>
            </w:r>
            <w:r>
              <w:rPr>
                <w:noProof/>
                <w:webHidden/>
              </w:rPr>
              <w:tab/>
            </w:r>
            <w:r>
              <w:rPr>
                <w:noProof/>
                <w:webHidden/>
              </w:rPr>
              <w:fldChar w:fldCharType="begin"/>
            </w:r>
            <w:r>
              <w:rPr>
                <w:noProof/>
                <w:webHidden/>
              </w:rPr>
              <w:instrText xml:space="preserve"> PAGEREF _Toc169156811 \h </w:instrText>
            </w:r>
            <w:r>
              <w:rPr>
                <w:noProof/>
                <w:webHidden/>
              </w:rPr>
            </w:r>
            <w:r>
              <w:rPr>
                <w:noProof/>
                <w:webHidden/>
              </w:rPr>
              <w:fldChar w:fldCharType="separate"/>
            </w:r>
            <w:r>
              <w:rPr>
                <w:noProof/>
                <w:webHidden/>
              </w:rPr>
              <w:t>332</w:t>
            </w:r>
            <w:r>
              <w:rPr>
                <w:noProof/>
                <w:webHidden/>
              </w:rPr>
              <w:fldChar w:fldCharType="end"/>
            </w:r>
          </w:hyperlink>
        </w:p>
        <w:p w14:paraId="6568D721" w14:textId="4DFC196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2" w:history="1">
            <w:r w:rsidRPr="00897F17">
              <w:rPr>
                <w:rStyle w:val="Hyperlink"/>
                <w:noProof/>
              </w:rPr>
              <w:t>Benefits And Challenges of Interpretive Research</w:t>
            </w:r>
            <w:r>
              <w:rPr>
                <w:noProof/>
                <w:webHidden/>
              </w:rPr>
              <w:tab/>
            </w:r>
            <w:r>
              <w:rPr>
                <w:noProof/>
                <w:webHidden/>
              </w:rPr>
              <w:fldChar w:fldCharType="begin"/>
            </w:r>
            <w:r>
              <w:rPr>
                <w:noProof/>
                <w:webHidden/>
              </w:rPr>
              <w:instrText xml:space="preserve"> PAGEREF _Toc169156812 \h </w:instrText>
            </w:r>
            <w:r>
              <w:rPr>
                <w:noProof/>
                <w:webHidden/>
              </w:rPr>
            </w:r>
            <w:r>
              <w:rPr>
                <w:noProof/>
                <w:webHidden/>
              </w:rPr>
              <w:fldChar w:fldCharType="separate"/>
            </w:r>
            <w:r>
              <w:rPr>
                <w:noProof/>
                <w:webHidden/>
              </w:rPr>
              <w:t>333</w:t>
            </w:r>
            <w:r>
              <w:rPr>
                <w:noProof/>
                <w:webHidden/>
              </w:rPr>
              <w:fldChar w:fldCharType="end"/>
            </w:r>
          </w:hyperlink>
        </w:p>
        <w:p w14:paraId="021206D3" w14:textId="19A1BA1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3" w:history="1">
            <w:r w:rsidRPr="00897F17">
              <w:rPr>
                <w:rStyle w:val="Hyperlink"/>
                <w:noProof/>
              </w:rPr>
              <w:t>Characteristics of Interpretive Research</w:t>
            </w:r>
            <w:r>
              <w:rPr>
                <w:noProof/>
                <w:webHidden/>
              </w:rPr>
              <w:tab/>
            </w:r>
            <w:r>
              <w:rPr>
                <w:noProof/>
                <w:webHidden/>
              </w:rPr>
              <w:fldChar w:fldCharType="begin"/>
            </w:r>
            <w:r>
              <w:rPr>
                <w:noProof/>
                <w:webHidden/>
              </w:rPr>
              <w:instrText xml:space="preserve"> PAGEREF _Toc169156813 \h </w:instrText>
            </w:r>
            <w:r>
              <w:rPr>
                <w:noProof/>
                <w:webHidden/>
              </w:rPr>
            </w:r>
            <w:r>
              <w:rPr>
                <w:noProof/>
                <w:webHidden/>
              </w:rPr>
              <w:fldChar w:fldCharType="separate"/>
            </w:r>
            <w:r>
              <w:rPr>
                <w:noProof/>
                <w:webHidden/>
              </w:rPr>
              <w:t>335</w:t>
            </w:r>
            <w:r>
              <w:rPr>
                <w:noProof/>
                <w:webHidden/>
              </w:rPr>
              <w:fldChar w:fldCharType="end"/>
            </w:r>
          </w:hyperlink>
        </w:p>
        <w:p w14:paraId="089C8D78" w14:textId="5419FEB0"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4" w:history="1">
            <w:r w:rsidRPr="00897F17">
              <w:rPr>
                <w:rStyle w:val="Hyperlink"/>
                <w:noProof/>
              </w:rPr>
              <w:t>Interpretive Data Collection</w:t>
            </w:r>
            <w:r>
              <w:rPr>
                <w:noProof/>
                <w:webHidden/>
              </w:rPr>
              <w:tab/>
            </w:r>
            <w:r>
              <w:rPr>
                <w:noProof/>
                <w:webHidden/>
              </w:rPr>
              <w:fldChar w:fldCharType="begin"/>
            </w:r>
            <w:r>
              <w:rPr>
                <w:noProof/>
                <w:webHidden/>
              </w:rPr>
              <w:instrText xml:space="preserve"> PAGEREF _Toc169156814 \h </w:instrText>
            </w:r>
            <w:r>
              <w:rPr>
                <w:noProof/>
                <w:webHidden/>
              </w:rPr>
            </w:r>
            <w:r>
              <w:rPr>
                <w:noProof/>
                <w:webHidden/>
              </w:rPr>
              <w:fldChar w:fldCharType="separate"/>
            </w:r>
            <w:r>
              <w:rPr>
                <w:noProof/>
                <w:webHidden/>
              </w:rPr>
              <w:t>336</w:t>
            </w:r>
            <w:r>
              <w:rPr>
                <w:noProof/>
                <w:webHidden/>
              </w:rPr>
              <w:fldChar w:fldCharType="end"/>
            </w:r>
          </w:hyperlink>
        </w:p>
        <w:p w14:paraId="78EBECA4" w14:textId="05D6B99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5" w:history="1">
            <w:r w:rsidRPr="00897F17">
              <w:rPr>
                <w:rStyle w:val="Hyperlink"/>
                <w:noProof/>
              </w:rPr>
              <w:t>Interpretive Research Designs</w:t>
            </w:r>
            <w:r>
              <w:rPr>
                <w:noProof/>
                <w:webHidden/>
              </w:rPr>
              <w:tab/>
            </w:r>
            <w:r>
              <w:rPr>
                <w:noProof/>
                <w:webHidden/>
              </w:rPr>
              <w:fldChar w:fldCharType="begin"/>
            </w:r>
            <w:r>
              <w:rPr>
                <w:noProof/>
                <w:webHidden/>
              </w:rPr>
              <w:instrText xml:space="preserve"> PAGEREF _Toc169156815 \h </w:instrText>
            </w:r>
            <w:r>
              <w:rPr>
                <w:noProof/>
                <w:webHidden/>
              </w:rPr>
            </w:r>
            <w:r>
              <w:rPr>
                <w:noProof/>
                <w:webHidden/>
              </w:rPr>
              <w:fldChar w:fldCharType="separate"/>
            </w:r>
            <w:r>
              <w:rPr>
                <w:noProof/>
                <w:webHidden/>
              </w:rPr>
              <w:t>336</w:t>
            </w:r>
            <w:r>
              <w:rPr>
                <w:noProof/>
                <w:webHidden/>
              </w:rPr>
              <w:fldChar w:fldCharType="end"/>
            </w:r>
          </w:hyperlink>
        </w:p>
        <w:p w14:paraId="0DE23B52" w14:textId="3428951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6" w:history="1">
            <w:r w:rsidRPr="00897F17">
              <w:rPr>
                <w:rStyle w:val="Hyperlink"/>
                <w:noProof/>
              </w:rPr>
              <w:t>Rigor In Interpretive Research</w:t>
            </w:r>
            <w:r>
              <w:rPr>
                <w:noProof/>
                <w:webHidden/>
              </w:rPr>
              <w:tab/>
            </w:r>
            <w:r>
              <w:rPr>
                <w:noProof/>
                <w:webHidden/>
              </w:rPr>
              <w:fldChar w:fldCharType="begin"/>
            </w:r>
            <w:r>
              <w:rPr>
                <w:noProof/>
                <w:webHidden/>
              </w:rPr>
              <w:instrText xml:space="preserve"> PAGEREF _Toc169156816 \h </w:instrText>
            </w:r>
            <w:r>
              <w:rPr>
                <w:noProof/>
                <w:webHidden/>
              </w:rPr>
            </w:r>
            <w:r>
              <w:rPr>
                <w:noProof/>
                <w:webHidden/>
              </w:rPr>
              <w:fldChar w:fldCharType="separate"/>
            </w:r>
            <w:r>
              <w:rPr>
                <w:noProof/>
                <w:webHidden/>
              </w:rPr>
              <w:t>343</w:t>
            </w:r>
            <w:r>
              <w:rPr>
                <w:noProof/>
                <w:webHidden/>
              </w:rPr>
              <w:fldChar w:fldCharType="end"/>
            </w:r>
          </w:hyperlink>
        </w:p>
        <w:p w14:paraId="3B0A64C6" w14:textId="17717101"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7" w:history="1">
            <w:r w:rsidRPr="00897F17">
              <w:rPr>
                <w:rStyle w:val="Hyperlink"/>
                <w:noProof/>
              </w:rPr>
              <w:t>Ethical Considerations in Interpretive Research</w:t>
            </w:r>
            <w:r>
              <w:rPr>
                <w:noProof/>
                <w:webHidden/>
              </w:rPr>
              <w:tab/>
            </w:r>
            <w:r>
              <w:rPr>
                <w:noProof/>
                <w:webHidden/>
              </w:rPr>
              <w:fldChar w:fldCharType="begin"/>
            </w:r>
            <w:r>
              <w:rPr>
                <w:noProof/>
                <w:webHidden/>
              </w:rPr>
              <w:instrText xml:space="preserve"> PAGEREF _Toc169156817 \h </w:instrText>
            </w:r>
            <w:r>
              <w:rPr>
                <w:noProof/>
                <w:webHidden/>
              </w:rPr>
            </w:r>
            <w:r>
              <w:rPr>
                <w:noProof/>
                <w:webHidden/>
              </w:rPr>
              <w:fldChar w:fldCharType="separate"/>
            </w:r>
            <w:r>
              <w:rPr>
                <w:noProof/>
                <w:webHidden/>
              </w:rPr>
              <w:t>346</w:t>
            </w:r>
            <w:r>
              <w:rPr>
                <w:noProof/>
                <w:webHidden/>
              </w:rPr>
              <w:fldChar w:fldCharType="end"/>
            </w:r>
          </w:hyperlink>
        </w:p>
        <w:p w14:paraId="18C8CB4F" w14:textId="6CE1EE4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18" w:history="1">
            <w:r w:rsidRPr="00897F17">
              <w:rPr>
                <w:rStyle w:val="Hyperlink"/>
                <w:noProof/>
              </w:rPr>
              <w:t>Summary of Chapter 14: Interpretive Research</w:t>
            </w:r>
            <w:r>
              <w:rPr>
                <w:noProof/>
                <w:webHidden/>
              </w:rPr>
              <w:tab/>
            </w:r>
            <w:r>
              <w:rPr>
                <w:noProof/>
                <w:webHidden/>
              </w:rPr>
              <w:fldChar w:fldCharType="begin"/>
            </w:r>
            <w:r>
              <w:rPr>
                <w:noProof/>
                <w:webHidden/>
              </w:rPr>
              <w:instrText xml:space="preserve"> PAGEREF _Toc169156818 \h </w:instrText>
            </w:r>
            <w:r>
              <w:rPr>
                <w:noProof/>
                <w:webHidden/>
              </w:rPr>
            </w:r>
            <w:r>
              <w:rPr>
                <w:noProof/>
                <w:webHidden/>
              </w:rPr>
              <w:fldChar w:fldCharType="separate"/>
            </w:r>
            <w:r>
              <w:rPr>
                <w:noProof/>
                <w:webHidden/>
              </w:rPr>
              <w:t>347</w:t>
            </w:r>
            <w:r>
              <w:rPr>
                <w:noProof/>
                <w:webHidden/>
              </w:rPr>
              <w:fldChar w:fldCharType="end"/>
            </w:r>
          </w:hyperlink>
        </w:p>
        <w:p w14:paraId="6A2C6532" w14:textId="5D1F49BB" w:rsidR="00980002" w:rsidRDefault="00980002">
          <w:pPr>
            <w:pStyle w:val="TOC1"/>
            <w:tabs>
              <w:tab w:val="right" w:leader="dot" w:pos="9350"/>
            </w:tabs>
            <w:rPr>
              <w:rFonts w:asciiTheme="minorHAnsi" w:hAnsiTheme="minorHAnsi"/>
              <w:noProof/>
              <w:kern w:val="2"/>
              <w:sz w:val="24"/>
              <w:szCs w:val="24"/>
              <w14:ligatures w14:val="standardContextual"/>
            </w:rPr>
          </w:pPr>
          <w:hyperlink w:anchor="_Toc169156819" w:history="1">
            <w:r w:rsidRPr="00897F17">
              <w:rPr>
                <w:rStyle w:val="Hyperlink"/>
                <w:noProof/>
              </w:rPr>
              <w:t>Mixed Methods</w:t>
            </w:r>
            <w:r>
              <w:rPr>
                <w:noProof/>
                <w:webHidden/>
              </w:rPr>
              <w:tab/>
            </w:r>
            <w:r>
              <w:rPr>
                <w:noProof/>
                <w:webHidden/>
              </w:rPr>
              <w:fldChar w:fldCharType="begin"/>
            </w:r>
            <w:r>
              <w:rPr>
                <w:noProof/>
                <w:webHidden/>
              </w:rPr>
              <w:instrText xml:space="preserve"> PAGEREF _Toc169156819 \h </w:instrText>
            </w:r>
            <w:r>
              <w:rPr>
                <w:noProof/>
                <w:webHidden/>
              </w:rPr>
            </w:r>
            <w:r>
              <w:rPr>
                <w:noProof/>
                <w:webHidden/>
              </w:rPr>
              <w:fldChar w:fldCharType="separate"/>
            </w:r>
            <w:r>
              <w:rPr>
                <w:noProof/>
                <w:webHidden/>
              </w:rPr>
              <w:t>349</w:t>
            </w:r>
            <w:r>
              <w:rPr>
                <w:noProof/>
                <w:webHidden/>
              </w:rPr>
              <w:fldChar w:fldCharType="end"/>
            </w:r>
          </w:hyperlink>
        </w:p>
        <w:p w14:paraId="443324A7" w14:textId="6B32E3A5"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820" w:history="1">
            <w:r w:rsidRPr="00897F17">
              <w:rPr>
                <w:rStyle w:val="Hyperlink"/>
                <w:noProof/>
              </w:rPr>
              <w:t>15: Mixed Methods</w:t>
            </w:r>
            <w:r>
              <w:rPr>
                <w:noProof/>
                <w:webHidden/>
              </w:rPr>
              <w:tab/>
            </w:r>
            <w:r>
              <w:rPr>
                <w:noProof/>
                <w:webHidden/>
              </w:rPr>
              <w:fldChar w:fldCharType="begin"/>
            </w:r>
            <w:r>
              <w:rPr>
                <w:noProof/>
                <w:webHidden/>
              </w:rPr>
              <w:instrText xml:space="preserve"> PAGEREF _Toc169156820 \h </w:instrText>
            </w:r>
            <w:r>
              <w:rPr>
                <w:noProof/>
                <w:webHidden/>
              </w:rPr>
            </w:r>
            <w:r>
              <w:rPr>
                <w:noProof/>
                <w:webHidden/>
              </w:rPr>
              <w:fldChar w:fldCharType="separate"/>
            </w:r>
            <w:r>
              <w:rPr>
                <w:noProof/>
                <w:webHidden/>
              </w:rPr>
              <w:t>350</w:t>
            </w:r>
            <w:r>
              <w:rPr>
                <w:noProof/>
                <w:webHidden/>
              </w:rPr>
              <w:fldChar w:fldCharType="end"/>
            </w:r>
          </w:hyperlink>
        </w:p>
        <w:p w14:paraId="7911ED50" w14:textId="70AF856E"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21" w:history="1">
            <w:r w:rsidRPr="00897F17">
              <w:rPr>
                <w:rStyle w:val="Hyperlink"/>
                <w:noProof/>
              </w:rPr>
              <w:t>Introduction</w:t>
            </w:r>
            <w:r>
              <w:rPr>
                <w:noProof/>
                <w:webHidden/>
              </w:rPr>
              <w:tab/>
            </w:r>
            <w:r>
              <w:rPr>
                <w:noProof/>
                <w:webHidden/>
              </w:rPr>
              <w:fldChar w:fldCharType="begin"/>
            </w:r>
            <w:r>
              <w:rPr>
                <w:noProof/>
                <w:webHidden/>
              </w:rPr>
              <w:instrText xml:space="preserve"> PAGEREF _Toc169156821 \h </w:instrText>
            </w:r>
            <w:r>
              <w:rPr>
                <w:noProof/>
                <w:webHidden/>
              </w:rPr>
            </w:r>
            <w:r>
              <w:rPr>
                <w:noProof/>
                <w:webHidden/>
              </w:rPr>
              <w:fldChar w:fldCharType="separate"/>
            </w:r>
            <w:r>
              <w:rPr>
                <w:noProof/>
                <w:webHidden/>
              </w:rPr>
              <w:t>351</w:t>
            </w:r>
            <w:r>
              <w:rPr>
                <w:noProof/>
                <w:webHidden/>
              </w:rPr>
              <w:fldChar w:fldCharType="end"/>
            </w:r>
          </w:hyperlink>
        </w:p>
        <w:p w14:paraId="3FC9FD50" w14:textId="0FAB4F3F"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22" w:history="1">
            <w:r w:rsidRPr="00897F17">
              <w:rPr>
                <w:rStyle w:val="Hyperlink"/>
                <w:noProof/>
              </w:rPr>
              <w:t>Quantitative Analysis</w:t>
            </w:r>
            <w:r>
              <w:rPr>
                <w:noProof/>
                <w:webHidden/>
              </w:rPr>
              <w:tab/>
            </w:r>
            <w:r>
              <w:rPr>
                <w:noProof/>
                <w:webHidden/>
              </w:rPr>
              <w:fldChar w:fldCharType="begin"/>
            </w:r>
            <w:r>
              <w:rPr>
                <w:noProof/>
                <w:webHidden/>
              </w:rPr>
              <w:instrText xml:space="preserve"> PAGEREF _Toc169156822 \h </w:instrText>
            </w:r>
            <w:r>
              <w:rPr>
                <w:noProof/>
                <w:webHidden/>
              </w:rPr>
            </w:r>
            <w:r>
              <w:rPr>
                <w:noProof/>
                <w:webHidden/>
              </w:rPr>
              <w:fldChar w:fldCharType="separate"/>
            </w:r>
            <w:r>
              <w:rPr>
                <w:noProof/>
                <w:webHidden/>
              </w:rPr>
              <w:t>351</w:t>
            </w:r>
            <w:r>
              <w:rPr>
                <w:noProof/>
                <w:webHidden/>
              </w:rPr>
              <w:fldChar w:fldCharType="end"/>
            </w:r>
          </w:hyperlink>
        </w:p>
        <w:p w14:paraId="4307CB97" w14:textId="27EDBD8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23" w:history="1">
            <w:r w:rsidRPr="00897F17">
              <w:rPr>
                <w:rStyle w:val="Hyperlink"/>
                <w:noProof/>
              </w:rPr>
              <w:t>Qualitative Analysis</w:t>
            </w:r>
            <w:r>
              <w:rPr>
                <w:noProof/>
                <w:webHidden/>
              </w:rPr>
              <w:tab/>
            </w:r>
            <w:r>
              <w:rPr>
                <w:noProof/>
                <w:webHidden/>
              </w:rPr>
              <w:fldChar w:fldCharType="begin"/>
            </w:r>
            <w:r>
              <w:rPr>
                <w:noProof/>
                <w:webHidden/>
              </w:rPr>
              <w:instrText xml:space="preserve"> PAGEREF _Toc169156823 \h </w:instrText>
            </w:r>
            <w:r>
              <w:rPr>
                <w:noProof/>
                <w:webHidden/>
              </w:rPr>
            </w:r>
            <w:r>
              <w:rPr>
                <w:noProof/>
                <w:webHidden/>
              </w:rPr>
              <w:fldChar w:fldCharType="separate"/>
            </w:r>
            <w:r>
              <w:rPr>
                <w:noProof/>
                <w:webHidden/>
              </w:rPr>
              <w:t>358</w:t>
            </w:r>
            <w:r>
              <w:rPr>
                <w:noProof/>
                <w:webHidden/>
              </w:rPr>
              <w:fldChar w:fldCharType="end"/>
            </w:r>
          </w:hyperlink>
        </w:p>
        <w:p w14:paraId="1D1A3E6B" w14:textId="6F34684C"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24" w:history="1">
            <w:r w:rsidRPr="00897F17">
              <w:rPr>
                <w:rStyle w:val="Hyperlink"/>
                <w:noProof/>
              </w:rPr>
              <w:t>Quantitative Vs. Qualitative</w:t>
            </w:r>
            <w:r>
              <w:rPr>
                <w:noProof/>
                <w:webHidden/>
              </w:rPr>
              <w:tab/>
            </w:r>
            <w:r>
              <w:rPr>
                <w:noProof/>
                <w:webHidden/>
              </w:rPr>
              <w:fldChar w:fldCharType="begin"/>
            </w:r>
            <w:r>
              <w:rPr>
                <w:noProof/>
                <w:webHidden/>
              </w:rPr>
              <w:instrText xml:space="preserve"> PAGEREF _Toc169156824 \h </w:instrText>
            </w:r>
            <w:r>
              <w:rPr>
                <w:noProof/>
                <w:webHidden/>
              </w:rPr>
            </w:r>
            <w:r>
              <w:rPr>
                <w:noProof/>
                <w:webHidden/>
              </w:rPr>
              <w:fldChar w:fldCharType="separate"/>
            </w:r>
            <w:r>
              <w:rPr>
                <w:noProof/>
                <w:webHidden/>
              </w:rPr>
              <w:t>359</w:t>
            </w:r>
            <w:r>
              <w:rPr>
                <w:noProof/>
                <w:webHidden/>
              </w:rPr>
              <w:fldChar w:fldCharType="end"/>
            </w:r>
          </w:hyperlink>
        </w:p>
        <w:p w14:paraId="12D94B31" w14:textId="035E64B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25" w:history="1">
            <w:r w:rsidRPr="00897F17">
              <w:rPr>
                <w:rStyle w:val="Hyperlink"/>
                <w:noProof/>
              </w:rPr>
              <w:t>Combining Quantitative and Qualitative</w:t>
            </w:r>
            <w:r>
              <w:rPr>
                <w:noProof/>
                <w:webHidden/>
              </w:rPr>
              <w:tab/>
            </w:r>
            <w:r>
              <w:rPr>
                <w:noProof/>
                <w:webHidden/>
              </w:rPr>
              <w:fldChar w:fldCharType="begin"/>
            </w:r>
            <w:r>
              <w:rPr>
                <w:noProof/>
                <w:webHidden/>
              </w:rPr>
              <w:instrText xml:space="preserve"> PAGEREF _Toc169156825 \h </w:instrText>
            </w:r>
            <w:r>
              <w:rPr>
                <w:noProof/>
                <w:webHidden/>
              </w:rPr>
            </w:r>
            <w:r>
              <w:rPr>
                <w:noProof/>
                <w:webHidden/>
              </w:rPr>
              <w:fldChar w:fldCharType="separate"/>
            </w:r>
            <w:r>
              <w:rPr>
                <w:noProof/>
                <w:webHidden/>
              </w:rPr>
              <w:t>360</w:t>
            </w:r>
            <w:r>
              <w:rPr>
                <w:noProof/>
                <w:webHidden/>
              </w:rPr>
              <w:fldChar w:fldCharType="end"/>
            </w:r>
          </w:hyperlink>
        </w:p>
        <w:p w14:paraId="352652BF" w14:textId="592FA53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26" w:history="1">
            <w:r w:rsidRPr="00897F17">
              <w:rPr>
                <w:rStyle w:val="Hyperlink"/>
                <w:noProof/>
              </w:rPr>
              <w:t>Evaluating the Quality of Mixed Methods Research</w:t>
            </w:r>
            <w:r>
              <w:rPr>
                <w:noProof/>
                <w:webHidden/>
              </w:rPr>
              <w:tab/>
            </w:r>
            <w:r>
              <w:rPr>
                <w:noProof/>
                <w:webHidden/>
              </w:rPr>
              <w:fldChar w:fldCharType="begin"/>
            </w:r>
            <w:r>
              <w:rPr>
                <w:noProof/>
                <w:webHidden/>
              </w:rPr>
              <w:instrText xml:space="preserve"> PAGEREF _Toc169156826 \h </w:instrText>
            </w:r>
            <w:r>
              <w:rPr>
                <w:noProof/>
                <w:webHidden/>
              </w:rPr>
            </w:r>
            <w:r>
              <w:rPr>
                <w:noProof/>
                <w:webHidden/>
              </w:rPr>
              <w:fldChar w:fldCharType="separate"/>
            </w:r>
            <w:r>
              <w:rPr>
                <w:noProof/>
                <w:webHidden/>
              </w:rPr>
              <w:t>370</w:t>
            </w:r>
            <w:r>
              <w:rPr>
                <w:noProof/>
                <w:webHidden/>
              </w:rPr>
              <w:fldChar w:fldCharType="end"/>
            </w:r>
          </w:hyperlink>
        </w:p>
        <w:p w14:paraId="1A4128DB" w14:textId="2EB0B2AD"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27" w:history="1">
            <w:r w:rsidRPr="00897F17">
              <w:rPr>
                <w:rStyle w:val="Hyperlink"/>
                <w:noProof/>
              </w:rPr>
              <w:t>Summary of Chapter 15: Mixed Methods</w:t>
            </w:r>
            <w:r>
              <w:rPr>
                <w:noProof/>
                <w:webHidden/>
              </w:rPr>
              <w:tab/>
            </w:r>
            <w:r>
              <w:rPr>
                <w:noProof/>
                <w:webHidden/>
              </w:rPr>
              <w:fldChar w:fldCharType="begin"/>
            </w:r>
            <w:r>
              <w:rPr>
                <w:noProof/>
                <w:webHidden/>
              </w:rPr>
              <w:instrText xml:space="preserve"> PAGEREF _Toc169156827 \h </w:instrText>
            </w:r>
            <w:r>
              <w:rPr>
                <w:noProof/>
                <w:webHidden/>
              </w:rPr>
            </w:r>
            <w:r>
              <w:rPr>
                <w:noProof/>
                <w:webHidden/>
              </w:rPr>
              <w:fldChar w:fldCharType="separate"/>
            </w:r>
            <w:r>
              <w:rPr>
                <w:noProof/>
                <w:webHidden/>
              </w:rPr>
              <w:t>371</w:t>
            </w:r>
            <w:r>
              <w:rPr>
                <w:noProof/>
                <w:webHidden/>
              </w:rPr>
              <w:fldChar w:fldCharType="end"/>
            </w:r>
          </w:hyperlink>
        </w:p>
        <w:p w14:paraId="50C90744" w14:textId="2F7D8C00" w:rsidR="00980002" w:rsidRDefault="00980002">
          <w:pPr>
            <w:pStyle w:val="TOC1"/>
            <w:tabs>
              <w:tab w:val="right" w:leader="dot" w:pos="9350"/>
            </w:tabs>
            <w:rPr>
              <w:rFonts w:asciiTheme="minorHAnsi" w:hAnsiTheme="minorHAnsi"/>
              <w:noProof/>
              <w:kern w:val="2"/>
              <w:sz w:val="24"/>
              <w:szCs w:val="24"/>
              <w14:ligatures w14:val="standardContextual"/>
            </w:rPr>
          </w:pPr>
          <w:hyperlink w:anchor="_Toc169156828" w:history="1">
            <w:r w:rsidRPr="00897F17">
              <w:rPr>
                <w:rStyle w:val="Hyperlink"/>
                <w:noProof/>
              </w:rPr>
              <w:t>Reporting</w:t>
            </w:r>
            <w:r>
              <w:rPr>
                <w:noProof/>
                <w:webHidden/>
              </w:rPr>
              <w:tab/>
            </w:r>
            <w:r>
              <w:rPr>
                <w:noProof/>
                <w:webHidden/>
              </w:rPr>
              <w:fldChar w:fldCharType="begin"/>
            </w:r>
            <w:r>
              <w:rPr>
                <w:noProof/>
                <w:webHidden/>
              </w:rPr>
              <w:instrText xml:space="preserve"> PAGEREF _Toc169156828 \h </w:instrText>
            </w:r>
            <w:r>
              <w:rPr>
                <w:noProof/>
                <w:webHidden/>
              </w:rPr>
            </w:r>
            <w:r>
              <w:rPr>
                <w:noProof/>
                <w:webHidden/>
              </w:rPr>
              <w:fldChar w:fldCharType="separate"/>
            </w:r>
            <w:r>
              <w:rPr>
                <w:noProof/>
                <w:webHidden/>
              </w:rPr>
              <w:t>373</w:t>
            </w:r>
            <w:r>
              <w:rPr>
                <w:noProof/>
                <w:webHidden/>
              </w:rPr>
              <w:fldChar w:fldCharType="end"/>
            </w:r>
          </w:hyperlink>
        </w:p>
        <w:p w14:paraId="4B288DE6" w14:textId="3ADBD966" w:rsidR="00980002" w:rsidRDefault="00980002">
          <w:pPr>
            <w:pStyle w:val="TOC2"/>
            <w:tabs>
              <w:tab w:val="right" w:leader="dot" w:pos="9350"/>
            </w:tabs>
            <w:rPr>
              <w:rFonts w:asciiTheme="minorHAnsi" w:hAnsiTheme="minorHAnsi"/>
              <w:noProof/>
              <w:kern w:val="2"/>
              <w:sz w:val="24"/>
              <w:szCs w:val="24"/>
              <w14:ligatures w14:val="standardContextual"/>
            </w:rPr>
          </w:pPr>
          <w:hyperlink w:anchor="_Toc169156829" w:history="1">
            <w:r w:rsidRPr="00897F17">
              <w:rPr>
                <w:rStyle w:val="Hyperlink"/>
                <w:noProof/>
              </w:rPr>
              <w:t>16: Presenting Research</w:t>
            </w:r>
            <w:r>
              <w:rPr>
                <w:noProof/>
                <w:webHidden/>
              </w:rPr>
              <w:tab/>
            </w:r>
            <w:r>
              <w:rPr>
                <w:noProof/>
                <w:webHidden/>
              </w:rPr>
              <w:fldChar w:fldCharType="begin"/>
            </w:r>
            <w:r>
              <w:rPr>
                <w:noProof/>
                <w:webHidden/>
              </w:rPr>
              <w:instrText xml:space="preserve"> PAGEREF _Toc169156829 \h </w:instrText>
            </w:r>
            <w:r>
              <w:rPr>
                <w:noProof/>
                <w:webHidden/>
              </w:rPr>
            </w:r>
            <w:r>
              <w:rPr>
                <w:noProof/>
                <w:webHidden/>
              </w:rPr>
              <w:fldChar w:fldCharType="separate"/>
            </w:r>
            <w:r>
              <w:rPr>
                <w:noProof/>
                <w:webHidden/>
              </w:rPr>
              <w:t>374</w:t>
            </w:r>
            <w:r>
              <w:rPr>
                <w:noProof/>
                <w:webHidden/>
              </w:rPr>
              <w:fldChar w:fldCharType="end"/>
            </w:r>
          </w:hyperlink>
        </w:p>
        <w:p w14:paraId="6DD8945B" w14:textId="25AE95A8"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30" w:history="1">
            <w:r w:rsidRPr="00897F17">
              <w:rPr>
                <w:rStyle w:val="Hyperlink"/>
                <w:noProof/>
              </w:rPr>
              <w:t>Introduction</w:t>
            </w:r>
            <w:r>
              <w:rPr>
                <w:noProof/>
                <w:webHidden/>
              </w:rPr>
              <w:tab/>
            </w:r>
            <w:r>
              <w:rPr>
                <w:noProof/>
                <w:webHidden/>
              </w:rPr>
              <w:fldChar w:fldCharType="begin"/>
            </w:r>
            <w:r>
              <w:rPr>
                <w:noProof/>
                <w:webHidden/>
              </w:rPr>
              <w:instrText xml:space="preserve"> PAGEREF _Toc169156830 \h </w:instrText>
            </w:r>
            <w:r>
              <w:rPr>
                <w:noProof/>
                <w:webHidden/>
              </w:rPr>
            </w:r>
            <w:r>
              <w:rPr>
                <w:noProof/>
                <w:webHidden/>
              </w:rPr>
              <w:fldChar w:fldCharType="separate"/>
            </w:r>
            <w:r>
              <w:rPr>
                <w:noProof/>
                <w:webHidden/>
              </w:rPr>
              <w:t>375</w:t>
            </w:r>
            <w:r>
              <w:rPr>
                <w:noProof/>
                <w:webHidden/>
              </w:rPr>
              <w:fldChar w:fldCharType="end"/>
            </w:r>
          </w:hyperlink>
        </w:p>
        <w:p w14:paraId="28C0652A" w14:textId="5ABCD1D3"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31" w:history="1">
            <w:r w:rsidRPr="00897F17">
              <w:rPr>
                <w:rStyle w:val="Hyperlink"/>
                <w:noProof/>
              </w:rPr>
              <w:t>What and With Whom to Share</w:t>
            </w:r>
            <w:r>
              <w:rPr>
                <w:noProof/>
                <w:webHidden/>
              </w:rPr>
              <w:tab/>
            </w:r>
            <w:r>
              <w:rPr>
                <w:noProof/>
                <w:webHidden/>
              </w:rPr>
              <w:fldChar w:fldCharType="begin"/>
            </w:r>
            <w:r>
              <w:rPr>
                <w:noProof/>
                <w:webHidden/>
              </w:rPr>
              <w:instrText xml:space="preserve"> PAGEREF _Toc169156831 \h </w:instrText>
            </w:r>
            <w:r>
              <w:rPr>
                <w:noProof/>
                <w:webHidden/>
              </w:rPr>
            </w:r>
            <w:r>
              <w:rPr>
                <w:noProof/>
                <w:webHidden/>
              </w:rPr>
              <w:fldChar w:fldCharType="separate"/>
            </w:r>
            <w:r>
              <w:rPr>
                <w:noProof/>
                <w:webHidden/>
              </w:rPr>
              <w:t>375</w:t>
            </w:r>
            <w:r>
              <w:rPr>
                <w:noProof/>
                <w:webHidden/>
              </w:rPr>
              <w:fldChar w:fldCharType="end"/>
            </w:r>
          </w:hyperlink>
        </w:p>
        <w:p w14:paraId="77F5CAB4" w14:textId="6444E924"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32" w:history="1">
            <w:r w:rsidRPr="00897F17">
              <w:rPr>
                <w:rStyle w:val="Hyperlink"/>
                <w:noProof/>
              </w:rPr>
              <w:t>Oral Presentations</w:t>
            </w:r>
            <w:r>
              <w:rPr>
                <w:noProof/>
                <w:webHidden/>
              </w:rPr>
              <w:tab/>
            </w:r>
            <w:r>
              <w:rPr>
                <w:noProof/>
                <w:webHidden/>
              </w:rPr>
              <w:fldChar w:fldCharType="begin"/>
            </w:r>
            <w:r>
              <w:rPr>
                <w:noProof/>
                <w:webHidden/>
              </w:rPr>
              <w:instrText xml:space="preserve"> PAGEREF _Toc169156832 \h </w:instrText>
            </w:r>
            <w:r>
              <w:rPr>
                <w:noProof/>
                <w:webHidden/>
              </w:rPr>
            </w:r>
            <w:r>
              <w:rPr>
                <w:noProof/>
                <w:webHidden/>
              </w:rPr>
              <w:fldChar w:fldCharType="separate"/>
            </w:r>
            <w:r>
              <w:rPr>
                <w:noProof/>
                <w:webHidden/>
              </w:rPr>
              <w:t>376</w:t>
            </w:r>
            <w:r>
              <w:rPr>
                <w:noProof/>
                <w:webHidden/>
              </w:rPr>
              <w:fldChar w:fldCharType="end"/>
            </w:r>
          </w:hyperlink>
        </w:p>
        <w:p w14:paraId="2B6E626A" w14:textId="79F891FB"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33" w:history="1">
            <w:r w:rsidRPr="00897F17">
              <w:rPr>
                <w:rStyle w:val="Hyperlink"/>
                <w:noProof/>
              </w:rPr>
              <w:t>Written Presentations</w:t>
            </w:r>
            <w:r>
              <w:rPr>
                <w:noProof/>
                <w:webHidden/>
              </w:rPr>
              <w:tab/>
            </w:r>
            <w:r>
              <w:rPr>
                <w:noProof/>
                <w:webHidden/>
              </w:rPr>
              <w:fldChar w:fldCharType="begin"/>
            </w:r>
            <w:r>
              <w:rPr>
                <w:noProof/>
                <w:webHidden/>
              </w:rPr>
              <w:instrText xml:space="preserve"> PAGEREF _Toc169156833 \h </w:instrText>
            </w:r>
            <w:r>
              <w:rPr>
                <w:noProof/>
                <w:webHidden/>
              </w:rPr>
            </w:r>
            <w:r>
              <w:rPr>
                <w:noProof/>
                <w:webHidden/>
              </w:rPr>
              <w:fldChar w:fldCharType="separate"/>
            </w:r>
            <w:r>
              <w:rPr>
                <w:noProof/>
                <w:webHidden/>
              </w:rPr>
              <w:t>378</w:t>
            </w:r>
            <w:r>
              <w:rPr>
                <w:noProof/>
                <w:webHidden/>
              </w:rPr>
              <w:fldChar w:fldCharType="end"/>
            </w:r>
          </w:hyperlink>
        </w:p>
        <w:p w14:paraId="44C23C46" w14:textId="6999C342"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34" w:history="1">
            <w:r w:rsidRPr="00897F17">
              <w:rPr>
                <w:rStyle w:val="Hyperlink"/>
                <w:noProof/>
              </w:rPr>
              <w:t>Effectively Disseminating Research Findings: A Guide for Scholars</w:t>
            </w:r>
            <w:r>
              <w:rPr>
                <w:noProof/>
                <w:webHidden/>
              </w:rPr>
              <w:tab/>
            </w:r>
            <w:r>
              <w:rPr>
                <w:noProof/>
                <w:webHidden/>
              </w:rPr>
              <w:fldChar w:fldCharType="begin"/>
            </w:r>
            <w:r>
              <w:rPr>
                <w:noProof/>
                <w:webHidden/>
              </w:rPr>
              <w:instrText xml:space="preserve"> PAGEREF _Toc169156834 \h </w:instrText>
            </w:r>
            <w:r>
              <w:rPr>
                <w:noProof/>
                <w:webHidden/>
              </w:rPr>
            </w:r>
            <w:r>
              <w:rPr>
                <w:noProof/>
                <w:webHidden/>
              </w:rPr>
              <w:fldChar w:fldCharType="separate"/>
            </w:r>
            <w:r>
              <w:rPr>
                <w:noProof/>
                <w:webHidden/>
              </w:rPr>
              <w:t>382</w:t>
            </w:r>
            <w:r>
              <w:rPr>
                <w:noProof/>
                <w:webHidden/>
              </w:rPr>
              <w:fldChar w:fldCharType="end"/>
            </w:r>
          </w:hyperlink>
        </w:p>
        <w:p w14:paraId="6A8F1302" w14:textId="6A4F1859"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35" w:history="1">
            <w:r w:rsidRPr="00897F17">
              <w:rPr>
                <w:rStyle w:val="Hyperlink"/>
                <w:noProof/>
              </w:rPr>
              <w:t>Measuring and Evaluating Research Impact</w:t>
            </w:r>
            <w:r>
              <w:rPr>
                <w:noProof/>
                <w:webHidden/>
              </w:rPr>
              <w:tab/>
            </w:r>
            <w:r>
              <w:rPr>
                <w:noProof/>
                <w:webHidden/>
              </w:rPr>
              <w:fldChar w:fldCharType="begin"/>
            </w:r>
            <w:r>
              <w:rPr>
                <w:noProof/>
                <w:webHidden/>
              </w:rPr>
              <w:instrText xml:space="preserve"> PAGEREF _Toc169156835 \h </w:instrText>
            </w:r>
            <w:r>
              <w:rPr>
                <w:noProof/>
                <w:webHidden/>
              </w:rPr>
            </w:r>
            <w:r>
              <w:rPr>
                <w:noProof/>
                <w:webHidden/>
              </w:rPr>
              <w:fldChar w:fldCharType="separate"/>
            </w:r>
            <w:r>
              <w:rPr>
                <w:noProof/>
                <w:webHidden/>
              </w:rPr>
              <w:t>383</w:t>
            </w:r>
            <w:r>
              <w:rPr>
                <w:noProof/>
                <w:webHidden/>
              </w:rPr>
              <w:fldChar w:fldCharType="end"/>
            </w:r>
          </w:hyperlink>
        </w:p>
        <w:p w14:paraId="0DD91BCE" w14:textId="2A783656" w:rsidR="00980002" w:rsidRDefault="00980002">
          <w:pPr>
            <w:pStyle w:val="TOC3"/>
            <w:tabs>
              <w:tab w:val="right" w:leader="dot" w:pos="9350"/>
            </w:tabs>
            <w:rPr>
              <w:rFonts w:asciiTheme="minorHAnsi" w:hAnsiTheme="minorHAnsi"/>
              <w:noProof/>
              <w:kern w:val="2"/>
              <w:sz w:val="24"/>
              <w:szCs w:val="24"/>
              <w14:ligatures w14:val="standardContextual"/>
            </w:rPr>
          </w:pPr>
          <w:hyperlink w:anchor="_Toc169156836" w:history="1">
            <w:r w:rsidRPr="00897F17">
              <w:rPr>
                <w:rStyle w:val="Hyperlink"/>
                <w:noProof/>
              </w:rPr>
              <w:t>Summary of Chapter 16: Presenting Research</w:t>
            </w:r>
            <w:r>
              <w:rPr>
                <w:noProof/>
                <w:webHidden/>
              </w:rPr>
              <w:tab/>
            </w:r>
            <w:r>
              <w:rPr>
                <w:noProof/>
                <w:webHidden/>
              </w:rPr>
              <w:fldChar w:fldCharType="begin"/>
            </w:r>
            <w:r>
              <w:rPr>
                <w:noProof/>
                <w:webHidden/>
              </w:rPr>
              <w:instrText xml:space="preserve"> PAGEREF _Toc169156836 \h </w:instrText>
            </w:r>
            <w:r>
              <w:rPr>
                <w:noProof/>
                <w:webHidden/>
              </w:rPr>
            </w:r>
            <w:r>
              <w:rPr>
                <w:noProof/>
                <w:webHidden/>
              </w:rPr>
              <w:fldChar w:fldCharType="separate"/>
            </w:r>
            <w:r>
              <w:rPr>
                <w:noProof/>
                <w:webHidden/>
              </w:rPr>
              <w:t>384</w:t>
            </w:r>
            <w:r>
              <w:rPr>
                <w:noProof/>
                <w:webHidden/>
              </w:rPr>
              <w:fldChar w:fldCharType="end"/>
            </w:r>
          </w:hyperlink>
        </w:p>
        <w:p w14:paraId="5D0C6CC6" w14:textId="54410247" w:rsidR="00980002" w:rsidRDefault="00980002">
          <w:pPr>
            <w:pStyle w:val="TOC1"/>
            <w:tabs>
              <w:tab w:val="right" w:leader="dot" w:pos="9350"/>
            </w:tabs>
            <w:rPr>
              <w:rFonts w:asciiTheme="minorHAnsi" w:hAnsiTheme="minorHAnsi"/>
              <w:noProof/>
              <w:kern w:val="2"/>
              <w:sz w:val="24"/>
              <w:szCs w:val="24"/>
              <w14:ligatures w14:val="standardContextual"/>
            </w:rPr>
          </w:pPr>
          <w:hyperlink w:anchor="_Toc169156837" w:history="1">
            <w:r w:rsidRPr="00897F17">
              <w:rPr>
                <w:rStyle w:val="Hyperlink"/>
                <w:noProof/>
              </w:rPr>
              <w:t>Glossary</w:t>
            </w:r>
            <w:r>
              <w:rPr>
                <w:noProof/>
                <w:webHidden/>
              </w:rPr>
              <w:tab/>
            </w:r>
            <w:r>
              <w:rPr>
                <w:noProof/>
                <w:webHidden/>
              </w:rPr>
              <w:fldChar w:fldCharType="begin"/>
            </w:r>
            <w:r>
              <w:rPr>
                <w:noProof/>
                <w:webHidden/>
              </w:rPr>
              <w:instrText xml:space="preserve"> PAGEREF _Toc169156837 \h </w:instrText>
            </w:r>
            <w:r>
              <w:rPr>
                <w:noProof/>
                <w:webHidden/>
              </w:rPr>
            </w:r>
            <w:r>
              <w:rPr>
                <w:noProof/>
                <w:webHidden/>
              </w:rPr>
              <w:fldChar w:fldCharType="separate"/>
            </w:r>
            <w:r>
              <w:rPr>
                <w:noProof/>
                <w:webHidden/>
              </w:rPr>
              <w:t>386</w:t>
            </w:r>
            <w:r>
              <w:rPr>
                <w:noProof/>
                <w:webHidden/>
              </w:rPr>
              <w:fldChar w:fldCharType="end"/>
            </w:r>
          </w:hyperlink>
        </w:p>
        <w:p w14:paraId="40B5D7F3" w14:textId="26D37CA2" w:rsidR="00980002" w:rsidRDefault="00980002">
          <w:pPr>
            <w:pStyle w:val="TOC1"/>
            <w:tabs>
              <w:tab w:val="right" w:leader="dot" w:pos="9350"/>
            </w:tabs>
            <w:rPr>
              <w:rFonts w:asciiTheme="minorHAnsi" w:hAnsiTheme="minorHAnsi"/>
              <w:noProof/>
              <w:kern w:val="2"/>
              <w:sz w:val="24"/>
              <w:szCs w:val="24"/>
              <w14:ligatures w14:val="standardContextual"/>
            </w:rPr>
          </w:pPr>
          <w:hyperlink w:anchor="_Toc169156838" w:history="1">
            <w:r w:rsidRPr="00897F17">
              <w:rPr>
                <w:rStyle w:val="Hyperlink"/>
                <w:noProof/>
              </w:rPr>
              <w:t>Bibliography</w:t>
            </w:r>
            <w:r>
              <w:rPr>
                <w:noProof/>
                <w:webHidden/>
              </w:rPr>
              <w:tab/>
            </w:r>
            <w:r>
              <w:rPr>
                <w:noProof/>
                <w:webHidden/>
              </w:rPr>
              <w:fldChar w:fldCharType="begin"/>
            </w:r>
            <w:r>
              <w:rPr>
                <w:noProof/>
                <w:webHidden/>
              </w:rPr>
              <w:instrText xml:space="preserve"> PAGEREF _Toc169156838 \h </w:instrText>
            </w:r>
            <w:r>
              <w:rPr>
                <w:noProof/>
                <w:webHidden/>
              </w:rPr>
            </w:r>
            <w:r>
              <w:rPr>
                <w:noProof/>
                <w:webHidden/>
              </w:rPr>
              <w:fldChar w:fldCharType="separate"/>
            </w:r>
            <w:r>
              <w:rPr>
                <w:noProof/>
                <w:webHidden/>
              </w:rPr>
              <w:t>401</w:t>
            </w:r>
            <w:r>
              <w:rPr>
                <w:noProof/>
                <w:webHidden/>
              </w:rPr>
              <w:fldChar w:fldCharType="end"/>
            </w:r>
          </w:hyperlink>
        </w:p>
        <w:p w14:paraId="0D590E60" w14:textId="1B2A4DF6" w:rsidR="003B208D" w:rsidRDefault="003B208D">
          <w:r>
            <w:rPr>
              <w:b/>
              <w:bCs/>
              <w:noProof/>
            </w:rPr>
            <w:fldChar w:fldCharType="end"/>
          </w:r>
        </w:p>
      </w:sdtContent>
    </w:sdt>
    <w:p w14:paraId="15C9E8E2" w14:textId="77777777" w:rsidR="0051769B" w:rsidRDefault="0051769B" w:rsidP="0082489E">
      <w:pPr>
        <w:sectPr w:rsidR="0051769B" w:rsidSect="00FD08D0">
          <w:headerReference w:type="default" r:id="rId17"/>
          <w:footerReference w:type="default" r:id="rId18"/>
          <w:headerReference w:type="first" r:id="rId19"/>
          <w:footerReference w:type="first" r:id="rId20"/>
          <w:pgSz w:w="12240" w:h="15840"/>
          <w:pgMar w:top="1440" w:right="1440" w:bottom="1440" w:left="1440" w:header="720" w:footer="720" w:gutter="0"/>
          <w:cols w:space="720"/>
          <w:docGrid w:linePitch="299"/>
        </w:sectPr>
      </w:pPr>
    </w:p>
    <w:p w14:paraId="5327CF4C" w14:textId="42CE3585" w:rsidR="00A626FE" w:rsidRPr="000E309B" w:rsidRDefault="00E8473D" w:rsidP="00E8473D">
      <w:pPr>
        <w:pStyle w:val="Heading1"/>
      </w:pPr>
      <w:bookmarkStart w:id="1" w:name="_Toc169156666"/>
      <w:r>
        <w:lastRenderedPageBreak/>
        <w:t>Background</w:t>
      </w:r>
      <w:bookmarkEnd w:id="1"/>
    </w:p>
    <w:p w14:paraId="092B5555" w14:textId="77777777" w:rsidR="0051769B" w:rsidRDefault="00D14B33" w:rsidP="0061460F">
      <w:pPr>
        <w:sectPr w:rsidR="0051769B" w:rsidSect="00FD08D0">
          <w:headerReference w:type="default" r:id="rId21"/>
          <w:footerReference w:type="default" r:id="rId22"/>
          <w:headerReference w:type="first" r:id="rId23"/>
          <w:pgSz w:w="12240" w:h="15840"/>
          <w:pgMar w:top="1440" w:right="1440" w:bottom="1440" w:left="1440" w:header="720" w:footer="720" w:gutter="0"/>
          <w:cols w:space="720"/>
          <w:vAlign w:val="center"/>
          <w:docGrid w:linePitch="299"/>
        </w:sectPr>
      </w:pPr>
      <w:r w:rsidRPr="000E309B">
        <w:t>Research methods are grounded in philosophy, statistics, sociology, and many other disciplines. The chapters in this section introduce these background concepts.</w:t>
      </w:r>
    </w:p>
    <w:p w14:paraId="5327CF51" w14:textId="1897ED03" w:rsidR="00A626FE" w:rsidRPr="000E309B" w:rsidRDefault="0050001F" w:rsidP="00B03951">
      <w:pPr>
        <w:pStyle w:val="Heading2"/>
      </w:pPr>
      <w:bookmarkStart w:id="2" w:name="_Toc169156667"/>
      <w:r>
        <w:lastRenderedPageBreak/>
        <w:t xml:space="preserve">1: </w:t>
      </w:r>
      <w:r w:rsidR="00D14B33" w:rsidRPr="000E309B">
        <w:t>I</w:t>
      </w:r>
      <w:r w:rsidR="00EC1678" w:rsidRPr="000E309B">
        <w:t>ntroduction</w:t>
      </w:r>
      <w:bookmarkEnd w:id="2"/>
    </w:p>
    <w:p w14:paraId="0016F433" w14:textId="2B566406" w:rsidR="003020BD" w:rsidRDefault="003020BD" w:rsidP="003020BD">
      <w:r>
        <w:t>Curiosity is a fundamental human trait, driving people to seek knowledge about the world around them. While most individuals are interested in a wide range of topics, business owners have a more focused curiosity—they are particularly keen on understanding what persuades people to make purchases. This understanding is crucial for making informed decisions that drive sales and promote business growth.</w:t>
      </w:r>
    </w:p>
    <w:p w14:paraId="0603CB8B" w14:textId="176C4B1B" w:rsidR="003020BD" w:rsidRDefault="009B44FF" w:rsidP="003020BD">
      <w:r>
        <w:rPr>
          <w:noProof/>
        </w:rPr>
        <w:drawing>
          <wp:anchor distT="0" distB="0" distL="114300" distR="114300" simplePos="0" relativeHeight="251658271" behindDoc="0" locked="0" layoutInCell="1" allowOverlap="1" wp14:anchorId="6C38C119" wp14:editId="1720FBFE">
            <wp:simplePos x="0" y="0"/>
            <wp:positionH relativeFrom="column">
              <wp:posOffset>3962400</wp:posOffset>
            </wp:positionH>
            <wp:positionV relativeFrom="paragraph">
              <wp:posOffset>-1270</wp:posOffset>
            </wp:positionV>
            <wp:extent cx="1974850" cy="1974850"/>
            <wp:effectExtent l="0" t="0" r="6350" b="635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74850" cy="1974850"/>
                    </a:xfrm>
                    <a:prstGeom prst="rect">
                      <a:avLst/>
                    </a:prstGeom>
                  </pic:spPr>
                </pic:pic>
              </a:graphicData>
            </a:graphic>
            <wp14:sizeRelH relativeFrom="margin">
              <wp14:pctWidth>0</wp14:pctWidth>
            </wp14:sizeRelH>
            <wp14:sizeRelV relativeFrom="margin">
              <wp14:pctHeight>0</wp14:pctHeight>
            </wp14:sizeRelV>
          </wp:anchor>
        </w:drawing>
      </w:r>
      <w:r w:rsidR="003020BD">
        <w:t>Consider a simple example: a fruit display in a grocery store. One person may walk past the display without giving it a second thought, while another may be compelled to stop and examine the produce, ultimately making a purchase. For the store owner, understanding the factors that contribute to these different behaviors can be incredibly valuable. What is it about the display that attracts some customers but not others? Is it the placement of the display, the quality of the fruit, the pricing, or some combination of these factors? Insights into these questions can help business owners optimize their strategies to encourage more purchases.</w:t>
      </w:r>
    </w:p>
    <w:p w14:paraId="68D1A44A" w14:textId="77777777" w:rsidR="003020BD" w:rsidRDefault="003020BD" w:rsidP="003020BD">
      <w:r>
        <w:t>This is where formal research comes into play. By employing systematic methods to study consumer behavior, businesses can gain a deeper understanding of the complex factors that influence purchasing decisions. This knowledge goes beyond the intuition and informal observations that business owners may rely on, providing a more reliable foundation for decision-making.</w:t>
      </w:r>
    </w:p>
    <w:p w14:paraId="6FE63657" w14:textId="77777777" w:rsidR="003020BD" w:rsidRDefault="003020BD" w:rsidP="003020BD">
      <w:r>
        <w:t>Through research, businesses can uncover the preferences, attitudes, and motivations that shape consumer behavior, as well as the contextual factors that may influence purchasing decisions. For example, research might reveal that customers are more likely to buy fruit when it is displayed prominently near the store entrance, or that they are more sensitive to price fluctuations for certain types of produce. Armed with these insights, business owners can make data-driven decisions about product placement, pricing, promotions, and other key aspects of their operations.</w:t>
      </w:r>
    </w:p>
    <w:p w14:paraId="4F12DF22" w14:textId="6C0008AB" w:rsidR="00275E20" w:rsidRDefault="003020BD" w:rsidP="003020BD">
      <w:r>
        <w:t>In today's competitive business landscape, understanding consumer behavior is more important than ever. By harnessing the power of research to uncover the factors that drive purchases, business owners can gain a significant advantage in their markets. The knowledge generated through research can help businesses to better meet the needs and desires of their customers, ultimately leading to increased sales, customer loyalty, and long-term success.</w:t>
      </w:r>
    </w:p>
    <w:p w14:paraId="2B9AC393" w14:textId="33CB9C53" w:rsidR="001C23D9" w:rsidRDefault="00E97155" w:rsidP="007B4A89">
      <w:pPr>
        <w:pStyle w:val="IntenseQuote"/>
      </w:pPr>
      <w:r>
        <w:rPr>
          <w:noProof/>
        </w:rPr>
        <w:lastRenderedPageBreak/>
        <w:drawing>
          <wp:anchor distT="0" distB="0" distL="114300" distR="114300" simplePos="0" relativeHeight="251923540" behindDoc="0" locked="0" layoutInCell="1" allowOverlap="1" wp14:anchorId="2538E7D6" wp14:editId="721F595B">
            <wp:simplePos x="0" y="0"/>
            <wp:positionH relativeFrom="column">
              <wp:align>right</wp:align>
            </wp:positionH>
            <wp:positionV relativeFrom="paragraph">
              <wp:posOffset>0</wp:posOffset>
            </wp:positionV>
            <wp:extent cx="914400" cy="914400"/>
            <wp:effectExtent l="19050" t="19050" r="19050" b="19050"/>
            <wp:wrapSquare wrapText="bothSides"/>
            <wp:docPr id="1875721880"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1C23D9">
        <w:t>Objectives</w:t>
      </w:r>
    </w:p>
    <w:p w14:paraId="71FD4B8A" w14:textId="77777777" w:rsidR="001C23D9" w:rsidRDefault="001C23D9" w:rsidP="00A71E30">
      <w:pPr>
        <w:pStyle w:val="Quote"/>
      </w:pPr>
      <w:r>
        <w:t>Differentiate between various sources of knowledge (e.g., assumptions, direct experience, tradition, generalization, observation, and authority) and evaluate their reliability in the context of business decision-making.</w:t>
      </w:r>
    </w:p>
    <w:p w14:paraId="1D47DC2E" w14:textId="77777777" w:rsidR="001C23D9" w:rsidRDefault="001C23D9" w:rsidP="00A71E30">
      <w:pPr>
        <w:pStyle w:val="Quote"/>
      </w:pPr>
      <w:r>
        <w:t>Define science as a systematic and organized body of knowledge acquired using a specific, rigorous method, and distinguish between natural and social sciences, as well as basic and applied sciences.</w:t>
      </w:r>
    </w:p>
    <w:p w14:paraId="68D68BAD" w14:textId="77777777" w:rsidR="001C23D9" w:rsidRDefault="001C23D9" w:rsidP="00A71E30">
      <w:pPr>
        <w:pStyle w:val="Quote"/>
      </w:pPr>
      <w:r>
        <w:t>Explain the roles of logic and observation in the development of scientific laws and theories, and describe how hypotheses, laws, and theories contribute to the advancement of scientific knowledge.</w:t>
      </w:r>
    </w:p>
    <w:p w14:paraId="09B96A2E" w14:textId="77777777" w:rsidR="001C23D9" w:rsidRDefault="001C23D9" w:rsidP="00A71E30">
      <w:pPr>
        <w:pStyle w:val="Quote"/>
      </w:pPr>
      <w:r>
        <w:t>Understand the interplay between theory and evidence in scientific research and differentiate between inductive (theory-building) and deductive (theory-testing) research approaches.</w:t>
      </w:r>
    </w:p>
    <w:p w14:paraId="16526978" w14:textId="77777777" w:rsidR="007B4A89" w:rsidRDefault="001C23D9" w:rsidP="00A71E30">
      <w:pPr>
        <w:pStyle w:val="Quote"/>
      </w:pPr>
      <w:r>
        <w:t>Identify and describe the four key characteristics of the scientific method (replicability, precision, falsifiability, and parsimony), and explain their importance in ensuring the validity and reliability of scientific knowledge.</w:t>
      </w:r>
    </w:p>
    <w:p w14:paraId="5DCE2837" w14:textId="07455E7C" w:rsidR="001C23D9" w:rsidRDefault="001C23D9" w:rsidP="00A71E30">
      <w:pPr>
        <w:pStyle w:val="Quote"/>
      </w:pPr>
      <w:r>
        <w:t>Distinguish between the three main types of scientific research (exploratory, descriptive, and explanatory) and articulate the primary goals and applications of each approach in the context of business and marketing research.</w:t>
      </w:r>
    </w:p>
    <w:p w14:paraId="29284FB6" w14:textId="77777777" w:rsidR="001318F3" w:rsidRPr="001318F3" w:rsidRDefault="001318F3" w:rsidP="00952EBD">
      <w:pPr>
        <w:pStyle w:val="Heading3"/>
        <w:spacing w:before="120"/>
      </w:pPr>
      <w:bookmarkStart w:id="3" w:name="_Toc169156668"/>
      <w:r w:rsidRPr="001318F3">
        <w:t>Introduction to Research: Helping Business Owners Make Informed Decisions</w:t>
      </w:r>
      <w:bookmarkEnd w:id="3"/>
    </w:p>
    <w:p w14:paraId="5327CF5C" w14:textId="1F3ABB12" w:rsidR="00A626FE" w:rsidRPr="000E309B" w:rsidRDefault="002D5DAF" w:rsidP="00CB2D95">
      <w:r w:rsidRPr="002D5DAF">
        <w:t xml:space="preserve">This book aims to teach students how research can be used to help business owners make informed decisions. Specifically, it examines </w:t>
      </w:r>
      <w:r w:rsidR="003325A3">
        <w:t>how researchers investigate and understand the factors that drive consumer purchasing behavior</w:t>
      </w:r>
      <w:r w:rsidRPr="002D5DAF">
        <w:t>. Research methods provide a systematic process of inquiry designed to uncover valuable insights about business problems. Before delving into research methods, however, it is helpful to consider other common sources of knowledge and their limitations</w:t>
      </w:r>
      <w:r w:rsidR="006F1B2B">
        <w:t xml:space="preserve"> </w:t>
      </w:r>
      <w:r w:rsidR="006F1B2B" w:rsidRPr="006F1B2B">
        <w:t>as this understanding underscores the importance of formal research</w:t>
      </w:r>
      <w:r w:rsidR="003C1ADF">
        <w:t>.</w:t>
      </w:r>
    </w:p>
    <w:p w14:paraId="5327CF60" w14:textId="4B469280" w:rsidR="00A626FE" w:rsidRPr="000E309B" w:rsidRDefault="00D14B33" w:rsidP="00634BA3">
      <w:pPr>
        <w:pStyle w:val="Heading4"/>
      </w:pPr>
      <w:r w:rsidRPr="000E309B">
        <w:t>Different Sources of Knowledge</w:t>
      </w:r>
    </w:p>
    <w:p w14:paraId="796FDF0F" w14:textId="77777777" w:rsidR="003B27F2" w:rsidRPr="003B27F2" w:rsidRDefault="003B27F2" w:rsidP="003B27F2">
      <w:r w:rsidRPr="003B27F2">
        <w:t>People acquire knowledge through various means, some of which are more reliable than others (Figure 1). Let's briefly examine a few familiar sources of knowledge:</w:t>
      </w:r>
    </w:p>
    <w:p w14:paraId="68987E67" w14:textId="6D136D92" w:rsidR="00D322F9" w:rsidRPr="000E309B" w:rsidRDefault="00D322F9" w:rsidP="000E309B">
      <w:pPr>
        <w:spacing w:line="360" w:lineRule="auto"/>
      </w:pPr>
    </w:p>
    <w:p w14:paraId="374E8540" w14:textId="67D27FA9" w:rsidR="004138DE" w:rsidRDefault="008747F8" w:rsidP="004138DE">
      <w:pPr>
        <w:keepNext/>
        <w:spacing w:line="360" w:lineRule="auto"/>
        <w:jc w:val="center"/>
      </w:pPr>
      <w:r>
        <w:rPr>
          <w:b/>
          <w:bCs/>
          <w:noProof/>
        </w:rPr>
        <w:lastRenderedPageBreak/>
        <w:drawing>
          <wp:inline distT="0" distB="0" distL="0" distR="0" wp14:anchorId="117859E7" wp14:editId="5D2EBA03">
            <wp:extent cx="3324225" cy="3200400"/>
            <wp:effectExtent l="0" t="0" r="0" b="19050"/>
            <wp:docPr id="2314" name="Diagram 23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5327CF62" w14:textId="29A217AF" w:rsidR="00A626FE" w:rsidRPr="000E309B" w:rsidRDefault="004138DE" w:rsidP="004138DE">
      <w:pPr>
        <w:pStyle w:val="Caption"/>
        <w:jc w:val="center"/>
      </w:pPr>
      <w:r>
        <w:t xml:space="preserve">Figure </w:t>
      </w:r>
      <w:r w:rsidR="006D77BF">
        <w:fldChar w:fldCharType="begin"/>
      </w:r>
      <w:r w:rsidR="006D77BF">
        <w:instrText xml:space="preserve"> SEQ Figure \* ARABIC </w:instrText>
      </w:r>
      <w:r w:rsidR="006D77BF">
        <w:fldChar w:fldCharType="separate"/>
      </w:r>
      <w:r w:rsidR="00980002">
        <w:rPr>
          <w:noProof/>
        </w:rPr>
        <w:t>1</w:t>
      </w:r>
      <w:r w:rsidR="006D77BF">
        <w:rPr>
          <w:noProof/>
        </w:rPr>
        <w:fldChar w:fldCharType="end"/>
      </w:r>
      <w:r>
        <w:t>: Sources of Knowledge</w:t>
      </w:r>
    </w:p>
    <w:p w14:paraId="5327CF64" w14:textId="08806573" w:rsidR="00A626FE" w:rsidRPr="000E309B" w:rsidRDefault="003B27F2" w:rsidP="00722F77">
      <w:r w:rsidRPr="000A5C9A">
        <w:rPr>
          <w:b/>
          <w:bCs/>
        </w:rPr>
        <w:t>Assumptions</w:t>
      </w:r>
      <w:r w:rsidRPr="003B27F2">
        <w:t>: Many people hold assumptions that are widely accepted but not always accurate. For example, it is often assumed that only children are spoiled and have poorly developed social skills compared to those raised with siblings. However, sociological research has shown that children who grow up without siblings are generally like those with siblings in terms of social skill development</w:t>
      </w:r>
      <w:r w:rsidR="00144847">
        <w:t xml:space="preserve"> </w:t>
      </w:r>
      <w:r w:rsidR="00144847">
        <w:fldChar w:fldCharType="begin"/>
      </w:r>
      <w:r w:rsidR="007C07B4">
        <w:instrText xml:space="preserve"> ADDIN ZOTERO_ITEM CSL_CITATION {"citationID":"UlCAvYDf","properties":{"formattedCitation":"[4]","plainCitation":"[4]","noteIndex":0},"citationItems":[{"id":73,"uris":["http://zotero.org/users/5015692/items/2ZYJLHXR"],"itemData":{"id":73,"type":"article-journal","container-title":"Journal of Family Issues","issue":"9","page":"1175–1193","title":"Number of siblings and friendship nominations among adolescents","volume":"34","author":[{"family":"Bobbitt-Zeher","given":"Donna"},{"family":"Downey","given":"Douglas B"}],"issued":{"date-parts":[["2013"]]}}}],"schema":"https://github.com/citation-style-language/schema/raw/master/csl-citation.json"} </w:instrText>
      </w:r>
      <w:r w:rsidR="00144847">
        <w:fldChar w:fldCharType="separate"/>
      </w:r>
      <w:r w:rsidR="007C07B4" w:rsidRPr="007C07B4">
        <w:t>[4]</w:t>
      </w:r>
      <w:r w:rsidR="00144847">
        <w:fldChar w:fldCharType="end"/>
      </w:r>
      <w:r w:rsidRPr="003B27F2">
        <w:t>. Researchers carefully consider these types of "common knowledge" assumptions when investigating their areas of interest, as they may or may not be correct.</w:t>
      </w:r>
    </w:p>
    <w:p w14:paraId="5327CF67" w14:textId="6DDDEAB4" w:rsidR="00A626FE" w:rsidRPr="000E309B" w:rsidRDefault="00840A90" w:rsidP="00722F77">
      <w:r w:rsidRPr="000C0F58">
        <w:rPr>
          <w:b/>
          <w:bCs/>
        </w:rPr>
        <w:t>Direct Experience</w:t>
      </w:r>
      <w:r w:rsidRPr="008F72E6">
        <w:t>: Personal experiences can be a source of knowledge, but they are often unsystematic and may lead to inaccurate conclusions. As Mark Twain humorously noted, "... the cat that sits down on a hot stove-lid ... will never sit down on a hot stove-lid again..."</w:t>
      </w:r>
      <w:r w:rsidR="004F5F7D">
        <w:t xml:space="preserve"> </w:t>
      </w:r>
      <w:r w:rsidR="004F5F7D">
        <w:fldChar w:fldCharType="begin"/>
      </w:r>
      <w:r w:rsidR="007C07B4">
        <w:instrText xml:space="preserve"> ADDIN ZOTERO_ITEM CSL_CITATION {"citationID":"a1ohq1atebj","properties":{"formattedCitation":"[5]","plainCitation":"[5]","noteIndex":0},"citationItems":[{"id":79,"uris":["http://zotero.org/users/5015692/items/L6HR6DY8"],"itemData":{"id":79,"type":"book","publisher":"Simon and Schuster","title":"Following the Equator:(With Original Illustrations)","author":[{"family":"Twain","given":"Mark"}],"issued":{"date-parts":[["2014"]]}}}],"schema":"https://github.com/citation-style-language/schema/raw/master/csl-citation.json"} </w:instrText>
      </w:r>
      <w:r w:rsidR="004F5F7D">
        <w:fldChar w:fldCharType="separate"/>
      </w:r>
      <w:r w:rsidR="007C07B4" w:rsidRPr="007C07B4">
        <w:t>[5]</w:t>
      </w:r>
      <w:r w:rsidR="004F5F7D">
        <w:fldChar w:fldCharType="end"/>
      </w:r>
      <w:r w:rsidRPr="008F72E6">
        <w:t>. While direct experience can provide valuable insights, the lack of a deliberate and formal process for observing and evaluating those experiences makes any conclusions drawn from them questionable.</w:t>
      </w:r>
    </w:p>
    <w:p w14:paraId="5327CF68" w14:textId="739F3998" w:rsidR="00A626FE" w:rsidRPr="000E309B" w:rsidRDefault="006F6BAF" w:rsidP="00722F77">
      <w:r w:rsidRPr="000C0F58">
        <w:rPr>
          <w:b/>
          <w:bCs/>
        </w:rPr>
        <w:t>Tradition</w:t>
      </w:r>
      <w:r w:rsidRPr="008F72E6">
        <w:t>: Knowledge passed down through tradition may not always be reliable. An urban legend tells of a woman who, for years, cut both ends off a ham before cooking it, simply because that was how her mother did it</w:t>
      </w:r>
      <w:r w:rsidR="004F5F7D">
        <w:t xml:space="preserve"> </w:t>
      </w:r>
      <w:r w:rsidR="004F5F7D">
        <w:fldChar w:fldCharType="begin"/>
      </w:r>
      <w:r w:rsidR="007C07B4">
        <w:instrText xml:space="preserve"> ADDIN ZOTERO_ITEM CSL_CITATION {"citationID":"a1gshkmcuvo","properties":{"formattedCitation":"[6]","plainCitation":"[6]","noteIndex":0},"citationItems":[{"id":74,"uris":["http://zotero.org/users/5015692/items/6N42K57S"],"itemData":{"id":74,"type":"webpage","title":"Grandma's Cooking Secret","URL":"https://www.snopes.com/fact-check/grandmas-cooking-secret/","author":[{"literal":"Snopes"}],"accessed":{"date-parts":[["2018",12,17]]},"issued":{"date-parts":[["2005"]]}}}],"schema":"https://github.com/citation-style-language/schema/raw/master/csl-citation.json"} </w:instrText>
      </w:r>
      <w:r w:rsidR="004F5F7D">
        <w:fldChar w:fldCharType="separate"/>
      </w:r>
      <w:r w:rsidR="007C07B4" w:rsidRPr="007C07B4">
        <w:t>[6]</w:t>
      </w:r>
      <w:r w:rsidR="004F5F7D">
        <w:fldChar w:fldCharType="end"/>
      </w:r>
      <w:r w:rsidRPr="008F72E6">
        <w:t>. Only later did she learn that her mother's baking pan was too small for the ham, revealing the tradition to be based on a practical limitation rather than culinary necessity.</w:t>
      </w:r>
    </w:p>
    <w:p w14:paraId="614CA7EC" w14:textId="77777777" w:rsidR="002E2DB8" w:rsidRPr="008F72E6" w:rsidRDefault="002E2DB8" w:rsidP="00722F77">
      <w:r w:rsidRPr="000C0F58">
        <w:rPr>
          <w:b/>
          <w:bCs/>
        </w:rPr>
        <w:t>Generalization</w:t>
      </w:r>
      <w:r w:rsidRPr="008F72E6">
        <w:t>: People often observe a broad pattern and conclude that it applies to all instances, which can lead to prejudice and stereotyping.</w:t>
      </w:r>
    </w:p>
    <w:p w14:paraId="587674EA" w14:textId="77777777" w:rsidR="002E2DB8" w:rsidRPr="008F72E6" w:rsidRDefault="002E2DB8" w:rsidP="002E2DB8">
      <w:r w:rsidRPr="000C0F58">
        <w:rPr>
          <w:b/>
          <w:bCs/>
        </w:rPr>
        <w:t>Observation</w:t>
      </w:r>
      <w:r w:rsidRPr="008F72E6">
        <w:t>: Informal observations of the world around us can be misleading, as they lack a systematic approach and may result in incorrect conclusions.</w:t>
      </w:r>
    </w:p>
    <w:p w14:paraId="07D45F5E" w14:textId="77777777" w:rsidR="008F72E6" w:rsidRPr="008F72E6" w:rsidRDefault="008F72E6" w:rsidP="008F72E6">
      <w:r w:rsidRPr="000C0F58">
        <w:rPr>
          <w:b/>
          <w:bCs/>
        </w:rPr>
        <w:lastRenderedPageBreak/>
        <w:t>Authority</w:t>
      </w:r>
      <w:r w:rsidRPr="008F72E6">
        <w:t>: While people often rely on authority figures for knowledge, these sources may not always provide accurate information, and it can be difficult to discern which information is trustworthy.</w:t>
      </w:r>
    </w:p>
    <w:p w14:paraId="5327CF6C" w14:textId="47414A17" w:rsidR="00A626FE" w:rsidRPr="000E309B" w:rsidRDefault="008F72E6" w:rsidP="00722F77">
      <w:r w:rsidRPr="008F72E6">
        <w:t>In the context of business decision-making, relying solely on these sources of knowledge can lead to misguided strategies and missed opportunities. Formal research aims to overcome the limitations of these informal sources by providing a systematic and reliable approach to answering questions and informing decisions. By employing rigorous research methods, business owners and managers can gain accurate insights into consumer behavior, market trends, and other critical factors that drive success in their industries.</w:t>
      </w:r>
    </w:p>
    <w:p w14:paraId="5327CF6D" w14:textId="7AA6248C" w:rsidR="00A626FE" w:rsidRPr="000E309B" w:rsidRDefault="001D3630" w:rsidP="006B17EB">
      <w:pPr>
        <w:pStyle w:val="Heading3"/>
      </w:pPr>
      <w:bookmarkStart w:id="4" w:name="_Toc169156669"/>
      <w:r w:rsidRPr="000E309B">
        <w:t>What Is Science?</w:t>
      </w:r>
      <w:bookmarkEnd w:id="4"/>
    </w:p>
    <w:p w14:paraId="6B9C174D" w14:textId="699D64D8" w:rsidR="00A850AD" w:rsidRPr="00A850AD" w:rsidRDefault="00A850AD" w:rsidP="00C856DB">
      <w:r w:rsidRPr="00A850AD">
        <w:t>Most research methods used for business and marketing are based on various social science methods, and this section of the book describes how that research is conducted.</w:t>
      </w:r>
    </w:p>
    <w:p w14:paraId="7F5BE961" w14:textId="77777777" w:rsidR="00DC2949" w:rsidRPr="00DC2949" w:rsidRDefault="00FF3EFB" w:rsidP="00DC2949">
      <w:r>
        <w:rPr>
          <w:noProof/>
        </w:rPr>
        <mc:AlternateContent>
          <mc:Choice Requires="wps">
            <w:drawing>
              <wp:anchor distT="0" distB="0" distL="114300" distR="114300" simplePos="0" relativeHeight="251823188" behindDoc="1" locked="0" layoutInCell="1" allowOverlap="1" wp14:anchorId="664C682E" wp14:editId="035970EE">
                <wp:simplePos x="0" y="0"/>
                <wp:positionH relativeFrom="column">
                  <wp:posOffset>2571750</wp:posOffset>
                </wp:positionH>
                <wp:positionV relativeFrom="paragraph">
                  <wp:posOffset>2004695</wp:posOffset>
                </wp:positionV>
                <wp:extent cx="3346450" cy="635"/>
                <wp:effectExtent l="0" t="0" r="0" b="0"/>
                <wp:wrapTight wrapText="bothSides">
                  <wp:wrapPolygon edited="0">
                    <wp:start x="0" y="0"/>
                    <wp:lineTo x="0" y="21600"/>
                    <wp:lineTo x="21600" y="21600"/>
                    <wp:lineTo x="21600" y="0"/>
                  </wp:wrapPolygon>
                </wp:wrapTight>
                <wp:docPr id="7" name="Text Box 7"/>
                <wp:cNvGraphicFramePr/>
                <a:graphic xmlns:a="http://schemas.openxmlformats.org/drawingml/2006/main">
                  <a:graphicData uri="http://schemas.microsoft.com/office/word/2010/wordprocessingShape">
                    <wps:wsp>
                      <wps:cNvSpPr txBox="1"/>
                      <wps:spPr>
                        <a:xfrm>
                          <a:off x="0" y="0"/>
                          <a:ext cx="3346450" cy="635"/>
                        </a:xfrm>
                        <a:prstGeom prst="rect">
                          <a:avLst/>
                        </a:prstGeom>
                        <a:solidFill>
                          <a:prstClr val="white"/>
                        </a:solidFill>
                        <a:ln>
                          <a:noFill/>
                        </a:ln>
                      </wps:spPr>
                      <wps:txbx>
                        <w:txbxContent>
                          <w:p w14:paraId="7CE43DBD" w14:textId="0643BF77" w:rsidR="00FF3EFB" w:rsidRDefault="00FF3EFB" w:rsidP="00FF3EFB">
                            <w:pPr>
                              <w:pStyle w:val="Caption"/>
                              <w:jc w:val="center"/>
                              <w:rPr>
                                <w:noProof/>
                              </w:rPr>
                            </w:pPr>
                            <w:r>
                              <w:t xml:space="preserve">Figure </w:t>
                            </w:r>
                            <w:r w:rsidR="006D77BF">
                              <w:fldChar w:fldCharType="begin"/>
                            </w:r>
                            <w:r w:rsidR="006D77BF">
                              <w:instrText xml:space="preserve"> SEQ Figure \* ARABIC </w:instrText>
                            </w:r>
                            <w:r w:rsidR="006D77BF">
                              <w:fldChar w:fldCharType="separate"/>
                            </w:r>
                            <w:r w:rsidR="00980002">
                              <w:rPr>
                                <w:noProof/>
                              </w:rPr>
                              <w:t>2</w:t>
                            </w:r>
                            <w:r w:rsidR="006D77BF">
                              <w:rPr>
                                <w:noProof/>
                              </w:rPr>
                              <w:fldChar w:fldCharType="end"/>
                            </w:r>
                            <w:r>
                              <w:t>: Two Types of Sciences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4C682E" id="Text Box 7" o:spid="_x0000_s1030" type="#_x0000_t202" style="position:absolute;margin-left:202.5pt;margin-top:157.85pt;width:263.5pt;height:.05pt;z-index:-251493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" stroked="f">
                <v:textbox style="mso-fit-shape-to-text:t" inset="0,0,0,0">
                  <w:txbxContent>
                    <w:p w14:paraId="7CE43DBD" w14:textId="0643BF77" w:rsidR="00FF3EFB" w:rsidRDefault="00FF3EFB" w:rsidP="00FF3EFB">
                      <w:pPr>
                        <w:pStyle w:val="Caption"/>
                        <w:jc w:val="center"/>
                        <w:rPr>
                          <w:noProof/>
                        </w:rPr>
                      </w:pPr>
                      <w:r>
                        <w:t xml:space="preserve">Figure </w:t>
                      </w:r>
                      <w:r w:rsidR="006D77BF">
                        <w:fldChar w:fldCharType="begin"/>
                      </w:r>
                      <w:r w:rsidR="006D77BF">
                        <w:instrText xml:space="preserve"> SEQ Figure \* ARABIC </w:instrText>
                      </w:r>
                      <w:r w:rsidR="006D77BF">
                        <w:fldChar w:fldCharType="separate"/>
                      </w:r>
                      <w:r w:rsidR="00980002">
                        <w:rPr>
                          <w:noProof/>
                        </w:rPr>
                        <w:t>2</w:t>
                      </w:r>
                      <w:r w:rsidR="006D77BF">
                        <w:rPr>
                          <w:noProof/>
                        </w:rPr>
                        <w:fldChar w:fldCharType="end"/>
                      </w:r>
                      <w:r>
                        <w:t>: Two Types of Sciences</w:t>
                      </w:r>
                    </w:p>
                  </w:txbxContent>
                </v:textbox>
                <w10:wrap type="tight"/>
              </v:shape>
            </w:pict>
          </mc:Fallback>
        </mc:AlternateContent>
      </w:r>
      <w:r w:rsidR="004C1598">
        <w:rPr>
          <w:noProof/>
        </w:rPr>
        <w:drawing>
          <wp:anchor distT="0" distB="0" distL="114300" distR="114300" simplePos="0" relativeHeight="251803732" behindDoc="1" locked="0" layoutInCell="1" allowOverlap="1" wp14:anchorId="104C2725" wp14:editId="58B73B1A">
            <wp:simplePos x="0" y="0"/>
            <wp:positionH relativeFrom="column">
              <wp:align>right</wp:align>
            </wp:positionH>
            <wp:positionV relativeFrom="paragraph">
              <wp:posOffset>0</wp:posOffset>
            </wp:positionV>
            <wp:extent cx="3346704" cy="1947672"/>
            <wp:effectExtent l="0" t="0" r="25400" b="14605"/>
            <wp:wrapTight wrapText="bothSides">
              <wp:wrapPolygon edited="0">
                <wp:start x="0" y="0"/>
                <wp:lineTo x="0" y="9508"/>
                <wp:lineTo x="369" y="20283"/>
                <wp:lineTo x="738" y="21551"/>
                <wp:lineTo x="20780" y="21551"/>
                <wp:lineTo x="21149" y="20283"/>
                <wp:lineTo x="21149" y="10142"/>
                <wp:lineTo x="21641" y="9719"/>
                <wp:lineTo x="21641" y="0"/>
                <wp:lineTo x="0" y="0"/>
              </wp:wrapPolygon>
            </wp:wrapTight>
            <wp:docPr id="95" name="Diagram 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r w:rsidR="00DC2949" w:rsidRPr="00DC2949">
        <w:t>Many people assume that science is practiced only by highly educated experts in laboratories, pouring mysterious liquids into test tubes. Unfortunately, that is not an accurate definition of "science." Etymologically, the word "science" is derived from the Latin word Scientia, which means knowledge. "Science," then, is a systematic and organized body of knowledge acquired using a specific, rigorous method in any field of inquiry. The sciences can be grouped into two broad categories: natural and social. Natural science is the study of naturally occurring phenomena, such as light, matter, Earth, celestial bodies, and the human body. Natural sciences are further classified into the physical sciences, earth sciences, life sciences, and others. In contrast, social science studies people or collections of people, like groups, firms, societies, or economies. Social sciences can be classified into disciplines such as psychology (the science of human behaviors), sociology (the science of social groups), and economics (the science of markets and economies).</w:t>
      </w:r>
    </w:p>
    <w:p w14:paraId="7BD682FE" w14:textId="15632E72" w:rsidR="00F1172B" w:rsidRPr="00F1172B" w:rsidRDefault="00F1172B" w:rsidP="00F1172B">
      <w:r w:rsidRPr="00F1172B">
        <w:t xml:space="preserve">Science is also classified by </w:t>
      </w:r>
      <w:r>
        <w:t>its</w:t>
      </w:r>
      <w:r w:rsidRPr="00F1172B">
        <w:t xml:space="preserve"> purpose. Basic sciences, also called pure sciences, explain the most basic objects and forces, relationships between them, and laws governing them. Examples of the basic sciences include physics, mathematics, and biology. Applied sciences, also called practical sciences, apply scientific knowledge from basic sciences to a physical environment. For instance, engineering is an applied science that applies the laws of physics and chemistry to practical applications such as building more durable bridges or fuel-efficient combustion engines, and medicine is an applied science that applies the laws of biology to relieving human ailments.</w:t>
      </w:r>
    </w:p>
    <w:p w14:paraId="7C5A57A4" w14:textId="77777777" w:rsidR="00F1172B" w:rsidRPr="00F1172B" w:rsidRDefault="00F1172B" w:rsidP="00F1172B">
      <w:r w:rsidRPr="00F1172B">
        <w:lastRenderedPageBreak/>
        <w:t>Scientific knowledge is a generalized body of laws and theories acquired using the scientific method to explain a phenomenon or behavior of interest. Closely related to laws and theories are hypotheses.</w:t>
      </w:r>
    </w:p>
    <w:p w14:paraId="14E70E0A" w14:textId="77777777" w:rsidR="0066020B" w:rsidRPr="0066020B" w:rsidRDefault="0066020B" w:rsidP="0066020B">
      <w:r w:rsidRPr="0066020B">
        <w:rPr>
          <w:b/>
          <w:bCs/>
        </w:rPr>
        <w:t>Laws</w:t>
      </w:r>
      <w:r w:rsidRPr="0066020B">
        <w:t xml:space="preserve"> are observed patterns of phenomena or behaviors based on repeated experimental observations. They are generalized rules that explain observations and are, typically, theories that have been repeatedly tested and believed to be accurate. For example, Newton's three laws of motion describe what happens when an object is at rest or in motion, the force needed to move a stationary object or stop a moving one, and what happens when two objects collide. Collectively, the three laws constitute the basis of classical mechanics—a theory of moving objects.</w:t>
      </w:r>
    </w:p>
    <w:p w14:paraId="6C78519C" w14:textId="6FBBAF42" w:rsidR="00D510D8" w:rsidRPr="00044FA6" w:rsidRDefault="0066020B" w:rsidP="00316002">
      <w:r w:rsidRPr="00044FA6">
        <w:rPr>
          <w:b/>
          <w:bCs/>
        </w:rPr>
        <w:t>Theories</w:t>
      </w:r>
      <w:r w:rsidRPr="00044FA6">
        <w:t xml:space="preserve"> are systematic explanations of an underlying phenomenon or behavior. Theories are typically based on hypotheses that have been tested and found to be accurate. However, the testing has been incomplete or lacks the rigor to classify the theory as a law. It is important to note that theories are not "guesses" but are instead the result of experimental observations found to be true in the tested instances. It is also important to note that theories can be falsifiable; that is, there are ways to prove that the theory is not valid. For example:</w:t>
      </w:r>
      <w:r w:rsidR="00D14B33" w:rsidRPr="00044FA6">
        <w:t xml:space="preserve"> </w:t>
      </w:r>
    </w:p>
    <w:p w14:paraId="721F0388" w14:textId="1FB620BF" w:rsidR="00044FA6" w:rsidRDefault="00044FA6" w:rsidP="00316002">
      <w:pPr>
        <w:pStyle w:val="ListParagraph"/>
        <w:numPr>
          <w:ilvl w:val="0"/>
          <w:numId w:val="138"/>
        </w:numPr>
      </w:pPr>
      <w:r>
        <w:t xml:space="preserve">The theory of optics explains the properties of light and how it behaves in different </w:t>
      </w:r>
      <w:r w:rsidR="004505EC">
        <w:t>media.</w:t>
      </w:r>
    </w:p>
    <w:p w14:paraId="2AD760C8" w14:textId="59D8D8FA" w:rsidR="00044FA6" w:rsidRDefault="00044FA6" w:rsidP="00316002">
      <w:pPr>
        <w:pStyle w:val="ListParagraph"/>
        <w:numPr>
          <w:ilvl w:val="0"/>
          <w:numId w:val="138"/>
        </w:numPr>
      </w:pPr>
      <w:r>
        <w:t xml:space="preserve">The electromagnetic theory explains the properties of electricity and how to generate </w:t>
      </w:r>
      <w:r w:rsidR="004505EC">
        <w:t>it.</w:t>
      </w:r>
    </w:p>
    <w:p w14:paraId="23A8B38C" w14:textId="4273859F" w:rsidR="00044FA6" w:rsidRDefault="00044FA6" w:rsidP="00316002">
      <w:pPr>
        <w:pStyle w:val="ListParagraph"/>
        <w:numPr>
          <w:ilvl w:val="0"/>
          <w:numId w:val="138"/>
        </w:numPr>
      </w:pPr>
      <w:r>
        <w:t xml:space="preserve">Quantum mechanics explains the properties of subatomic </w:t>
      </w:r>
      <w:r w:rsidR="004505EC">
        <w:t>particles.</w:t>
      </w:r>
    </w:p>
    <w:p w14:paraId="23C71567" w14:textId="1B399ABE" w:rsidR="00D50137" w:rsidRDefault="00044FA6" w:rsidP="00316002">
      <w:pPr>
        <w:pStyle w:val="ListParagraph"/>
        <w:numPr>
          <w:ilvl w:val="0"/>
          <w:numId w:val="138"/>
        </w:numPr>
      </w:pPr>
      <w:r>
        <w:t>Thermodynamics explains the properties of energy and mechanical work.</w:t>
      </w:r>
    </w:p>
    <w:p w14:paraId="2B6D3ADD" w14:textId="77777777" w:rsidR="004505EC" w:rsidRPr="004505EC" w:rsidRDefault="004505EC" w:rsidP="00316002">
      <w:r w:rsidRPr="004505EC">
        <w:t>None of these theories have been tested in all possible situations, so they are not laws, but there has been enough experimentation to establish a theory.</w:t>
      </w:r>
    </w:p>
    <w:p w14:paraId="4478AA32" w14:textId="77777777" w:rsidR="000E17F4" w:rsidRPr="000E17F4" w:rsidRDefault="000E17F4" w:rsidP="000E17F4">
      <w:r w:rsidRPr="000E17F4">
        <w:t>A hypothesis is a proposed explanation for a phenomenon or a prediction about what will happen in the future. Hypotheses generally mark the beginning of an investigation that will either support or reject them. For example, a researcher may hypothesize that products in red boxes sell better than products in blue boxes. An experiment can be set up to test the hypothesis where the same product is sold in two identical boxes, except that one is red and the other blue. If more red boxes were sold at the end of the experiment, the hypothesis is supported, but if there was no difference in sales or the blue boxes sold better, the hypothesis is rejected.</w:t>
      </w:r>
    </w:p>
    <w:p w14:paraId="5327CF78" w14:textId="38996850" w:rsidR="00A626FE" w:rsidRPr="000E309B" w:rsidRDefault="000E17F4" w:rsidP="00316002">
      <w:r w:rsidRPr="000E17F4">
        <w:t>The pure science of economics and its applied science of business include a body of both laws and theories. For example:</w:t>
      </w:r>
    </w:p>
    <w:p w14:paraId="7CFCEA80" w14:textId="77777777" w:rsidR="006B0EC2" w:rsidRPr="006B0EC2" w:rsidRDefault="006B0EC2" w:rsidP="00316002">
      <w:pPr>
        <w:pStyle w:val="ListParagraph"/>
        <w:numPr>
          <w:ilvl w:val="0"/>
          <w:numId w:val="139"/>
        </w:numPr>
      </w:pPr>
      <w:r w:rsidRPr="00316002">
        <w:rPr>
          <w:b/>
          <w:bCs/>
        </w:rPr>
        <w:t>Law of Supply and Demand</w:t>
      </w:r>
      <w:r w:rsidRPr="006B0EC2">
        <w:t>. While often described as a "model," it is usually categorized as a law since it holds true in repeated observations. This law states that there is a relationship between a product's demand and its supply.</w:t>
      </w:r>
    </w:p>
    <w:p w14:paraId="0DBD28D7" w14:textId="0B0FDFC5" w:rsidR="006B0EC2" w:rsidRPr="006B0EC2" w:rsidRDefault="006B0EC2" w:rsidP="00316002">
      <w:pPr>
        <w:pStyle w:val="ListParagraph"/>
        <w:numPr>
          <w:ilvl w:val="0"/>
          <w:numId w:val="139"/>
        </w:numPr>
      </w:pPr>
      <w:r w:rsidRPr="00316002">
        <w:rPr>
          <w:b/>
          <w:bCs/>
        </w:rPr>
        <w:t>Law of Diminishing Returns</w:t>
      </w:r>
      <w:r w:rsidRPr="006B0EC2">
        <w:t>. This law states that at some point, increasing a single production factor will yield less profit-per-unit produced. In other words, the return on the investment is not worth the increased cost.</w:t>
      </w:r>
    </w:p>
    <w:p w14:paraId="2CD468CB" w14:textId="03BB1D47" w:rsidR="006B0EC2" w:rsidRPr="006B0EC2" w:rsidRDefault="006B0EC2" w:rsidP="00316002">
      <w:pPr>
        <w:pStyle w:val="ListParagraph"/>
        <w:numPr>
          <w:ilvl w:val="0"/>
          <w:numId w:val="139"/>
        </w:numPr>
      </w:pPr>
      <w:r w:rsidRPr="00316002">
        <w:rPr>
          <w:b/>
          <w:bCs/>
        </w:rPr>
        <w:lastRenderedPageBreak/>
        <w:t>The Theory of Collective Property Rights</w:t>
      </w:r>
      <w:r w:rsidRPr="006B0EC2">
        <w:t xml:space="preserve"> states that groups can manage shared resources, like water. It won the 2009 Nobel Prize for economics.</w:t>
      </w:r>
    </w:p>
    <w:p w14:paraId="5327CF7C" w14:textId="2049F7AB" w:rsidR="00A626FE" w:rsidRPr="006B0EC2" w:rsidRDefault="006B0EC2" w:rsidP="00316002">
      <w:pPr>
        <w:pStyle w:val="ListParagraph"/>
        <w:numPr>
          <w:ilvl w:val="0"/>
          <w:numId w:val="139"/>
        </w:numPr>
      </w:pPr>
      <w:r w:rsidRPr="00316002">
        <w:rPr>
          <w:b/>
          <w:bCs/>
        </w:rPr>
        <w:t>The Theory of Marginalism</w:t>
      </w:r>
      <w:r w:rsidRPr="006B0EC2">
        <w:t xml:space="preserve"> attempts to explain the discrepancy in the value of goods by looking at their secondary, or marginal, utility. Diamonds are more expensive than water because of the marginal "satisfaction" of owning diamonds compared to water, even though water is far more utilitarian.</w:t>
      </w:r>
    </w:p>
    <w:p w14:paraId="11BA6781" w14:textId="7BEFBD42" w:rsidR="002302BD" w:rsidRPr="002302BD" w:rsidRDefault="0062158D" w:rsidP="002302BD">
      <w:r w:rsidRPr="000E309B">
        <w:rPr>
          <w:noProof/>
        </w:rPr>
        <w:drawing>
          <wp:anchor distT="0" distB="0" distL="114300" distR="114300" simplePos="0" relativeHeight="251658242" behindDoc="0" locked="0" layoutInCell="1" allowOverlap="0" wp14:anchorId="5327DD33" wp14:editId="2CFE9C96">
            <wp:simplePos x="0" y="0"/>
            <wp:positionH relativeFrom="margin">
              <wp:posOffset>0</wp:posOffset>
            </wp:positionH>
            <wp:positionV relativeFrom="paragraph">
              <wp:posOffset>1179499</wp:posOffset>
            </wp:positionV>
            <wp:extent cx="3007995" cy="2495550"/>
            <wp:effectExtent l="0" t="0" r="1905" b="0"/>
            <wp:wrapSquare wrapText="bothSides"/>
            <wp:docPr id="2420" name="Picture 2420"/>
            <wp:cNvGraphicFramePr/>
            <a:graphic xmlns:a="http://schemas.openxmlformats.org/drawingml/2006/main">
              <a:graphicData uri="http://schemas.openxmlformats.org/drawingml/2006/picture">
                <pic:pic xmlns:pic="http://schemas.openxmlformats.org/drawingml/2006/picture">
                  <pic:nvPicPr>
                    <pic:cNvPr id="2420" name="Picture 242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7995" cy="2495550"/>
                    </a:xfrm>
                    <a:prstGeom prst="rect">
                      <a:avLst/>
                    </a:prstGeom>
                  </pic:spPr>
                </pic:pic>
              </a:graphicData>
            </a:graphic>
            <wp14:sizeRelH relativeFrom="margin">
              <wp14:pctWidth>0</wp14:pctWidth>
            </wp14:sizeRelH>
            <wp14:sizeRelV relativeFrom="margin">
              <wp14:pctHeight>0</wp14:pctHeight>
            </wp14:sizeRelV>
          </wp:anchor>
        </w:drawing>
      </w:r>
      <w:r w:rsidR="002302BD" w:rsidRPr="002302BD">
        <w:t>Scientific research aims to discover laws and postulate theories that can explain natural or social phenomena and build scientific knowledge. It is essential to understand that this knowledge may be imperfect or even far from the truth. Scientific knowledge is based on explaining a particular phenomenon, and some explanations tend to fit the observations better than others. The progress of science is marked by the change over time from more flawed theories to better ones through enhanced observations using more accurate instruments and more informed logical reasoning.</w:t>
      </w:r>
    </w:p>
    <w:p w14:paraId="5327CF7F" w14:textId="373C7F2B" w:rsidR="00A626FE" w:rsidRPr="000E309B" w:rsidRDefault="0062158D" w:rsidP="00620CB6">
      <w:r>
        <w:rPr>
          <w:noProof/>
        </w:rPr>
        <mc:AlternateContent>
          <mc:Choice Requires="wps">
            <w:drawing>
              <wp:anchor distT="0" distB="0" distL="114300" distR="114300" simplePos="0" relativeHeight="251880532" behindDoc="0" locked="0" layoutInCell="1" allowOverlap="1" wp14:anchorId="62249F7B" wp14:editId="6173C87D">
                <wp:simplePos x="0" y="0"/>
                <wp:positionH relativeFrom="column">
                  <wp:posOffset>0</wp:posOffset>
                </wp:positionH>
                <wp:positionV relativeFrom="paragraph">
                  <wp:posOffset>1993569</wp:posOffset>
                </wp:positionV>
                <wp:extent cx="3007995" cy="635"/>
                <wp:effectExtent l="0" t="0" r="1905" b="0"/>
                <wp:wrapSquare wrapText="bothSides"/>
                <wp:docPr id="1293415107" name="Text Box 1"/>
                <wp:cNvGraphicFramePr/>
                <a:graphic xmlns:a="http://schemas.openxmlformats.org/drawingml/2006/main">
                  <a:graphicData uri="http://schemas.microsoft.com/office/word/2010/wordprocessingShape">
                    <wps:wsp>
                      <wps:cNvSpPr txBox="1"/>
                      <wps:spPr>
                        <a:xfrm>
                          <a:off x="0" y="0"/>
                          <a:ext cx="3007995" cy="635"/>
                        </a:xfrm>
                        <a:prstGeom prst="rect">
                          <a:avLst/>
                        </a:prstGeom>
                        <a:solidFill>
                          <a:prstClr val="white"/>
                        </a:solidFill>
                        <a:ln>
                          <a:noFill/>
                        </a:ln>
                      </wps:spPr>
                      <wps:txbx>
                        <w:txbxContent>
                          <w:p w14:paraId="49D8FB8A" w14:textId="2F8CE73E" w:rsidR="003C6AC4" w:rsidRPr="00383059" w:rsidRDefault="003C6AC4" w:rsidP="003C6AC4">
                            <w:pPr>
                              <w:pStyle w:val="Caption"/>
                              <w:jc w:val="center"/>
                              <w:rPr>
                                <w:noProof/>
                              </w:rPr>
                            </w:pPr>
                            <w:r>
                              <w:t xml:space="preserve">Figure </w:t>
                            </w:r>
                            <w:r>
                              <w:fldChar w:fldCharType="begin"/>
                            </w:r>
                            <w:r>
                              <w:instrText xml:space="preserve"> SEQ Figure \* ARABIC </w:instrText>
                            </w:r>
                            <w:r>
                              <w:fldChar w:fldCharType="separate"/>
                            </w:r>
                            <w:r w:rsidR="00980002">
                              <w:rPr>
                                <w:noProof/>
                              </w:rPr>
                              <w:t>3</w:t>
                            </w:r>
                            <w:r>
                              <w:fldChar w:fldCharType="end"/>
                            </w:r>
                            <w:r>
                              <w:t xml:space="preserve">: </w:t>
                            </w:r>
                            <w:r w:rsidR="00AA5F46">
                              <w:t>Logic</w:t>
                            </w:r>
                            <w:r>
                              <w:t xml:space="preserve"> </w:t>
                            </w:r>
                            <w:r w:rsidR="00AA5F46">
                              <w:t>And</w:t>
                            </w:r>
                            <w:r>
                              <w:t xml:space="preserve"> Observation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249F7B" id="Text Box 1" o:spid="_x0000_s1031" type="#_x0000_t202" style="position:absolute;margin-left:0;margin-top:156.95pt;width:236.85pt;height:.05pt;z-index:2518805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" stroked="f">
                <v:textbox style="mso-fit-shape-to-text:t" inset="0,0,0,0">
                  <w:txbxContent>
                    <w:p w14:paraId="49D8FB8A" w14:textId="2F8CE73E" w:rsidR="003C6AC4" w:rsidRPr="00383059" w:rsidRDefault="003C6AC4" w:rsidP="003C6AC4">
                      <w:pPr>
                        <w:pStyle w:val="Caption"/>
                        <w:jc w:val="center"/>
                        <w:rPr>
                          <w:noProof/>
                        </w:rPr>
                      </w:pPr>
                      <w:r>
                        <w:t xml:space="preserve">Figure </w:t>
                      </w:r>
                      <w:r>
                        <w:fldChar w:fldCharType="begin"/>
                      </w:r>
                      <w:r>
                        <w:instrText xml:space="preserve"> SEQ Figure \* ARABIC </w:instrText>
                      </w:r>
                      <w:r>
                        <w:fldChar w:fldCharType="separate"/>
                      </w:r>
                      <w:r w:rsidR="00980002">
                        <w:rPr>
                          <w:noProof/>
                        </w:rPr>
                        <w:t>3</w:t>
                      </w:r>
                      <w:r>
                        <w:fldChar w:fldCharType="end"/>
                      </w:r>
                      <w:r>
                        <w:t xml:space="preserve">: </w:t>
                      </w:r>
                      <w:r w:rsidR="00AA5F46">
                        <w:t>Logic</w:t>
                      </w:r>
                      <w:r>
                        <w:t xml:space="preserve"> </w:t>
                      </w:r>
                      <w:r w:rsidR="00AA5F46">
                        <w:t>And</w:t>
                      </w:r>
                      <w:r>
                        <w:t xml:space="preserve"> Observation</w:t>
                      </w:r>
                    </w:p>
                  </w:txbxContent>
                </v:textbox>
                <w10:wrap type="square"/>
              </v:shape>
            </w:pict>
          </mc:Fallback>
        </mc:AlternateContent>
      </w:r>
      <w:r w:rsidR="002302BD" w:rsidRPr="002302BD">
        <w:t>Scientific laws and theories are based on the two pillars of logic and observation—and nothing else. In science, logic and observation are interrelated, and one cannot exist without the other. Logic provides meaning and significance to observation, while observation helps validate or refine logical concepts. A theory is built from logic, and observation provides evidence to support the theory. Any other means of knowledge acquisition, such as faith or authority, cannot be considered science.</w:t>
      </w:r>
    </w:p>
    <w:p w14:paraId="40EF9A63" w14:textId="09AB3D0B" w:rsidR="00D45903" w:rsidRPr="00D45903" w:rsidRDefault="00D45903" w:rsidP="004A2FD2">
      <w:pPr>
        <w:pStyle w:val="Heading3"/>
      </w:pPr>
      <w:bookmarkStart w:id="5" w:name="_Toc169156670"/>
      <w:r w:rsidRPr="00D45903">
        <w:t>The Interplay of Theory and Evidence in Scientific Research</w:t>
      </w:r>
      <w:bookmarkEnd w:id="5"/>
    </w:p>
    <w:p w14:paraId="5327CF84" w14:textId="7C1D94E6" w:rsidR="00A626FE" w:rsidRDefault="004A2FD2" w:rsidP="004A2FD2">
      <w:r w:rsidRPr="004A2FD2">
        <w:t>At the heart of scientific research lies a dynamic interplay between theory and evidence. Theory guides the investigation of phenomena, while evidence gathered by researchers further shapes and refines the underlying theory. Evidence alone, without theoretical context, amounts to mere observation rather than rigorous scientific research. Conversely, theory unsupported by evidence is little more than conjecture. The integration of theory and evidence forms the basis for two fundamental types of scientific research: theoretical and empirical.</w:t>
      </w:r>
    </w:p>
    <w:p w14:paraId="4211696A" w14:textId="28944A12" w:rsidR="00AD1A25" w:rsidRPr="000E309B" w:rsidRDefault="00AD1A25" w:rsidP="004A2FD2">
      <w:r w:rsidRPr="00AD1A25">
        <w:t xml:space="preserve">Theoretical research, also known as inductive or theory-building research, uses evidence to construct and develop abstract concepts and theories. This approach is particularly valuable when there are few existing theories in each area of study. In contrast, empirical research, also referred to as deductive or theory-testing research, assesses the fit between theories and evidence, usually </w:t>
      </w:r>
      <w:r w:rsidRPr="00AD1A25">
        <w:lastRenderedPageBreak/>
        <w:t>through a deductive process. The goal of theory-testing is not merely to evaluate a theory, but to refine, improve, and extend it based on empirical findings.</w:t>
      </w:r>
    </w:p>
    <w:p w14:paraId="551A6D92" w14:textId="77777777" w:rsidR="009069D1" w:rsidRDefault="001704C8" w:rsidP="009069D1">
      <w:pPr>
        <w:keepNext/>
        <w:spacing w:line="360" w:lineRule="auto"/>
        <w:jc w:val="center"/>
      </w:pPr>
      <w:r>
        <w:rPr>
          <w:noProof/>
        </w:rPr>
        <w:drawing>
          <wp:inline distT="0" distB="0" distL="0" distR="0" wp14:anchorId="7CE46028" wp14:editId="03D0CD01">
            <wp:extent cx="2743200" cy="13552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743200" cy="1355206"/>
                    </a:xfrm>
                    <a:prstGeom prst="rect">
                      <a:avLst/>
                    </a:prstGeom>
                    <a:noFill/>
                    <a:ln>
                      <a:noFill/>
                    </a:ln>
                  </pic:spPr>
                </pic:pic>
              </a:graphicData>
            </a:graphic>
          </wp:inline>
        </w:drawing>
      </w:r>
    </w:p>
    <w:p w14:paraId="5327CF85" w14:textId="203B9683" w:rsidR="00A626FE" w:rsidRPr="000E309B" w:rsidRDefault="009069D1" w:rsidP="009069D1">
      <w:pPr>
        <w:pStyle w:val="Caption"/>
        <w:jc w:val="center"/>
      </w:pPr>
      <w:bookmarkStart w:id="6" w:name="_Ref64785587"/>
      <w:r>
        <w:t xml:space="preserve">Figure </w:t>
      </w:r>
      <w:r w:rsidR="006D77BF">
        <w:fldChar w:fldCharType="begin"/>
      </w:r>
      <w:r w:rsidR="006D77BF">
        <w:instrText xml:space="preserve"> SEQ Figure \* ARABIC </w:instrText>
      </w:r>
      <w:r w:rsidR="006D77BF">
        <w:fldChar w:fldCharType="separate"/>
      </w:r>
      <w:r w:rsidR="00980002">
        <w:rPr>
          <w:noProof/>
        </w:rPr>
        <w:t>4</w:t>
      </w:r>
      <w:r w:rsidR="006D77BF">
        <w:rPr>
          <w:noProof/>
        </w:rPr>
        <w:fldChar w:fldCharType="end"/>
      </w:r>
      <w:bookmarkEnd w:id="6"/>
      <w:r>
        <w:t>: Scientific Research Model</w:t>
      </w:r>
    </w:p>
    <w:p w14:paraId="5327CF86" w14:textId="55C470CF" w:rsidR="00A626FE" w:rsidRDefault="00AD1A25" w:rsidP="00AD1A25">
      <w:r w:rsidRPr="00AD1A25">
        <w:t>The relationship between inductive and deductive research can be visualized as two halves of a continuously iterating cycle (Figure 4). Each iteration between theory and data leads to more refined observations and, consequently, better-developed theories. This cyclical process can also be conceptualized as a spiral, with each round of theory-building and theory-testing contributing to a progressively deeper understanding of the phenomena under investigation.</w:t>
      </w:r>
    </w:p>
    <w:p w14:paraId="16C16F75" w14:textId="77777777" w:rsidR="001B1202" w:rsidRPr="001B1202" w:rsidRDefault="001B1202" w:rsidP="001B1202">
      <w:r w:rsidRPr="001B1202">
        <w:t>It is crucial to recognize that both inductive and deductive research play indispensable roles in advancing scientific knowledge. Theories, no matter how elegant, are of limited value if they fail to align with reality. Similarly, even vast amounts of data are of little use if they do not contribute to the construction of meaningful theoretical frameworks. The most fruitful research efforts often involve a balance of theory-building and theory-testing, with the relative emphasis shifting based on the maturity of the field and the presence of competing theories. Through this iterative dance of theory and evidence, science steadily moves towards a clearer understanding of the world around us.</w:t>
      </w:r>
    </w:p>
    <w:p w14:paraId="07104156" w14:textId="4B4E7B48" w:rsidR="00FE7F18" w:rsidRDefault="009F7C1D" w:rsidP="00C36418">
      <w:r>
        <w:t xml:space="preserve">The </w:t>
      </w:r>
      <w:r w:rsidR="0012262C">
        <w:t xml:space="preserve">chapters in this book are arranged to help facilitate </w:t>
      </w:r>
      <w:r w:rsidR="00EF6DA2">
        <w:t>the understanding</w:t>
      </w:r>
      <w:r w:rsidR="0012262C">
        <w:t xml:space="preserve"> of both </w:t>
      </w:r>
      <w:r w:rsidR="00EF6DA2">
        <w:t>inductive and deductive</w:t>
      </w:r>
      <w:r w:rsidR="0012262C">
        <w:t xml:space="preserve"> </w:t>
      </w:r>
      <w:r w:rsidR="00EF6DA2">
        <w:t>research.</w:t>
      </w:r>
    </w:p>
    <w:p w14:paraId="43E6C9AB" w14:textId="77777777" w:rsidR="00FE7F18" w:rsidRDefault="00EF6DA2" w:rsidP="00C36418">
      <w:pPr>
        <w:pStyle w:val="ListParagraph"/>
        <w:numPr>
          <w:ilvl w:val="0"/>
          <w:numId w:val="140"/>
        </w:numPr>
      </w:pPr>
      <w:r>
        <w:t xml:space="preserve">Part 1, Background, contains information </w:t>
      </w:r>
      <w:r w:rsidR="00355B35">
        <w:t>pertinent to</w:t>
      </w:r>
      <w:r>
        <w:t xml:space="preserve"> all research</w:t>
      </w:r>
      <w:r w:rsidR="00355B35">
        <w:t xml:space="preserve"> methods. </w:t>
      </w:r>
    </w:p>
    <w:p w14:paraId="21D19852" w14:textId="726999D2" w:rsidR="009F7C1D" w:rsidRDefault="00355B35" w:rsidP="00C36418">
      <w:pPr>
        <w:pStyle w:val="ListParagraph"/>
        <w:numPr>
          <w:ilvl w:val="1"/>
          <w:numId w:val="140"/>
        </w:numPr>
      </w:pPr>
      <w:r>
        <w:t xml:space="preserve">Chapter 2, Foundations, describes the philosophical </w:t>
      </w:r>
      <w:r w:rsidR="00FE7F18">
        <w:t>underpinnings for research.</w:t>
      </w:r>
    </w:p>
    <w:p w14:paraId="583EFEBB" w14:textId="289FD804" w:rsidR="00FE7F18" w:rsidRDefault="00FE7F18" w:rsidP="00C36418">
      <w:pPr>
        <w:pStyle w:val="ListParagraph"/>
        <w:numPr>
          <w:ilvl w:val="1"/>
          <w:numId w:val="140"/>
        </w:numPr>
      </w:pPr>
      <w:bookmarkStart w:id="7" w:name="_Ref71557936"/>
      <w:r>
        <w:t xml:space="preserve">Chapter 3, Ethics, </w:t>
      </w:r>
      <w:r w:rsidR="00D95819">
        <w:t>takes a deep dive into the ethical principles that govern all research projects.</w:t>
      </w:r>
      <w:bookmarkEnd w:id="7"/>
    </w:p>
    <w:p w14:paraId="172EE227" w14:textId="745BE96D" w:rsidR="00D95819" w:rsidRDefault="00D95819" w:rsidP="00C36418">
      <w:pPr>
        <w:pStyle w:val="ListParagraph"/>
        <w:numPr>
          <w:ilvl w:val="1"/>
          <w:numId w:val="140"/>
        </w:numPr>
      </w:pPr>
      <w:r>
        <w:t xml:space="preserve">Chapter 4, Research Design, </w:t>
      </w:r>
      <w:r w:rsidR="00A57C89">
        <w:t>outlines the process used to design a research project regardless of the type of research involved.</w:t>
      </w:r>
    </w:p>
    <w:p w14:paraId="0516EDEB" w14:textId="105DA3A7" w:rsidR="00A57C89" w:rsidRDefault="00A57C89" w:rsidP="00C36418">
      <w:pPr>
        <w:pStyle w:val="ListParagraph"/>
        <w:numPr>
          <w:ilvl w:val="0"/>
          <w:numId w:val="140"/>
        </w:numPr>
      </w:pPr>
      <w:r>
        <w:t xml:space="preserve">Part 2, Quantitative Methods, </w:t>
      </w:r>
      <w:r w:rsidR="00551CF4">
        <w:t xml:space="preserve">contains information most appropriate for deductive (theory-testing) </w:t>
      </w:r>
      <w:r w:rsidR="00324732">
        <w:t>research.</w:t>
      </w:r>
    </w:p>
    <w:p w14:paraId="735BE561" w14:textId="1F5A840B" w:rsidR="00324732" w:rsidRDefault="00324732" w:rsidP="00C36418">
      <w:pPr>
        <w:pStyle w:val="ListParagraph"/>
        <w:numPr>
          <w:ilvl w:val="1"/>
          <w:numId w:val="140"/>
        </w:numPr>
      </w:pPr>
      <w:r>
        <w:t xml:space="preserve">Chapter 5, Defining and Measuring Concepts, </w:t>
      </w:r>
      <w:r w:rsidR="003B6191">
        <w:t>teaches how concepts can be measured</w:t>
      </w:r>
      <w:r w:rsidR="00AF620F">
        <w:t>.</w:t>
      </w:r>
    </w:p>
    <w:p w14:paraId="6E886958" w14:textId="13DD3278" w:rsidR="00AF620F" w:rsidRDefault="00AF620F" w:rsidP="00C36418">
      <w:pPr>
        <w:pStyle w:val="ListParagraph"/>
        <w:numPr>
          <w:ilvl w:val="1"/>
          <w:numId w:val="140"/>
        </w:numPr>
      </w:pPr>
      <w:r>
        <w:t>Chapter 6, Data, describes the various types of data collected and how th</w:t>
      </w:r>
      <w:r w:rsidR="00044DC0">
        <w:t>ose</w:t>
      </w:r>
      <w:r>
        <w:t xml:space="preserve"> data </w:t>
      </w:r>
      <w:r w:rsidR="00821147">
        <w:t>are</w:t>
      </w:r>
      <w:r>
        <w:t xml:space="preserve"> analyzed.</w:t>
      </w:r>
    </w:p>
    <w:p w14:paraId="129CA58D" w14:textId="2AAC911B" w:rsidR="00AF620F" w:rsidRDefault="00AF620F" w:rsidP="00C36418">
      <w:pPr>
        <w:pStyle w:val="ListParagraph"/>
        <w:numPr>
          <w:ilvl w:val="1"/>
          <w:numId w:val="140"/>
        </w:numPr>
      </w:pPr>
      <w:r>
        <w:lastRenderedPageBreak/>
        <w:t xml:space="preserve">Chapter 7, Sampling, </w:t>
      </w:r>
      <w:r w:rsidR="00483530">
        <w:t xml:space="preserve">provides </w:t>
      </w:r>
      <w:r w:rsidR="00EE50FE">
        <w:t>essential</w:t>
      </w:r>
      <w:r w:rsidR="00483530">
        <w:t xml:space="preserve"> information about how to sample a large population.</w:t>
      </w:r>
    </w:p>
    <w:p w14:paraId="03F46DB9" w14:textId="067642A6" w:rsidR="00483530" w:rsidRDefault="00483530" w:rsidP="00C36418">
      <w:pPr>
        <w:pStyle w:val="ListParagraph"/>
        <w:numPr>
          <w:ilvl w:val="1"/>
          <w:numId w:val="140"/>
        </w:numPr>
      </w:pPr>
      <w:r>
        <w:t xml:space="preserve">Chapter 8, Survey Research, contains background and numerous tips on </w:t>
      </w:r>
      <w:r w:rsidR="00EE50FE">
        <w:t>creating and conducting</w:t>
      </w:r>
      <w:r>
        <w:t xml:space="preserve"> a survey.</w:t>
      </w:r>
    </w:p>
    <w:p w14:paraId="1293A87C" w14:textId="11660974" w:rsidR="00483530" w:rsidRDefault="00483530" w:rsidP="00C36418">
      <w:pPr>
        <w:pStyle w:val="ListParagraph"/>
        <w:numPr>
          <w:ilvl w:val="1"/>
          <w:numId w:val="140"/>
        </w:numPr>
      </w:pPr>
      <w:r>
        <w:t xml:space="preserve">Chapter 9, Experimental Research, shows how experiments are </w:t>
      </w:r>
      <w:r w:rsidR="00863471">
        <w:t xml:space="preserve">used to </w:t>
      </w:r>
      <w:r w:rsidR="003A0203">
        <w:t xml:space="preserve">verify </w:t>
      </w:r>
      <w:r w:rsidR="00E30049">
        <w:t>a theory.</w:t>
      </w:r>
    </w:p>
    <w:p w14:paraId="12855E37" w14:textId="54135F65" w:rsidR="00E30049" w:rsidRDefault="00E30049" w:rsidP="00C36418">
      <w:pPr>
        <w:pStyle w:val="ListParagraph"/>
        <w:numPr>
          <w:ilvl w:val="0"/>
          <w:numId w:val="140"/>
        </w:numPr>
      </w:pPr>
      <w:r>
        <w:t xml:space="preserve">Part 3, </w:t>
      </w:r>
      <w:r w:rsidR="002A77CD">
        <w:t>Qu</w:t>
      </w:r>
      <w:r>
        <w:t xml:space="preserve">alitative Methods, contains information most appropriate </w:t>
      </w:r>
      <w:r w:rsidR="002A77CD">
        <w:t>for inductive (theory-building) research.</w:t>
      </w:r>
    </w:p>
    <w:p w14:paraId="063F9676" w14:textId="03DD75E4" w:rsidR="002A77CD" w:rsidRDefault="002A77CD" w:rsidP="00C36418">
      <w:pPr>
        <w:pStyle w:val="ListParagraph"/>
        <w:numPr>
          <w:ilvl w:val="1"/>
          <w:numId w:val="140"/>
        </w:numPr>
      </w:pPr>
      <w:r>
        <w:t xml:space="preserve">Chapter 10, Interviews, shows how to conduct </w:t>
      </w:r>
      <w:r w:rsidR="008B5417">
        <w:t>in-depth interviews to “dig down” to the root causes of some observation.</w:t>
      </w:r>
    </w:p>
    <w:p w14:paraId="62007063" w14:textId="4B970B22" w:rsidR="008B5417" w:rsidRDefault="008B5417" w:rsidP="00C36418">
      <w:pPr>
        <w:pStyle w:val="ListParagraph"/>
        <w:numPr>
          <w:ilvl w:val="1"/>
          <w:numId w:val="140"/>
        </w:numPr>
      </w:pPr>
      <w:r>
        <w:t xml:space="preserve">Chapter 11, Field Research, </w:t>
      </w:r>
      <w:r w:rsidR="008771D1">
        <w:t>investigates the methods used to “go into the field” and seek answers to questions.</w:t>
      </w:r>
    </w:p>
    <w:p w14:paraId="7C92F130" w14:textId="28BB96BC" w:rsidR="008771D1" w:rsidRDefault="008771D1" w:rsidP="00C36418">
      <w:pPr>
        <w:pStyle w:val="ListParagraph"/>
        <w:numPr>
          <w:ilvl w:val="1"/>
          <w:numId w:val="140"/>
        </w:numPr>
      </w:pPr>
      <w:r>
        <w:t xml:space="preserve">Chapter 12, Unobtrusive Research, </w:t>
      </w:r>
      <w:r w:rsidR="00230BF6">
        <w:t>teaches how to use artifacts like documents and photographs to build theories.</w:t>
      </w:r>
    </w:p>
    <w:p w14:paraId="3F92832A" w14:textId="2BD335F0" w:rsidR="00230BF6" w:rsidRDefault="00230BF6" w:rsidP="00C36418">
      <w:pPr>
        <w:pStyle w:val="ListParagraph"/>
        <w:numPr>
          <w:ilvl w:val="1"/>
          <w:numId w:val="140"/>
        </w:numPr>
      </w:pPr>
      <w:r>
        <w:t xml:space="preserve">Chapter 13, </w:t>
      </w:r>
      <w:r w:rsidR="00316C61">
        <w:t xml:space="preserve">Interpretive Research, </w:t>
      </w:r>
      <w:r w:rsidR="00406509">
        <w:t xml:space="preserve">describes how to design research that interprets </w:t>
      </w:r>
      <w:r w:rsidR="000C29E2">
        <w:t>case studies</w:t>
      </w:r>
      <w:r w:rsidR="00DC3386">
        <w:t xml:space="preserve"> of populations.</w:t>
      </w:r>
    </w:p>
    <w:p w14:paraId="60C8F028" w14:textId="2A4C2F5A" w:rsidR="00DC3386" w:rsidRDefault="00DC3386" w:rsidP="00C36418">
      <w:pPr>
        <w:pStyle w:val="ListParagraph"/>
        <w:numPr>
          <w:ilvl w:val="0"/>
          <w:numId w:val="140"/>
        </w:numPr>
      </w:pPr>
      <w:r>
        <w:t xml:space="preserve">Part </w:t>
      </w:r>
      <w:r w:rsidR="00830A39">
        <w:t>4</w:t>
      </w:r>
      <w:r>
        <w:t xml:space="preserve">, Mixed Methods, contains only </w:t>
      </w:r>
      <w:r w:rsidR="00EC1FE7">
        <w:t>C</w:t>
      </w:r>
      <w:r>
        <w:t>hapter</w:t>
      </w:r>
      <w:r w:rsidR="00EE50FE">
        <w:t xml:space="preserve"> </w:t>
      </w:r>
      <w:r w:rsidR="00EC1FE7">
        <w:t xml:space="preserve">14, </w:t>
      </w:r>
      <w:r w:rsidR="00EE50FE">
        <w:t>which</w:t>
      </w:r>
      <w:r>
        <w:t xml:space="preserve"> </w:t>
      </w:r>
      <w:r w:rsidR="00BC1460">
        <w:t>shows how to combine both deductive and inductive methods in a single research project.</w:t>
      </w:r>
    </w:p>
    <w:p w14:paraId="408AEBDB" w14:textId="5CB37B39" w:rsidR="00BC1460" w:rsidRPr="000E309B" w:rsidRDefault="00BC1460" w:rsidP="00C36418">
      <w:pPr>
        <w:pStyle w:val="ListParagraph"/>
        <w:numPr>
          <w:ilvl w:val="0"/>
          <w:numId w:val="140"/>
        </w:numPr>
      </w:pPr>
      <w:r>
        <w:t xml:space="preserve">Part </w:t>
      </w:r>
      <w:r w:rsidR="00830A39">
        <w:t>5</w:t>
      </w:r>
      <w:r>
        <w:t xml:space="preserve">, Reporting, contains only </w:t>
      </w:r>
      <w:r w:rsidR="00EC1FE7">
        <w:t>C</w:t>
      </w:r>
      <w:r>
        <w:t>hapter</w:t>
      </w:r>
      <w:r w:rsidR="00EE50FE">
        <w:t xml:space="preserve"> </w:t>
      </w:r>
      <w:r w:rsidR="00EC1FE7">
        <w:t>15, which</w:t>
      </w:r>
      <w:r w:rsidR="0061297C">
        <w:t xml:space="preserve"> teaches how to report research in</w:t>
      </w:r>
      <w:r w:rsidR="005439D0">
        <w:t xml:space="preserve"> live presentations and written papers.</w:t>
      </w:r>
    </w:p>
    <w:p w14:paraId="31C284FB" w14:textId="7901FD48" w:rsidR="001B28B0" w:rsidRPr="001B28B0" w:rsidRDefault="001B28B0" w:rsidP="001B28B0">
      <w:pPr>
        <w:pStyle w:val="Heading3"/>
      </w:pPr>
      <w:bookmarkStart w:id="8" w:name="_Toc169156671"/>
      <w:r w:rsidRPr="001B28B0">
        <w:t>The Challenges of Theory-Building and Theory-Testing</w:t>
      </w:r>
      <w:bookmarkEnd w:id="8"/>
    </w:p>
    <w:p w14:paraId="475B3667" w14:textId="7BAAD098" w:rsidR="001B28B0" w:rsidRPr="001B28B0" w:rsidRDefault="001B28B0" w:rsidP="001B28B0">
      <w:r w:rsidRPr="001B28B0">
        <w:t xml:space="preserve">Theory-building and theory-testing in business and marketing research are inherently complex due to the </w:t>
      </w:r>
      <w:r w:rsidR="004C43F0" w:rsidRPr="001B28B0">
        <w:t>often-imprecise</w:t>
      </w:r>
      <w:r w:rsidRPr="001B28B0">
        <w:t xml:space="preserve"> nature of theoretical concepts and the multitude of factors that can influence the phenomena under investigation. Refuting theories that do not work as intended can also be challenging, as evidenced by examples from economics. Karl Marx's theory of communism, for instance, was upheld for decades as an effective economic system before it was eventually discredited as inferior to capitalism in promoting growth. This shift was reflected in the gradual move towards capitalism and private enterprises in communist economies like the Soviet Union and China. However, the recent collapse of the mortgage and financial industries in the United States highlights the flaws in capitalism and challenges the assumption that it consistently fosters economic growth and social welfare.</w:t>
      </w:r>
    </w:p>
    <w:p w14:paraId="27F1D4BF" w14:textId="77777777" w:rsidR="004C43F0" w:rsidRPr="004C43F0" w:rsidRDefault="004C43F0" w:rsidP="004C43F0">
      <w:r w:rsidRPr="004C43F0">
        <w:t>These examples underscore the idea that, unlike theories in the natural sciences, theories in business and marketing are rarely perfect. This imperfection, however, presents numerous opportunities for researchers to refine existing theories or develop alternative ones that better explain and predict the phenomena of interest. The complex nature of business and marketing phenomena, coupled with the challenges in developing and testing theories, heightens the importance of both methodological and theoretical skills in conducting scientific research in these fields.</w:t>
      </w:r>
    </w:p>
    <w:p w14:paraId="4EC4A577" w14:textId="77777777" w:rsidR="004C43F0" w:rsidRDefault="004C43F0" w:rsidP="004C43F0">
      <w:r>
        <w:lastRenderedPageBreak/>
        <w:t>Methodological skills, or the "know-how" of research, are relatively standard across disciplines and can be readily acquired through various educational programs. In contrast, theoretical skills, or the "know-what" of research, are considerably more challenging to master. These skills require years of observation, reflection, and hands-on experience, as they are largely tacit and cannot be taught in a traditional sense. The most exceptional scientists throughout history, such as Galileo, Newton, and Einstein, were renowned for their mastery of theoretical skills and the groundbreaking theories they postulated, which transformed the course of science.</w:t>
      </w:r>
    </w:p>
    <w:p w14:paraId="5327CF88" w14:textId="6A7F62F2" w:rsidR="00A626FE" w:rsidRDefault="004C43F0" w:rsidP="004C43F0">
      <w:r>
        <w:t>In the context of business and marketing research, the development of strong theoretical skills is essential for advancing knowledge and understanding of complex phenomena. By honing these skills and combining them with robust methodological approaches, researchers can contribute to the refinement of existing theories and the development of new ones, ultimately driving progress in these dynamic and multifaceted fields.</w:t>
      </w:r>
    </w:p>
    <w:p w14:paraId="107C2653" w14:textId="77777777" w:rsidR="00976D0F" w:rsidRPr="00976D0F" w:rsidRDefault="00976D0F" w:rsidP="00D74E71">
      <w:pPr>
        <w:pStyle w:val="Heading3"/>
      </w:pPr>
      <w:bookmarkStart w:id="9" w:name="_Toc169156672"/>
      <w:r w:rsidRPr="00976D0F">
        <w:t>The Scientific Method: A Standardized Approach to Building Knowledge</w:t>
      </w:r>
      <w:bookmarkEnd w:id="9"/>
    </w:p>
    <w:p w14:paraId="6B9F58BE" w14:textId="52A2B2FC" w:rsidR="00D74E71" w:rsidRDefault="00D74E71" w:rsidP="00D74E71">
      <w:r>
        <w:t>Science is knowledge acquired through a rigorous and systematic process known as the scientific method. To understand what makes knowledge truly scientific, it is essential to define the key elements of this method. The scientific method refers to a standardized set of techniques for building scientific knowledge, including making valid observations, interpreting results, and generalizing those results. This method enables researchers to test preexisting theories and prior findings independently and impartially, subjecting them to open debate, modifications, or enhancements.</w:t>
      </w:r>
    </w:p>
    <w:p w14:paraId="6C6478EC" w14:textId="19C1DC83" w:rsidR="00D74E71" w:rsidRDefault="00D74E71" w:rsidP="00D74E71">
      <w:r>
        <w:t>For a process to be considered scientific, it must satisfy four crucial characteristics:</w:t>
      </w:r>
    </w:p>
    <w:p w14:paraId="76D4837C" w14:textId="05D7284F" w:rsidR="00D74E71" w:rsidRDefault="00EA338A" w:rsidP="0009774B">
      <w:pPr>
        <w:pStyle w:val="ListParagraph"/>
        <w:numPr>
          <w:ilvl w:val="0"/>
          <w:numId w:val="141"/>
        </w:numPr>
      </w:pPr>
      <w:r>
        <w:rPr>
          <w:noProof/>
        </w:rPr>
        <mc:AlternateContent>
          <mc:Choice Requires="wps">
            <w:drawing>
              <wp:anchor distT="0" distB="0" distL="114300" distR="114300" simplePos="0" relativeHeight="251882580" behindDoc="0" locked="0" layoutInCell="1" allowOverlap="1" wp14:anchorId="2A321300" wp14:editId="158E817F">
                <wp:simplePos x="0" y="0"/>
                <wp:positionH relativeFrom="column">
                  <wp:posOffset>1533525</wp:posOffset>
                </wp:positionH>
                <wp:positionV relativeFrom="paragraph">
                  <wp:posOffset>1730375</wp:posOffset>
                </wp:positionV>
                <wp:extent cx="2870835" cy="635"/>
                <wp:effectExtent l="0" t="0" r="0" b="0"/>
                <wp:wrapTopAndBottom/>
                <wp:docPr id="1751656424" name="Text Box 1"/>
                <wp:cNvGraphicFramePr/>
                <a:graphic xmlns:a="http://schemas.openxmlformats.org/drawingml/2006/main">
                  <a:graphicData uri="http://schemas.microsoft.com/office/word/2010/wordprocessingShape">
                    <wps:wsp>
                      <wps:cNvSpPr txBox="1"/>
                      <wps:spPr>
                        <a:xfrm>
                          <a:off x="0" y="0"/>
                          <a:ext cx="2870835" cy="635"/>
                        </a:xfrm>
                        <a:prstGeom prst="rect">
                          <a:avLst/>
                        </a:prstGeom>
                        <a:solidFill>
                          <a:prstClr val="white"/>
                        </a:solidFill>
                        <a:ln>
                          <a:noFill/>
                        </a:ln>
                      </wps:spPr>
                      <wps:txbx>
                        <w:txbxContent>
                          <w:p w14:paraId="6DEAB7CA" w14:textId="1BC26454" w:rsidR="00EA338A" w:rsidRPr="00396B36" w:rsidRDefault="00EA338A" w:rsidP="00EA338A">
                            <w:pPr>
                              <w:pStyle w:val="Caption"/>
                              <w:jc w:val="center"/>
                              <w:rPr>
                                <w:noProof/>
                              </w:rPr>
                            </w:pPr>
                            <w:r>
                              <w:t xml:space="preserve">Figure </w:t>
                            </w:r>
                            <w:r>
                              <w:fldChar w:fldCharType="begin"/>
                            </w:r>
                            <w:r>
                              <w:instrText xml:space="preserve"> SEQ Figure \* ARABIC </w:instrText>
                            </w:r>
                            <w:r>
                              <w:fldChar w:fldCharType="separate"/>
                            </w:r>
                            <w:r w:rsidR="00980002">
                              <w:rPr>
                                <w:noProof/>
                              </w:rPr>
                              <w:t>5</w:t>
                            </w:r>
                            <w:r>
                              <w:fldChar w:fldCharType="end"/>
                            </w:r>
                            <w:r>
                              <w:t xml:space="preserve">: </w:t>
                            </w:r>
                            <w:r w:rsidR="0092201F">
                              <w:t xml:space="preserve">Research </w:t>
                            </w:r>
                            <w:r>
                              <w:t>Characteristics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321300" id="_x0000_s1032" type="#_x0000_t202" style="position:absolute;left:0;text-align:left;margin-left:120.75pt;margin-top:136.25pt;width:226.05pt;height:.05pt;z-index:2518825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" stroked="f">
                <v:textbox style="mso-fit-shape-to-text:t" inset="0,0,0,0">
                  <w:txbxContent>
                    <w:p w14:paraId="6DEAB7CA" w14:textId="1BC26454" w:rsidR="00EA338A" w:rsidRPr="00396B36" w:rsidRDefault="00EA338A" w:rsidP="00EA338A">
                      <w:pPr>
                        <w:pStyle w:val="Caption"/>
                        <w:jc w:val="center"/>
                        <w:rPr>
                          <w:noProof/>
                        </w:rPr>
                      </w:pPr>
                      <w:r>
                        <w:t xml:space="preserve">Figure </w:t>
                      </w:r>
                      <w:r>
                        <w:fldChar w:fldCharType="begin"/>
                      </w:r>
                      <w:r>
                        <w:instrText xml:space="preserve"> SEQ Figure \* ARABIC </w:instrText>
                      </w:r>
                      <w:r>
                        <w:fldChar w:fldCharType="separate"/>
                      </w:r>
                      <w:r w:rsidR="00980002">
                        <w:rPr>
                          <w:noProof/>
                        </w:rPr>
                        <w:t>5</w:t>
                      </w:r>
                      <w:r>
                        <w:fldChar w:fldCharType="end"/>
                      </w:r>
                      <w:r>
                        <w:t xml:space="preserve">: </w:t>
                      </w:r>
                      <w:r w:rsidR="0092201F">
                        <w:t xml:space="preserve">Research </w:t>
                      </w:r>
                      <w:r>
                        <w:t>Characteristics</w:t>
                      </w:r>
                    </w:p>
                  </w:txbxContent>
                </v:textbox>
                <w10:wrap type="topAndBottom"/>
              </v:shape>
            </w:pict>
          </mc:Fallback>
        </mc:AlternateContent>
      </w:r>
      <w:r w:rsidR="005323BA" w:rsidRPr="008E6128">
        <w:rPr>
          <w:noProof/>
        </w:rPr>
        <w:drawing>
          <wp:anchor distT="0" distB="0" distL="114300" distR="114300" simplePos="0" relativeHeight="251800660" behindDoc="0" locked="0" layoutInCell="1" allowOverlap="1" wp14:anchorId="01D2D61B" wp14:editId="61268112">
            <wp:simplePos x="0" y="0"/>
            <wp:positionH relativeFrom="column">
              <wp:posOffset>1533525</wp:posOffset>
            </wp:positionH>
            <wp:positionV relativeFrom="line">
              <wp:posOffset>0</wp:posOffset>
            </wp:positionV>
            <wp:extent cx="2871216" cy="1673352"/>
            <wp:effectExtent l="0" t="0" r="0" b="22225"/>
            <wp:wrapTopAndBottom/>
            <wp:docPr id="2318" name="Diagram 23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r w:rsidR="00D74E71">
        <w:t>Replicability: A scientific study must be designed and described in such a way that other researchers can independently replicate it and obtain similar, if not identical, results. This ensures that the findings are reliable and not merely the result of chance or unique circumstances.</w:t>
      </w:r>
    </w:p>
    <w:p w14:paraId="1173A547" w14:textId="77777777" w:rsidR="00D74E71" w:rsidRDefault="00D74E71" w:rsidP="0009774B">
      <w:pPr>
        <w:pStyle w:val="ListParagraph"/>
        <w:numPr>
          <w:ilvl w:val="0"/>
          <w:numId w:val="141"/>
        </w:numPr>
      </w:pPr>
      <w:r>
        <w:t xml:space="preserve">Precision: Theoretical concepts, which are often abstract and difficult to measure, must be defined with enough precision that others can use those definitions to measure and test </w:t>
      </w:r>
      <w:r>
        <w:lastRenderedPageBreak/>
        <w:t>those concepts. This allows for the accurate and consistent application of the concepts across different studies and research contexts.</w:t>
      </w:r>
    </w:p>
    <w:p w14:paraId="19ABEA25" w14:textId="7A3D7A76" w:rsidR="00D74E71" w:rsidRDefault="00D74E71" w:rsidP="0009774B">
      <w:pPr>
        <w:pStyle w:val="ListParagraph"/>
        <w:numPr>
          <w:ilvl w:val="0"/>
          <w:numId w:val="141"/>
        </w:numPr>
      </w:pPr>
      <w:r>
        <w:t>Falsifiability: A scientific theory must be stated in a way that it can be disproven or falsified. Theories that cannot be tested or falsified are not considered scientific, and any knowledge gained from them is not scientific knowledge. For example, Sigmund Freud's work on psychoanalysis, while potentially useful in treating specific ailments, is not considered a scientific theory because its concepts are not precisely defined and cannot be easily tested or falsified.</w:t>
      </w:r>
    </w:p>
    <w:p w14:paraId="52AF874A" w14:textId="271A7A0E" w:rsidR="00D74E71" w:rsidRDefault="00D74E71" w:rsidP="0009774B">
      <w:pPr>
        <w:pStyle w:val="ListParagraph"/>
        <w:numPr>
          <w:ilvl w:val="0"/>
          <w:numId w:val="141"/>
        </w:numPr>
      </w:pPr>
      <w:r>
        <w:t>Parsimony: When multiple explanations exist for a phenomenon, scientists must always accept the simplest or most logically straightforward explanation. This principle, known as parsimony or "Occam's razor," prevents scientists from pursuing overly complex or outlandish theories that may attempt to explain everything but ultimately prove to be unfounded or untestable. By adhering to parsimony, scientists can focus on developing theories that are both comprehensive and grounded in empirical evidence.</w:t>
      </w:r>
    </w:p>
    <w:p w14:paraId="5327CF8F" w14:textId="0249C4E9" w:rsidR="00A626FE" w:rsidRDefault="00D74E71" w:rsidP="00AF19DA">
      <w:r>
        <w:t>These four characteristics serve as the foundation of the scientific method, ensuring that the knowledge generated through this process is valid, reliable, and open to further scrutiny and refinement. By understanding and adhering to these principles, researchers in various fields, including business and consumer behavior, can contribute to the growing body of scientific knowledge and inform evidence-based decision-making.</w:t>
      </w:r>
    </w:p>
    <w:p w14:paraId="08B1AFBD" w14:textId="77777777" w:rsidR="008479E9" w:rsidRPr="008479E9" w:rsidRDefault="008479E9" w:rsidP="008479E9">
      <w:pPr>
        <w:pStyle w:val="Heading3"/>
      </w:pPr>
      <w:bookmarkStart w:id="10" w:name="_Toc169156673"/>
      <w:r w:rsidRPr="008479E9">
        <w:t>The Scope and Limitations of the Scientific Method</w:t>
      </w:r>
      <w:bookmarkEnd w:id="10"/>
    </w:p>
    <w:p w14:paraId="19193F5D" w14:textId="77777777" w:rsidR="00AF19DA" w:rsidRDefault="00AF19DA" w:rsidP="00AF19DA">
      <w:r>
        <w:t>The scientific method is the foundation of any field that can be considered a science. Disciplines that do not allow for the testing of basic laws or theories using the scientific method cannot be classified as science. For example, while art, music, literature, humanities, and law are creative and valuable pursuits, they are not considered scientific because their ideas and principles cannot be tested by independent observers using the four characteristics of scientific research: replicability, precision, falsifiability, and parsimony.</w:t>
      </w:r>
    </w:p>
    <w:p w14:paraId="42E0D7C7" w14:textId="77777777" w:rsidR="00AF19DA" w:rsidRDefault="00AF19DA" w:rsidP="00AF19DA">
      <w:r>
        <w:t>In the context of business and marketing, the scientific method encompasses both quantitative and qualitative research techniques. Quantitative methods, such as surveys and experiments, operate primarily at the practical level, analyzing observations to determine if they support a given theory. These methods are essential for testing and validating existing theories.</w:t>
      </w:r>
    </w:p>
    <w:p w14:paraId="38783F5F" w14:textId="77777777" w:rsidR="00AF19DA" w:rsidRDefault="00AF19DA" w:rsidP="00AF19DA">
      <w:r>
        <w:t>On the other hand, qualitative research methods, like interviews and field research, are crucial for developing new theories. These methods often employ a "grounded" technique, generating theories based on the analysis of empirical data. The development of theory through qualitative research is often the more challenging aspect of scientific research in business and marketing.</w:t>
      </w:r>
    </w:p>
    <w:p w14:paraId="14BA9F0C" w14:textId="77777777" w:rsidR="00AF19DA" w:rsidRDefault="00AF19DA" w:rsidP="00AF19DA">
      <w:r>
        <w:t xml:space="preserve">It is important to note that the natural sciences differ from the social sciences in several key respects. Natural sciences, such as physics, are exact, accurate, deterministic, and independent of the person making the observations. For instance, a scientific experiment measuring the speed </w:t>
      </w:r>
      <w:r>
        <w:lastRenderedPageBreak/>
        <w:t>of sound through a particular medium should yield the same results regardless of the time or place of the experiment.</w:t>
      </w:r>
    </w:p>
    <w:p w14:paraId="45125EF7" w14:textId="77777777" w:rsidR="00AF19DA" w:rsidRDefault="00AF19DA" w:rsidP="00AF19DA">
      <w:r>
        <w:t>In contrast, social sciences, including business and marketing, tend to be more ambiguous and subject to variability. The outcomes of social science research may be influenced by factors such as the researcher's background and experience, the measurement indices used, and the interpretation of those measures. This inherent ambiguity is evident in the lack of consensus among economists on issues such as the impact of immigration or the optimal allocation of resources for reducing carbon emissions.</w:t>
      </w:r>
    </w:p>
    <w:p w14:paraId="5327CF94" w14:textId="5177F759" w:rsidR="00A626FE" w:rsidRPr="000E309B" w:rsidRDefault="00AF19DA" w:rsidP="00F004D3">
      <w:r>
        <w:t>Researchers in business and marketing must be prepared to navigate the uncertainty and potential for error that comes with working in the social sciences. While the scientific method provides a robust framework for inquiry, the complexity of human behavior and social systems introduces a level of ambiguity that is not typically encountered in the natural sciences. By understanding and embracing this ambiguity, researchers can develop more nuanced and comprehensive theories that accurately reflect the intricacies of consumer behavior and business dynamics.</w:t>
      </w:r>
    </w:p>
    <w:p w14:paraId="5327CF95" w14:textId="24A21C45" w:rsidR="00A626FE" w:rsidRPr="000E309B" w:rsidRDefault="00F44616" w:rsidP="00F44616">
      <w:pPr>
        <w:pStyle w:val="Heading3"/>
      </w:pPr>
      <w:bookmarkStart w:id="11" w:name="_Toc169156674"/>
      <w:r w:rsidRPr="000E309B">
        <w:t xml:space="preserve">Types </w:t>
      </w:r>
      <w:r w:rsidR="00282E70">
        <w:t>o</w:t>
      </w:r>
      <w:r w:rsidRPr="000E309B">
        <w:t>f Science Research</w:t>
      </w:r>
      <w:bookmarkEnd w:id="11"/>
    </w:p>
    <w:p w14:paraId="5327CF96" w14:textId="614EADA6" w:rsidR="00A626FE" w:rsidRDefault="00D14B33" w:rsidP="00F004D3">
      <w:r w:rsidRPr="000E309B">
        <w:t>Depending on the purpose of research, scientific research projects can be grouped into exploratory, descriptive, and explanatory research.</w:t>
      </w:r>
      <w:r w:rsidR="00060A07" w:rsidRPr="00060A07">
        <w:rPr>
          <w:noProof/>
        </w:rPr>
        <w:t xml:space="preserve"> </w:t>
      </w:r>
    </w:p>
    <w:p w14:paraId="4B7BBFFF" w14:textId="2268AA86" w:rsidR="005A30F6" w:rsidRPr="000E309B" w:rsidRDefault="0069671C" w:rsidP="000E309B">
      <w:pPr>
        <w:spacing w:line="360" w:lineRule="auto"/>
      </w:pPr>
      <w:r>
        <w:rPr>
          <w:noProof/>
        </w:rPr>
        <mc:AlternateContent>
          <mc:Choice Requires="wps">
            <w:drawing>
              <wp:anchor distT="0" distB="0" distL="114300" distR="114300" simplePos="0" relativeHeight="251658302" behindDoc="0" locked="0" layoutInCell="1" allowOverlap="1" wp14:anchorId="37C69A7C" wp14:editId="328653C9">
                <wp:simplePos x="0" y="0"/>
                <wp:positionH relativeFrom="column">
                  <wp:posOffset>1929765</wp:posOffset>
                </wp:positionH>
                <wp:positionV relativeFrom="paragraph">
                  <wp:posOffset>2072005</wp:posOffset>
                </wp:positionV>
                <wp:extent cx="2084705" cy="635"/>
                <wp:effectExtent l="0" t="0" r="0" b="0"/>
                <wp:wrapTopAndBottom/>
                <wp:docPr id="118" name="Text Box 118"/>
                <wp:cNvGraphicFramePr/>
                <a:graphic xmlns:a="http://schemas.openxmlformats.org/drawingml/2006/main">
                  <a:graphicData uri="http://schemas.microsoft.com/office/word/2010/wordprocessingShape">
                    <wps:wsp>
                      <wps:cNvSpPr txBox="1"/>
                      <wps:spPr>
                        <a:xfrm>
                          <a:off x="0" y="0"/>
                          <a:ext cx="2084705" cy="635"/>
                        </a:xfrm>
                        <a:prstGeom prst="rect">
                          <a:avLst/>
                        </a:prstGeom>
                        <a:solidFill>
                          <a:prstClr val="white"/>
                        </a:solidFill>
                        <a:ln>
                          <a:noFill/>
                        </a:ln>
                      </wps:spPr>
                      <wps:txbx>
                        <w:txbxContent>
                          <w:p w14:paraId="7A4E701C" w14:textId="073FC339" w:rsidR="003610E3" w:rsidRDefault="003610E3" w:rsidP="0068337E">
                            <w:pPr>
                              <w:pStyle w:val="Caption"/>
                              <w:jc w:val="center"/>
                              <w:rPr>
                                <w:noProof/>
                              </w:rPr>
                            </w:pPr>
                            <w:r>
                              <w:t xml:space="preserve">Figure </w:t>
                            </w:r>
                            <w:r w:rsidR="006D77BF">
                              <w:fldChar w:fldCharType="begin"/>
                            </w:r>
                            <w:r w:rsidR="006D77BF">
                              <w:instrText xml:space="preserve"> SEQ Figure \* ARABIC </w:instrText>
                            </w:r>
                            <w:r w:rsidR="006D77BF">
                              <w:fldChar w:fldCharType="separate"/>
                            </w:r>
                            <w:r w:rsidR="00980002">
                              <w:rPr>
                                <w:noProof/>
                              </w:rPr>
                              <w:t>6</w:t>
                            </w:r>
                            <w:r w:rsidR="006D77BF">
                              <w:rPr>
                                <w:noProof/>
                              </w:rPr>
                              <w:fldChar w:fldCharType="end"/>
                            </w:r>
                            <w:r>
                              <w:t xml:space="preserve">: </w:t>
                            </w:r>
                            <w:r w:rsidRPr="00BE0D43">
                              <w:t>Three Types of Scientific Research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C69A7C" id="Text Box 118" o:spid="_x0000_s1033" type="#_x0000_t202" style="position:absolute;margin-left:151.95pt;margin-top:163.15pt;width:164.15pt;height:.05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" stroked="f">
                <v:textbox style="mso-fit-shape-to-text:t" inset="0,0,0,0">
                  <w:txbxContent>
                    <w:p w14:paraId="7A4E701C" w14:textId="073FC339" w:rsidR="003610E3" w:rsidRDefault="003610E3" w:rsidP="0068337E">
                      <w:pPr>
                        <w:pStyle w:val="Caption"/>
                        <w:jc w:val="center"/>
                        <w:rPr>
                          <w:noProof/>
                        </w:rPr>
                      </w:pPr>
                      <w:r>
                        <w:t xml:space="preserve">Figure </w:t>
                      </w:r>
                      <w:r w:rsidR="006D77BF">
                        <w:fldChar w:fldCharType="begin"/>
                      </w:r>
                      <w:r w:rsidR="006D77BF">
                        <w:instrText xml:space="preserve"> SEQ Figure \* ARABIC </w:instrText>
                      </w:r>
                      <w:r w:rsidR="006D77BF">
                        <w:fldChar w:fldCharType="separate"/>
                      </w:r>
                      <w:r w:rsidR="00980002">
                        <w:rPr>
                          <w:noProof/>
                        </w:rPr>
                        <w:t>6</w:t>
                      </w:r>
                      <w:r w:rsidR="006D77BF">
                        <w:rPr>
                          <w:noProof/>
                        </w:rPr>
                        <w:fldChar w:fldCharType="end"/>
                      </w:r>
                      <w:r>
                        <w:t xml:space="preserve">: </w:t>
                      </w:r>
                      <w:r w:rsidRPr="00BE0D43">
                        <w:t>Three Types of Scientific Research</w:t>
                      </w:r>
                    </w:p>
                  </w:txbxContent>
                </v:textbox>
                <w10:wrap type="topAndBottom"/>
              </v:shape>
            </w:pict>
          </mc:Fallback>
        </mc:AlternateContent>
      </w:r>
      <w:r w:rsidR="00060A07">
        <w:rPr>
          <w:noProof/>
        </w:rPr>
        <w:drawing>
          <wp:anchor distT="0" distB="0" distL="114300" distR="114300" simplePos="0" relativeHeight="251804756" behindDoc="0" locked="0" layoutInCell="1" allowOverlap="1" wp14:anchorId="1528A191" wp14:editId="7FC784A9">
            <wp:simplePos x="0" y="0"/>
            <wp:positionH relativeFrom="column">
              <wp:align>center</wp:align>
            </wp:positionH>
            <wp:positionV relativeFrom="paragraph">
              <wp:posOffset>0</wp:posOffset>
            </wp:positionV>
            <wp:extent cx="3419856" cy="1993392"/>
            <wp:effectExtent l="0" t="0" r="0" b="26035"/>
            <wp:wrapTopAndBottom/>
            <wp:docPr id="258016" name="Diagram 2580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p>
    <w:p w14:paraId="16C99454" w14:textId="58CC4AAE" w:rsidR="00CC5D54" w:rsidRPr="00CC5D54" w:rsidRDefault="00CC5D54" w:rsidP="00CC5D54">
      <w:pPr>
        <w:pStyle w:val="Heading4"/>
      </w:pPr>
      <w:r w:rsidRPr="00CC5D54">
        <w:lastRenderedPageBreak/>
        <w:t>Exploratory Research: Scoping Out New Areas of Inquiry</w:t>
      </w:r>
    </w:p>
    <w:p w14:paraId="110862FA" w14:textId="3059DE7D" w:rsidR="00E0645C" w:rsidRDefault="00E0645C" w:rsidP="00E0645C">
      <w:r>
        <w:rPr>
          <w:noProof/>
        </w:rPr>
        <w:drawing>
          <wp:anchor distT="0" distB="0" distL="114300" distR="114300" simplePos="0" relativeHeight="251805780" behindDoc="0" locked="0" layoutInCell="1" allowOverlap="1" wp14:anchorId="31C45A25" wp14:editId="36C63B75">
            <wp:simplePos x="0" y="0"/>
            <wp:positionH relativeFrom="column">
              <wp:align>right</wp:align>
            </wp:positionH>
            <wp:positionV relativeFrom="paragraph">
              <wp:posOffset>0</wp:posOffset>
            </wp:positionV>
            <wp:extent cx="1371600" cy="1371600"/>
            <wp:effectExtent l="19050" t="19050" r="19050" b="19050"/>
            <wp:wrapSquare wrapText="bothSides"/>
            <wp:docPr id="258017" name="Picture 25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7" name="Picture 25801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In the context of the scientific method, exploratory research plays a crucial role in investigating new areas of inquiry. This type of research is often conducted when researchers are beginning to explore a particular phenomenon, problem, or behavior, and seek to gain a broad understanding of its nature and extent. The main goals of exploratory research are:</w:t>
      </w:r>
    </w:p>
    <w:p w14:paraId="1BAD7298" w14:textId="77777777" w:rsidR="00E0645C" w:rsidRDefault="00E0645C" w:rsidP="00E0645C">
      <w:r>
        <w:t>To scope out the magnitude or extent of a particular phenomenon, problem, or behavior: Exploratory research helps researchers determine how widespread or significant an issue is, providing a foundation for further investigation.</w:t>
      </w:r>
    </w:p>
    <w:p w14:paraId="15A6E27D" w14:textId="77777777" w:rsidR="00E0645C" w:rsidRDefault="00E0645C" w:rsidP="001D583E">
      <w:r>
        <w:t>To generate initial ideas (or "hunches") about that phenomenon: By examining the phenomenon from various angles, exploratory research can help researchers develop preliminary hypotheses or theories about its causes, effects, and potential solutions.</w:t>
      </w:r>
    </w:p>
    <w:p w14:paraId="7433AE19" w14:textId="77777777" w:rsidR="00E0645C" w:rsidRDefault="00E0645C" w:rsidP="001D583E">
      <w:r>
        <w:t>To test the feasibility of undertaking a more extensive study regarding that phenomenon: Exploratory research can help researchers assess whether a more comprehensive study is warranted, and if so, what resources and methods may be required to conduct such a study effectively.</w:t>
      </w:r>
    </w:p>
    <w:p w14:paraId="20A81941" w14:textId="77777777" w:rsidR="00E0645C" w:rsidRDefault="00E0645C" w:rsidP="001D583E">
      <w:r>
        <w:t>To illustrate the application of exploratory research, consider a scenario where the citizens of a country are generally dissatisfied with governmental policies during an economic recession. In this case, exploratory research may be conducted to measure the extent of citizens' dissatisfaction, examine how this dissatisfaction is manifested, and investigate the presumed causes of such dissatisfaction. This research may involve analyzing reported economic indicators like gross domestic product (GDP), unemployment rates, and the consumer price index.</w:t>
      </w:r>
    </w:p>
    <w:p w14:paraId="2EEC1551" w14:textId="77777777" w:rsidR="00E0645C" w:rsidRDefault="00E0645C" w:rsidP="001D583E">
      <w:r>
        <w:t>While exploratory research may not yield a highly accurate or comprehensive understanding of the target problem, it can provide valuable insights into the nature and extent of the issue. These insights can serve as a foundation for more in-depth research, such as surveys or interviews with citizens to gather detailed opinions on governmental policies and their impact on individuals' lives.</w:t>
      </w:r>
    </w:p>
    <w:p w14:paraId="77655F0F" w14:textId="77777777" w:rsidR="00E0645C" w:rsidRDefault="00E0645C" w:rsidP="001D583E">
      <w:r>
        <w:t>Moreover, the findings from exploratory research can help policymakers and other stakeholders identify areas that require urgent attention and guide the development of more targeted and effective interventions. For instance, if exploratory research reveals that citizens' dissatisfaction is primarily driven by high unemployment rates, policymakers may prioritize job creation initiatives and workforce development programs.</w:t>
      </w:r>
    </w:p>
    <w:p w14:paraId="5327CF9C" w14:textId="2B3A019B" w:rsidR="00A626FE" w:rsidRPr="000E309B" w:rsidRDefault="00E0645C" w:rsidP="001D583E">
      <w:r>
        <w:t>In summary, exploratory research is an essential tool for researchers seeking to investigate new areas of inquiry and gain a broad understanding of complex phenomena. By scoping out the extent of a problem, generating initial ideas, and testing the feasibility of further study, exploratory research lays the groundwork for more focused and impactful research efforts.</w:t>
      </w:r>
    </w:p>
    <w:p w14:paraId="43DDFA33" w14:textId="057D4F74" w:rsidR="006A1F3D" w:rsidRPr="006A1F3D" w:rsidRDefault="00044DB8" w:rsidP="00BC5520">
      <w:pPr>
        <w:pStyle w:val="Heading4"/>
      </w:pPr>
      <w:r>
        <w:rPr>
          <w:noProof/>
        </w:rPr>
        <w:lastRenderedPageBreak/>
        <w:drawing>
          <wp:anchor distT="0" distB="0" distL="114300" distR="114300" simplePos="0" relativeHeight="251806804" behindDoc="0" locked="0" layoutInCell="1" allowOverlap="1" wp14:anchorId="081CEB2E" wp14:editId="23094C70">
            <wp:simplePos x="0" y="0"/>
            <wp:positionH relativeFrom="column">
              <wp:align>right</wp:align>
            </wp:positionH>
            <wp:positionV relativeFrom="paragraph">
              <wp:posOffset>0</wp:posOffset>
            </wp:positionV>
            <wp:extent cx="1371600" cy="1371600"/>
            <wp:effectExtent l="19050" t="19050" r="19050" b="19050"/>
            <wp:wrapSquare wrapText="bothSides"/>
            <wp:docPr id="258018" name="Picture 258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8" name="Picture 25801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A1F3D" w:rsidRPr="006A1F3D">
        <w:t>Descriptive Research: Observing and Documenting Phenomena</w:t>
      </w:r>
    </w:p>
    <w:p w14:paraId="7B6C98DB" w14:textId="652CDF3F" w:rsidR="004C320E" w:rsidRDefault="004C320E" w:rsidP="004C320E">
      <w:r>
        <w:t>While exploratory research aims to scope out the extent of a phenomenon and generate initial ideas, descriptive research focuses on making careful observations and detailed documentation of a phenomenon of interest. Unlike casual observations made by untrained individuals, descriptive research relies on the scientific method to ensure the reliability and validity of its findings.</w:t>
      </w:r>
    </w:p>
    <w:p w14:paraId="4378B936" w14:textId="77777777" w:rsidR="004C320E" w:rsidRDefault="004C320E" w:rsidP="004C320E">
      <w:r>
        <w:t>One prominent example of descriptive research is the tabulation of demographic statistics by the United States Census Bureau. The Census Bureau uses validated instruments to estimate factors such as employment by sector, population growth, and income levels. When changes are made to the measuring instruments, the Census Bureau provides estimates both with and without the changed instrumentation, allowing readers to make fair before-and-after comparisons of population or employment trends.</w:t>
      </w:r>
    </w:p>
    <w:p w14:paraId="2F204534" w14:textId="77777777" w:rsidR="004C320E" w:rsidRDefault="004C320E" w:rsidP="004C320E">
      <w:r>
        <w:t>Descriptive research has a wide range of applications across various fields. For instance, sociologists may conduct descriptive research to chronicle reports of gang activities among adolescent youth or to study the persistence of religious, cultural, or ethnic practices in select communities. Political scientists may use descriptive research to examine the role of technologies in the spread of democracy movements, documenting how social media and other digital platforms facilitate the organization and mobilization of activists.</w:t>
      </w:r>
    </w:p>
    <w:p w14:paraId="4D81988C" w14:textId="77777777" w:rsidR="004C320E" w:rsidRDefault="004C320E" w:rsidP="004C320E">
      <w:r>
        <w:t>In each of these cases, descriptive research provides a detailed and accurate picture of the phenomenon under study, enabling researchers to identify patterns, trends, and relationships that may not be immediately apparent through casual observation. By adhering to the scientific method and using validated instruments and procedures, descriptive research contributes to the growing body of reliable knowledge about the world around us.</w:t>
      </w:r>
    </w:p>
    <w:p w14:paraId="6EE17E2B" w14:textId="77777777" w:rsidR="004C320E" w:rsidRDefault="004C320E" w:rsidP="004C320E">
      <w:r>
        <w:t>It is important to note that while descriptive research is essential for documenting and understanding phenomena, it does not aim to explain the underlying causes or mechanisms behind those phenomena. This is where explanatory research comes into play, seeking to identify the factors that contribute to or influence the observed patterns and trends.</w:t>
      </w:r>
    </w:p>
    <w:p w14:paraId="5327CF9F" w14:textId="5B1AD92E" w:rsidR="00A626FE" w:rsidRPr="000E309B" w:rsidRDefault="004C320E" w:rsidP="004C320E">
      <w:r>
        <w:t>In summary, descriptive research is a vital component of the scientific process, providing a rigorous and systematic approach to observing and documenting phenomena of interest. By generating reliable and detailed accounts of various aspects of the world, descriptive research lays the foundation for further inquiry and theory development, contributing to the advancement of knowledge across a wide range of disciplines.</w:t>
      </w:r>
    </w:p>
    <w:p w14:paraId="50696BD0" w14:textId="5ED3B07C" w:rsidR="000209F9" w:rsidRPr="000209F9" w:rsidRDefault="00044DB8" w:rsidP="000209F9">
      <w:pPr>
        <w:pStyle w:val="Heading4"/>
      </w:pPr>
      <w:r>
        <w:rPr>
          <w:noProof/>
        </w:rPr>
        <w:lastRenderedPageBreak/>
        <w:drawing>
          <wp:anchor distT="0" distB="0" distL="114300" distR="114300" simplePos="0" relativeHeight="251807828" behindDoc="0" locked="0" layoutInCell="1" allowOverlap="1" wp14:anchorId="1A876305" wp14:editId="3E24C0E8">
            <wp:simplePos x="0" y="0"/>
            <wp:positionH relativeFrom="column">
              <wp:align>right</wp:align>
            </wp:positionH>
            <wp:positionV relativeFrom="paragraph">
              <wp:posOffset>0</wp:posOffset>
            </wp:positionV>
            <wp:extent cx="1371600" cy="1371600"/>
            <wp:effectExtent l="19050" t="19050" r="19050" b="19050"/>
            <wp:wrapSquare wrapText="bothSides"/>
            <wp:docPr id="258019" name="Picture 258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9" name="Picture 25801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209F9" w:rsidRPr="000209F9">
        <w:t>Explanatory Research: Connecting the Dots and Identifying Causal Relationships</w:t>
      </w:r>
    </w:p>
    <w:p w14:paraId="30D79E3C" w14:textId="6402E9E4" w:rsidR="003A2FC0" w:rsidRDefault="003A2FC0" w:rsidP="003A2FC0">
      <w:r>
        <w:t>While descriptive research focuses on observing and documenting phenomena, explanatory research takes the next step by seeking explanations for those observed phenomena, problems, or behaviors. The primary goal of explanatory research is to identify the causal factors and outcomes of the target phenomenon, "connecting the dots" to provide a more comprehensive understanding of the underlying mechanisms at play.</w:t>
      </w:r>
    </w:p>
    <w:p w14:paraId="1A992BC5" w14:textId="77777777" w:rsidR="003A2FC0" w:rsidRDefault="003A2FC0" w:rsidP="003A2FC0">
      <w:r>
        <w:t>Explanatory research is particularly prevalent in academic and doctoral studies, where researchers aim to contribute to the theoretical understanding of their field. However, it is important to note that explanatory research often builds upon the foundations laid by exploratory and descriptive research. These initial phases of research provide the necessary context and data for researchers to formulate hypotheses and test potential explanations.</w:t>
      </w:r>
    </w:p>
    <w:p w14:paraId="4B1361B3" w14:textId="77777777" w:rsidR="003A2FC0" w:rsidRDefault="003A2FC0" w:rsidP="003A2FC0">
      <w:r>
        <w:t>To illustrate the application of explanatory research, consider a project seeking to understand the reasons behind gang violence. Descriptive research may have documented the prevalence and characteristics of gang violence in a particular community, but explanatory research would go further by investigating potential causal factors, such as poverty, lack of educational opportunities, or family dysfunction. By identifying these underlying causes, researchers can then prescribe targeted strategies to address the root issues and mitigate the societal impact of gang violence.</w:t>
      </w:r>
    </w:p>
    <w:p w14:paraId="7E2CED2D" w14:textId="6BF56781" w:rsidR="003A2FC0" w:rsidRDefault="003A2FC0" w:rsidP="003A2FC0">
      <w:r>
        <w:t xml:space="preserve">Conducting explanatory research requires a strong set of skills and attributes. Researchers must possess a deep understanding of relevant theories and be able to interpret data </w:t>
      </w:r>
      <w:r w:rsidR="00C25BF9">
        <w:t>considering</w:t>
      </w:r>
      <w:r>
        <w:t xml:space="preserve"> those theories. They must also have the intuition and insight to recognize potential causal relationships and the ability to design studies that can effectively test those relationships. Personal experience and subject matter expertise can also play a crucial role in guiding explanatory research, as they provide valuable context and help researchers navigate the complexities of their field.</w:t>
      </w:r>
    </w:p>
    <w:p w14:paraId="6BEF8E5A" w14:textId="77777777" w:rsidR="003A2FC0" w:rsidRDefault="003A2FC0" w:rsidP="003A2FC0">
      <w:r>
        <w:t>It is worth noting that explanatory research often involves a degree of uncertainty and subjectivity, as the causal relationships identified may be influenced by a variety of factors and may not always be straightforward. As such, explanatory research requires a cautious and critical approach, with researchers carefully considering alternative explanations and potential confounding variables.</w:t>
      </w:r>
    </w:p>
    <w:p w14:paraId="44CCD6E0" w14:textId="6EDAF69B" w:rsidR="0066519F" w:rsidRDefault="003A2FC0" w:rsidP="003A2FC0">
      <w:r>
        <w:t>In summary, explanatory research is a critical component of the scientific process, seeking to provide a deeper understanding of the causal factors and outcomes of observed phenomena. By building upon the foundations laid by exploratory and descriptive research, explanatory research contributes to the development of theories and the identification of potential solutions to complex problems. Through a combination of strong theoretical knowledge, interpretive skills, and personal insight, researchers engaging in explanatory research help to advance our understanding of the world and inform evidence-based decision-making across a wide range of fields.</w:t>
      </w:r>
    </w:p>
    <w:p w14:paraId="26550FC9" w14:textId="77777777" w:rsidR="00C954A0" w:rsidRPr="00C954A0" w:rsidRDefault="00C954A0" w:rsidP="00C954A0">
      <w:pPr>
        <w:pStyle w:val="Heading3"/>
      </w:pPr>
      <w:bookmarkStart w:id="12" w:name="_Toc169156675"/>
      <w:r w:rsidRPr="00C954A0">
        <w:lastRenderedPageBreak/>
        <w:t>Considerations for Business and Marketing Researchers</w:t>
      </w:r>
      <w:bookmarkEnd w:id="12"/>
    </w:p>
    <w:p w14:paraId="04D7CCFA" w14:textId="77777777" w:rsidR="004C14BD" w:rsidRPr="004C14BD" w:rsidRDefault="004C14BD" w:rsidP="00EC48EE">
      <w:pPr>
        <w:rPr>
          <w:rFonts w:eastAsiaTheme="majorEastAsia"/>
        </w:rPr>
      </w:pPr>
      <w:r w:rsidRPr="004C14BD">
        <w:rPr>
          <w:rFonts w:eastAsiaTheme="majorEastAsia"/>
        </w:rPr>
        <w:t>When conducting explanatory research in the context of business and marketing, researchers must keep several important considerations in mind. These considerations include the nature of patterns, the distinction between basic and applied research, and the differences between qualitative and quantitative research methods.</w:t>
      </w:r>
    </w:p>
    <w:p w14:paraId="42399C0A" w14:textId="77777777" w:rsidR="004C14BD" w:rsidRPr="004C14BD" w:rsidRDefault="004C14BD" w:rsidP="00EC48EE">
      <w:pPr>
        <w:rPr>
          <w:rFonts w:eastAsiaTheme="majorEastAsia"/>
        </w:rPr>
      </w:pPr>
      <w:r w:rsidRPr="004C14BD">
        <w:rPr>
          <w:rFonts w:eastAsiaTheme="majorEastAsia"/>
        </w:rPr>
        <w:t>One of the primary goals of business researchers is to explain patterns in customers' habits. However, it is crucial to understand that a pattern does not necessarily describe every individual's experience. Individuals who collectively create a pattern may change over time and may not know one another, but their combined behaviors and characteristics form a discernible pattern. Researchers new to the field may find these patterns frustrating, as they expect them to perfectly describe a group's characteristics, but this often does not translate to individual experiences. A pattern can exist among a cohort without every member being 100% true to that pattern.</w:t>
      </w:r>
    </w:p>
    <w:p w14:paraId="7BCA8670" w14:textId="46B994DF" w:rsidR="004C14BD" w:rsidRPr="004C14BD" w:rsidRDefault="004C14BD" w:rsidP="00EC48EE">
      <w:pPr>
        <w:rPr>
          <w:rFonts w:eastAsiaTheme="majorEastAsia"/>
        </w:rPr>
      </w:pPr>
      <w:r w:rsidRPr="004C14BD">
        <w:rPr>
          <w:rFonts w:eastAsiaTheme="majorEastAsia"/>
        </w:rPr>
        <w:t>For example, consider the impact of social class on educational attainment. Research found that children from low-income families were four times more likely than those from high-income families to not receive postsecondary schooling</w:t>
      </w:r>
      <w:r w:rsidR="00963D41">
        <w:rPr>
          <w:rFonts w:eastAsiaTheme="majorEastAsia"/>
        </w:rPr>
        <w:t xml:space="preserve"> </w:t>
      </w:r>
      <w:r w:rsidR="00963D41">
        <w:rPr>
          <w:rFonts w:eastAsiaTheme="majorEastAsia"/>
        </w:rPr>
        <w:fldChar w:fldCharType="begin"/>
      </w:r>
      <w:r w:rsidR="007C07B4">
        <w:rPr>
          <w:rFonts w:eastAsiaTheme="majorEastAsia"/>
        </w:rPr>
        <w:instrText xml:space="preserve"> ADDIN ZOTERO_ITEM CSL_CITATION {"citationID":"a4f44afkok","properties":{"formattedCitation":"[7]","plainCitation":"[7]","noteIndex":0},"citationItems":[{"id":78,"uris":["http://zotero.org/users/5015692/items/5WZ4F9UD"],"itemData":{"id":78,"type":"article-journal","container-title":"Securing the future: Investing in children from birth to college","page":"283–324","title":"Who is getting a college education? Family background and the growing gaps in enrollment","author":[{"family":"Ellwood","given":"David"},{"family":"Kane","given":"Thomas J"},{"literal":"others"}],"issued":{"date-parts":[["2000"]]}}}],"schema":"https://github.com/citation-style-language/schema/raw/master/csl-citation.json"} </w:instrText>
      </w:r>
      <w:r w:rsidR="00963D41">
        <w:rPr>
          <w:rFonts w:eastAsiaTheme="majorEastAsia"/>
        </w:rPr>
        <w:fldChar w:fldCharType="separate"/>
      </w:r>
      <w:r w:rsidR="007C07B4" w:rsidRPr="007C07B4">
        <w:t>[7]</w:t>
      </w:r>
      <w:r w:rsidR="00963D41">
        <w:rPr>
          <w:rFonts w:eastAsiaTheme="majorEastAsia"/>
        </w:rPr>
        <w:fldChar w:fldCharType="end"/>
      </w:r>
      <w:r w:rsidRPr="004C14BD">
        <w:rPr>
          <w:rFonts w:eastAsiaTheme="majorEastAsia"/>
        </w:rPr>
        <w:t>. While this research identifies a clear pattern in society, there are certainly exceptions. Growing up in a low-income household does not necessarily preclude a child from pursuing a college degree. Objecting to a social pattern because it does not match a specific person's experience misses the point about the nature of patterns.</w:t>
      </w:r>
    </w:p>
    <w:p w14:paraId="0EB67C34" w14:textId="77777777" w:rsidR="004C14BD" w:rsidRPr="004C14BD" w:rsidRDefault="004C14BD" w:rsidP="00EC48EE">
      <w:pPr>
        <w:rPr>
          <w:rFonts w:eastAsiaTheme="majorEastAsia"/>
        </w:rPr>
      </w:pPr>
      <w:r w:rsidRPr="004C14BD">
        <w:rPr>
          <w:rFonts w:eastAsiaTheme="majorEastAsia"/>
        </w:rPr>
        <w:t>Another consideration for business researchers is the distinction between basic and applied research. Basic research studies a topic for its own sake, often motivated by a researcher's personal interest. In marketing, basic research might investigate consumer behavior without any specific application in mind. On the other hand, applied research is conducted for a purpose beyond the researcher's interest, often in response to a client's needs or a specific business problem. Most business and marketing research falls somewhere along the continuum between basic and applied research, with the specific balance depending on the research question and the intended audience.</w:t>
      </w:r>
    </w:p>
    <w:p w14:paraId="47A6A339" w14:textId="77777777" w:rsidR="004C14BD" w:rsidRPr="004C14BD" w:rsidRDefault="004C14BD" w:rsidP="00EC48EE">
      <w:pPr>
        <w:rPr>
          <w:rFonts w:eastAsiaTheme="majorEastAsia"/>
        </w:rPr>
      </w:pPr>
      <w:r w:rsidRPr="004C14BD">
        <w:rPr>
          <w:rFonts w:eastAsiaTheme="majorEastAsia"/>
        </w:rPr>
        <w:t>Finally, business and marketing researchers must consider the differences between qualitative and quantitative research methods. Qualitative methods typically involve analyzing words (such as letters, memos, or policies) or pictures, with common techniques including field research, interviews, and focus groups. These methods aim to provide a deep understanding of a relatively small number of cases. Quantitative methods, in contrast, involve analyzing numerical data, with common techniques including surveys, content analysis, and experimentation. These methods offer less depth but more breadth, as they can examine a larger number of cases.</w:t>
      </w:r>
    </w:p>
    <w:p w14:paraId="06DA59C8" w14:textId="77777777" w:rsidR="004C14BD" w:rsidRPr="004C14BD" w:rsidRDefault="004C14BD" w:rsidP="00EC48EE">
      <w:pPr>
        <w:rPr>
          <w:rFonts w:eastAsiaTheme="majorEastAsia"/>
        </w:rPr>
      </w:pPr>
      <w:r w:rsidRPr="004C14BD">
        <w:rPr>
          <w:rFonts w:eastAsiaTheme="majorEastAsia"/>
        </w:rPr>
        <w:t xml:space="preserve">While some researchers may prefer one approach over the other, qualitative and quantitative methods are not inherently opposed to one another. The choice of method should be guided by the research question at hand. For example, a researcher seeking to understand the emotional factors that influence brand loyalty may find qualitative methods like interviews more appropriate, while a </w:t>
      </w:r>
      <w:r w:rsidRPr="004C14BD">
        <w:rPr>
          <w:rFonts w:eastAsiaTheme="majorEastAsia"/>
        </w:rPr>
        <w:lastRenderedPageBreak/>
        <w:t>researcher investigating the impact of a new product feature on sales may prefer quantitative methods like surveys and sales data analysis.</w:t>
      </w:r>
    </w:p>
    <w:p w14:paraId="5327CFAB" w14:textId="4AF76A42" w:rsidR="00A626FE" w:rsidRPr="000E309B" w:rsidRDefault="004C14BD" w:rsidP="00EC48EE">
      <w:r w:rsidRPr="004C14BD">
        <w:rPr>
          <w:rFonts w:eastAsiaTheme="majorEastAsia"/>
        </w:rPr>
        <w:t>In summary, business and marketing researchers must navigate a complex landscape of patterns, research motivations, and methodological approaches. By understanding the nature of patterns, the continuum between basic and applied research, and the complementary roles of qualitative and quantitative methods, researchers can design studies that effectively answer their questions and contribute to the growing body of knowledge in their field.</w:t>
      </w:r>
    </w:p>
    <w:p w14:paraId="5327CFAD" w14:textId="3F50B558" w:rsidR="00A626FE" w:rsidRPr="000E309B" w:rsidRDefault="00327B93" w:rsidP="002A3F91">
      <w:pPr>
        <w:pStyle w:val="Heading3"/>
      </w:pPr>
      <w:bookmarkStart w:id="13" w:name="_Toc169156676"/>
      <w:r>
        <w:rPr>
          <w:noProof/>
        </w:rPr>
        <w:drawing>
          <wp:anchor distT="0" distB="0" distL="114300" distR="114300" simplePos="0" relativeHeight="251987028" behindDoc="0" locked="0" layoutInCell="1" allowOverlap="1" wp14:anchorId="1649B7C7" wp14:editId="4C525427">
            <wp:simplePos x="933450" y="1633165"/>
            <wp:positionH relativeFrom="margin">
              <wp:align>right</wp:align>
            </wp:positionH>
            <wp:positionV relativeFrom="paragraph">
              <wp:posOffset>0</wp:posOffset>
            </wp:positionV>
            <wp:extent cx="914400" cy="914400"/>
            <wp:effectExtent l="19050" t="19050" r="19050" b="19050"/>
            <wp:wrapSquare wrapText="bothSides"/>
            <wp:docPr id="313791871" name="Picture 1" descr="A drawing of a dra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91871" name="Picture 1" descr="A drawing of a draw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2A3F91">
        <w:t>A</w:t>
      </w:r>
      <w:r w:rsidR="00D14B33" w:rsidRPr="000E309B">
        <w:t xml:space="preserve"> </w:t>
      </w:r>
      <w:r w:rsidR="002A3F91">
        <w:t>S</w:t>
      </w:r>
      <w:r w:rsidR="00D14B33" w:rsidRPr="000E309B">
        <w:t xml:space="preserve">ampling of </w:t>
      </w:r>
      <w:r w:rsidR="002A3F91">
        <w:t>R</w:t>
      </w:r>
      <w:r w:rsidR="00D14B33" w:rsidRPr="000E309B">
        <w:t>esearch</w:t>
      </w:r>
      <w:bookmarkEnd w:id="13"/>
    </w:p>
    <w:p w14:paraId="5327CFAE" w14:textId="35904138" w:rsidR="00A626FE" w:rsidRPr="000E309B" w:rsidRDefault="00D14B33" w:rsidP="00DB3CFF">
      <w:pPr>
        <w:pStyle w:val="Heading4"/>
      </w:pPr>
      <w:r w:rsidRPr="000E309B">
        <w:t>Inductive Methods for Operations Management Research</w:t>
      </w:r>
    </w:p>
    <w:p w14:paraId="5327CFAF" w14:textId="4B2198A3" w:rsidR="00A626FE" w:rsidRPr="000E309B" w:rsidRDefault="00D14B33" w:rsidP="00B74E6A">
      <w:r w:rsidRPr="000E309B">
        <w:t>Mario Binder and John S. Edwards researched operations management in the German automotive industry</w:t>
      </w:r>
      <w:r w:rsidR="00657724">
        <w:t xml:space="preserve"> </w:t>
      </w:r>
      <w:r w:rsidR="00657724">
        <w:fldChar w:fldCharType="begin"/>
      </w:r>
      <w:r w:rsidR="007C07B4">
        <w:instrText xml:space="preserve"> ADDIN ZOTERO_ITEM CSL_CITATION {"citationID":"a1vvc9q06jh","properties":{"formattedCitation":"[8]","plainCitation":"[8]","noteIndex":0},"citationItems":[{"id":80,"uris":["http://zotero.org/users/5015692/items/HVW2BE8B"],"itemData":{"id":80,"type":"article-journal","container-title":"International Journal of Operations &amp; Production Management","title":"Using grounded theory method for theory building in operations management research","author":[{"family":"Binder","given":"Mario"},{"family":"Edwards","given":"John S"}],"issued":{"date-parts":[["2010"]]}}}],"schema":"https://github.com/citation-style-language/schema/raw/master/csl-citation.json"} </w:instrText>
      </w:r>
      <w:r w:rsidR="00657724">
        <w:fldChar w:fldCharType="separate"/>
      </w:r>
      <w:r w:rsidR="007C07B4" w:rsidRPr="007C07B4">
        <w:t>[8]</w:t>
      </w:r>
      <w:r w:rsidR="00657724">
        <w:fldChar w:fldCharType="end"/>
      </w:r>
      <w:r w:rsidRPr="000E309B">
        <w:t>. They used an inductive approach “</w:t>
      </w:r>
      <w:r w:rsidR="00616122">
        <w:t>…</w:t>
      </w:r>
      <w:r w:rsidRPr="000E309B">
        <w:t xml:space="preserve">in which systematic data collection is used to develop theories.” </w:t>
      </w:r>
      <w:r w:rsidR="00F723FF">
        <w:t>Their project</w:t>
      </w:r>
      <w:r w:rsidRPr="000E309B">
        <w:t xml:space="preserve"> conducted 31 interviews, followed by a survey with 110 responses and then a focus group. They state that the project was not “</w:t>
      </w:r>
      <w:r w:rsidR="00616122">
        <w:t>…</w:t>
      </w:r>
      <w:r w:rsidRPr="000E309B">
        <w:t xml:space="preserve">about presenting the subjective experience of experts per se but about abstracting it into theoretical statements in the form of a set of tentative propositions.” This </w:t>
      </w:r>
      <w:r w:rsidR="00D52BF7">
        <w:t xml:space="preserve">project </w:t>
      </w:r>
      <w:r w:rsidRPr="000E309B">
        <w:t xml:space="preserve">is the essence of </w:t>
      </w:r>
      <w:r w:rsidR="007D5743" w:rsidRPr="000E309B">
        <w:t xml:space="preserve">inductive </w:t>
      </w:r>
      <w:r w:rsidR="00D52BF7">
        <w:t>research</w:t>
      </w:r>
      <w:r w:rsidRPr="000E309B">
        <w:t xml:space="preserve"> where observations lead to a new proposition or theory. The researchers verified that they used an iterative process where later interviews were informed by data drawn from previous interviews. Again, iteration is a hallmark of inductive research projects.</w:t>
      </w:r>
    </w:p>
    <w:p w14:paraId="5327CFB0" w14:textId="45FB366C" w:rsidR="00A626FE" w:rsidRPr="000E309B" w:rsidRDefault="00D14B33" w:rsidP="001504AE">
      <w:r w:rsidRPr="000E309B">
        <w:t>The observations collected for this project lead to the development of the Collaborative Enterprise Governance concept that “</w:t>
      </w:r>
      <w:r w:rsidR="00616122">
        <w:t>…</w:t>
      </w:r>
      <w:r w:rsidRPr="000E309B">
        <w:t>helps decision makers in selecting the most appropriate governance strategy (</w:t>
      </w:r>
      <w:r w:rsidR="00B050E3" w:rsidRPr="000E309B">
        <w:t>i.e.,</w:t>
      </w:r>
      <w:r w:rsidRPr="000E309B">
        <w:t xml:space="preserve"> sourcing strategy) for an inter-firm R&amp;D relationship between a buyer and its supplier.” This type of collaboration can lead to faster development time, higher quality, and lower development costs in joint R&amp;D projects.</w:t>
      </w:r>
    </w:p>
    <w:p w14:paraId="5327CFB1" w14:textId="04444A0B" w:rsidR="00A626FE" w:rsidRPr="000E309B" w:rsidRDefault="00D14B33" w:rsidP="00DB3CFF">
      <w:pPr>
        <w:pStyle w:val="Heading4"/>
      </w:pPr>
      <w:r w:rsidRPr="000E309B">
        <w:t>Doing Well by Doing Good</w:t>
      </w:r>
    </w:p>
    <w:p w14:paraId="5327CFB2" w14:textId="2C84C254" w:rsidR="00A626FE" w:rsidRPr="000E309B" w:rsidRDefault="00D14B33" w:rsidP="001504AE">
      <w:r w:rsidRPr="000E309B">
        <w:t>Roper and Parker reported on research they conducted concerning the relationship between corporate profits and social responsibility</w:t>
      </w:r>
      <w:r w:rsidR="00657724">
        <w:t xml:space="preserve"> </w:t>
      </w:r>
      <w:r w:rsidR="00657724">
        <w:fldChar w:fldCharType="begin"/>
      </w:r>
      <w:r w:rsidR="007C07B4">
        <w:instrText xml:space="preserve"> ADDIN ZOTERO_ITEM CSL_CITATION {"citationID":"a2p1n1s12fs","properties":{"formattedCitation":"[9]","plainCitation":"[9]","noteIndex":0},"citationItems":[{"id":72,"uris":["http://zotero.org/users/5015692/items/PWAZMENR"],"itemData":{"id":72,"type":"article-journal","container-title":"Journal of Business Research","issue":"11","page":"2262–2268","title":"Doing well by doing good: A quantitative investigation of the litter effect","volume":"66","author":[{"family":"Roper","given":"Stuart"},{"family":"Parker","given":"Cathy"}],"issued":{"date-parts":[["2013"]]}}}],"schema":"https://github.com/citation-style-language/schema/raw/master/csl-citation.json"} </w:instrText>
      </w:r>
      <w:r w:rsidR="00657724">
        <w:fldChar w:fldCharType="separate"/>
      </w:r>
      <w:r w:rsidR="007C07B4" w:rsidRPr="007C07B4">
        <w:t>[9]</w:t>
      </w:r>
      <w:r w:rsidR="00657724">
        <w:fldChar w:fldCharType="end"/>
      </w:r>
      <w:r w:rsidRPr="000E309B">
        <w:t>. The researchers used a quasi-experimental method to investigate the problem caused by discarded packaging</w:t>
      </w:r>
      <w:r w:rsidR="00BD580A">
        <w:t xml:space="preserve"> that</w:t>
      </w:r>
      <w:r w:rsidRPr="000E309B">
        <w:t xml:space="preserve"> </w:t>
      </w:r>
      <w:r w:rsidR="00BD580A">
        <w:t>included</w:t>
      </w:r>
      <w:r w:rsidRPr="000E309B">
        <w:t xml:space="preserve"> the corporate brand. That litter creates a negative perspective in people who see it</w:t>
      </w:r>
      <w:r w:rsidR="002623D8">
        <w:t>,</w:t>
      </w:r>
      <w:r w:rsidRPr="000E309B">
        <w:t xml:space="preserve"> and that can have a negative financial impact on the company.</w:t>
      </w:r>
    </w:p>
    <w:p w14:paraId="5327CFB3" w14:textId="08360C71" w:rsidR="00A626FE" w:rsidRPr="000E309B" w:rsidRDefault="00D14B33" w:rsidP="001504AE">
      <w:r w:rsidRPr="000E309B">
        <w:t>Roper and Parker first postulated these hypotheses</w:t>
      </w:r>
      <w:r w:rsidR="00FE559D">
        <w:t>:</w:t>
      </w:r>
    </w:p>
    <w:p w14:paraId="5327CFB4" w14:textId="0D2220FA" w:rsidR="00A626FE" w:rsidRPr="000E309B" w:rsidRDefault="00D14B33" w:rsidP="001504AE">
      <w:pPr>
        <w:pStyle w:val="ListParagraph"/>
        <w:numPr>
          <w:ilvl w:val="0"/>
          <w:numId w:val="142"/>
        </w:numPr>
      </w:pPr>
      <w:r w:rsidRPr="000E309B">
        <w:t>Branded litter ha</w:t>
      </w:r>
      <w:r w:rsidR="00F76073">
        <w:t>rms</w:t>
      </w:r>
      <w:r w:rsidRPr="000E309B">
        <w:t xml:space="preserve"> consumers’ brand evaluations.</w:t>
      </w:r>
    </w:p>
    <w:p w14:paraId="5327CFB5" w14:textId="77777777" w:rsidR="00A626FE" w:rsidRPr="000E309B" w:rsidRDefault="00D14B33" w:rsidP="001504AE">
      <w:pPr>
        <w:pStyle w:val="ListParagraph"/>
        <w:numPr>
          <w:ilvl w:val="0"/>
          <w:numId w:val="142"/>
        </w:numPr>
      </w:pPr>
      <w:r w:rsidRPr="000E309B">
        <w:t>Consumer exposure versus non-exposure to branded litter causes a lower attitude towards the brand.</w:t>
      </w:r>
    </w:p>
    <w:p w14:paraId="5327CFB6" w14:textId="77777777" w:rsidR="00A626FE" w:rsidRPr="000E309B" w:rsidRDefault="00D14B33" w:rsidP="001504AE">
      <w:pPr>
        <w:pStyle w:val="ListParagraph"/>
        <w:numPr>
          <w:ilvl w:val="0"/>
          <w:numId w:val="142"/>
        </w:numPr>
      </w:pPr>
      <w:r w:rsidRPr="000E309B">
        <w:t>Litter will cause consumers to have a lower intention to purchase or try a brand than those not seeing litter.</w:t>
      </w:r>
    </w:p>
    <w:p w14:paraId="5327CFB8" w14:textId="77777777" w:rsidR="00A626FE" w:rsidRPr="000E309B" w:rsidRDefault="00D14B33" w:rsidP="001504AE">
      <w:pPr>
        <w:pStyle w:val="ListParagraph"/>
        <w:numPr>
          <w:ilvl w:val="0"/>
          <w:numId w:val="142"/>
        </w:numPr>
      </w:pPr>
      <w:r w:rsidRPr="000E309B">
        <w:lastRenderedPageBreak/>
        <w:t>Litter causes consumers to evaluate a brand’s positive personality dimensions more negatively.</w:t>
      </w:r>
    </w:p>
    <w:p w14:paraId="5327CFB9" w14:textId="77777777" w:rsidR="00A626FE" w:rsidRPr="000E309B" w:rsidRDefault="00D14B33" w:rsidP="001504AE">
      <w:pPr>
        <w:pStyle w:val="ListParagraph"/>
        <w:numPr>
          <w:ilvl w:val="0"/>
          <w:numId w:val="142"/>
        </w:numPr>
      </w:pPr>
      <w:r w:rsidRPr="000E309B">
        <w:t>Litter causes consumers to evaluate a brand’s negative personality dimensions more negatively.</w:t>
      </w:r>
    </w:p>
    <w:p w14:paraId="5327CFBA" w14:textId="77777777" w:rsidR="00A626FE" w:rsidRPr="000E309B" w:rsidRDefault="00D14B33" w:rsidP="001504AE">
      <w:pPr>
        <w:pStyle w:val="ListParagraph"/>
        <w:numPr>
          <w:ilvl w:val="0"/>
          <w:numId w:val="142"/>
        </w:numPr>
      </w:pPr>
      <w:r w:rsidRPr="000E309B">
        <w:t>Litter versus no litter causes consumers to have a lower view of a brand’s reputation.</w:t>
      </w:r>
    </w:p>
    <w:p w14:paraId="5327CFBB" w14:textId="4FDE9C9D" w:rsidR="00A626FE" w:rsidRPr="000E309B" w:rsidRDefault="00D14B33" w:rsidP="001504AE">
      <w:r w:rsidRPr="000E309B">
        <w:t>To test these hypotheses, the researchers created a kiosk in a public park for a fictitious company named BigBurger. They hired actors to staff the kiosk and others to purchase burgers. They also hired a film crew to produce two different 90-second newsreel-type reports on this new concept in on-the-go burger sales. One report showed the kiosk area free of any litter</w:t>
      </w:r>
      <w:r w:rsidR="00F76073">
        <w:t>,</w:t>
      </w:r>
      <w:r w:rsidRPr="000E309B">
        <w:t xml:space="preserve"> while the second included </w:t>
      </w:r>
      <w:r w:rsidR="00F76073">
        <w:t>apparent</w:t>
      </w:r>
      <w:r w:rsidRPr="000E309B">
        <w:t xml:space="preserve"> BigBurger litter on the ground around the kiosk. Both videos featured interviews of the BigBurger CEO and customers. The videos were identical except for the presence or absence of litter.</w:t>
      </w:r>
    </w:p>
    <w:p w14:paraId="5327CFBC" w14:textId="714EB12B" w:rsidR="00A626FE" w:rsidRPr="000E309B" w:rsidRDefault="00D14B33" w:rsidP="001504AE">
      <w:r w:rsidRPr="000E309B">
        <w:t xml:space="preserve">The researchers then gathered a group of consumers and explained they were participating in </w:t>
      </w:r>
      <w:r w:rsidR="00402453">
        <w:t>evaluating</w:t>
      </w:r>
      <w:r w:rsidRPr="000E309B">
        <w:t xml:space="preserve"> a new brand. One group of consumers was shown the video with no litter</w:t>
      </w:r>
      <w:r w:rsidR="00402453">
        <w:t>,</w:t>
      </w:r>
      <w:r w:rsidRPr="000E309B">
        <w:t xml:space="preserve"> while the other group was shown the video that included the BigBurger litter. The two groups were asked questions about their attitude towards the brand, opinions of the brand personality, and willingness to purchase a BigBurger product.</w:t>
      </w:r>
    </w:p>
    <w:p w14:paraId="5327CFBD" w14:textId="2449204F" w:rsidR="00A626FE" w:rsidRPr="000E309B" w:rsidRDefault="00D14B33" w:rsidP="001504AE">
      <w:r w:rsidRPr="000E309B">
        <w:t xml:space="preserve">Roper and Parker found that consumers viewing the video with litter had significantly lower attitudes toward the BigBurger brand </w:t>
      </w:r>
      <w:r w:rsidR="00275B59" w:rsidRPr="000E309B">
        <w:t>and</w:t>
      </w:r>
      <w:r w:rsidRPr="000E309B">
        <w:t xml:space="preserve"> a significantly lower intention to purchase or try the brand. </w:t>
      </w:r>
      <w:r w:rsidR="00C26F32">
        <w:t>T</w:t>
      </w:r>
      <w:r w:rsidRPr="000E309B">
        <w:t xml:space="preserve">he researchers </w:t>
      </w:r>
      <w:r w:rsidR="00C26F32">
        <w:t xml:space="preserve">then </w:t>
      </w:r>
      <w:r w:rsidRPr="000E309B">
        <w:t>asked the consumers what they were willing to pay for a BigBurger</w:t>
      </w:r>
      <w:r w:rsidR="00C26F32">
        <w:t xml:space="preserve"> t</w:t>
      </w:r>
      <w:r w:rsidR="00C26F32" w:rsidRPr="000E309B">
        <w:t>o test the potential financial impact of the litter</w:t>
      </w:r>
      <w:r w:rsidRPr="000E309B">
        <w:t>. The mean amount for the group that saw the video without litter was £1.96</w:t>
      </w:r>
      <w:r w:rsidR="005F0880">
        <w:t>,</w:t>
      </w:r>
      <w:r w:rsidRPr="000E309B">
        <w:t xml:space="preserve"> but the group that saw the litter was £1.92, a small but significant difference. The researchers conclude that the quasi-experiment supported at least a few of the proposed hypotheses</w:t>
      </w:r>
      <w:r w:rsidR="005F0880">
        <w:t>. C</w:t>
      </w:r>
      <w:r w:rsidRPr="000E309B">
        <w:t>ompanies that do not practice social responsibility will potentially suffer an impact on their bottom line.</w:t>
      </w:r>
    </w:p>
    <w:p w14:paraId="7E522F73" w14:textId="06925720" w:rsidR="00CB6C1A" w:rsidRDefault="00E61963" w:rsidP="00CB6C1A">
      <w:pPr>
        <w:pStyle w:val="Heading3"/>
      </w:pPr>
      <w:bookmarkStart w:id="14" w:name="_Toc169156677"/>
      <w:r>
        <w:rPr>
          <w:noProof/>
        </w:rPr>
        <w:drawing>
          <wp:anchor distT="0" distB="0" distL="114300" distR="114300" simplePos="0" relativeHeight="251955284" behindDoc="0" locked="0" layoutInCell="1" allowOverlap="1" wp14:anchorId="546D28E4" wp14:editId="77BE676E">
            <wp:simplePos x="0" y="0"/>
            <wp:positionH relativeFrom="column">
              <wp:align>right</wp:align>
            </wp:positionH>
            <wp:positionV relativeFrom="paragraph">
              <wp:posOffset>0</wp:posOffset>
            </wp:positionV>
            <wp:extent cx="914400" cy="914400"/>
            <wp:effectExtent l="19050" t="19050" r="19050" b="19050"/>
            <wp:wrapSquare wrapText="bothSides"/>
            <wp:docPr id="1029022873"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9741A4">
        <w:t>Summary</w:t>
      </w:r>
      <w:r w:rsidR="002E4B97">
        <w:t xml:space="preserve"> of </w:t>
      </w:r>
      <w:r w:rsidR="00CB6C1A">
        <w:t>Chapter 1: Introduction</w:t>
      </w:r>
      <w:bookmarkEnd w:id="14"/>
      <w:r w:rsidR="00CB6C1A">
        <w:t xml:space="preserve"> </w:t>
      </w:r>
    </w:p>
    <w:p w14:paraId="51824143" w14:textId="77777777" w:rsidR="005D5FCD" w:rsidRDefault="005D5FCD" w:rsidP="005D5FCD">
      <w:r>
        <w:t>Congratulations on completing the first chapter of your research fundamentals course. This chapter has laid the groundwork for your journey into the world of research by introducing several key concepts:</w:t>
      </w:r>
    </w:p>
    <w:p w14:paraId="0D0E8082" w14:textId="77777777" w:rsidR="005D5FCD" w:rsidRDefault="005D5FCD" w:rsidP="005D5FCD">
      <w:pPr>
        <w:pStyle w:val="ListParagraph"/>
        <w:numPr>
          <w:ilvl w:val="0"/>
          <w:numId w:val="254"/>
        </w:numPr>
      </w:pPr>
      <w:r>
        <w:t>The differences between various sources of knowledge, such as assumptions, direct experience, tradition, generalization, observation, and authority, and their reliability in business decision-making.</w:t>
      </w:r>
    </w:p>
    <w:p w14:paraId="0064B48D" w14:textId="77777777" w:rsidR="005D5FCD" w:rsidRDefault="005D5FCD" w:rsidP="005D5FCD">
      <w:pPr>
        <w:pStyle w:val="ListParagraph"/>
        <w:numPr>
          <w:ilvl w:val="0"/>
          <w:numId w:val="254"/>
        </w:numPr>
      </w:pPr>
      <w:r>
        <w:t>The definition of science as a systematic and organized body of knowledge acquired through a rigorous method, and the distinctions between natural and social sciences, as well as basic and applied sciences.</w:t>
      </w:r>
    </w:p>
    <w:p w14:paraId="326F36FA" w14:textId="77777777" w:rsidR="005D5FCD" w:rsidRDefault="005D5FCD" w:rsidP="005D5FCD">
      <w:pPr>
        <w:pStyle w:val="ListParagraph"/>
        <w:numPr>
          <w:ilvl w:val="0"/>
          <w:numId w:val="254"/>
        </w:numPr>
      </w:pPr>
      <w:r>
        <w:t>The roles of logic and observation in developing scientific laws and theories, and how hypotheses, laws, and theories advance scientific knowledge.</w:t>
      </w:r>
    </w:p>
    <w:p w14:paraId="6F9CDFAC" w14:textId="77777777" w:rsidR="005D5FCD" w:rsidRDefault="005D5FCD" w:rsidP="005D5FCD">
      <w:pPr>
        <w:pStyle w:val="ListParagraph"/>
        <w:numPr>
          <w:ilvl w:val="0"/>
          <w:numId w:val="254"/>
        </w:numPr>
      </w:pPr>
      <w:r>
        <w:lastRenderedPageBreak/>
        <w:t>The interplay between theory and evidence in research, and the differences between inductive (theory-building) and deductive (theory-testing) approaches.</w:t>
      </w:r>
    </w:p>
    <w:p w14:paraId="703DC351" w14:textId="77777777" w:rsidR="005D5FCD" w:rsidRDefault="005D5FCD" w:rsidP="005D5FCD">
      <w:pPr>
        <w:pStyle w:val="ListParagraph"/>
        <w:numPr>
          <w:ilvl w:val="0"/>
          <w:numId w:val="254"/>
        </w:numPr>
      </w:pPr>
      <w:r>
        <w:t>The four key characteristics of the scientific method: replicability, precision, falsifiability, and parsimony, and their importance in ensuring valid and reliable scientific knowledge.</w:t>
      </w:r>
    </w:p>
    <w:p w14:paraId="0C7AE1C1" w14:textId="77777777" w:rsidR="005D5FCD" w:rsidRDefault="005D5FCD" w:rsidP="005D5FCD">
      <w:pPr>
        <w:pStyle w:val="ListParagraph"/>
        <w:numPr>
          <w:ilvl w:val="0"/>
          <w:numId w:val="254"/>
        </w:numPr>
      </w:pPr>
      <w:r>
        <w:t>The three main types of scientific research: exploratory, descriptive, and explanatory, and their primary goals and applications in business and marketing research.</w:t>
      </w:r>
    </w:p>
    <w:p w14:paraId="61336F2B" w14:textId="77777777" w:rsidR="005D5FCD" w:rsidRDefault="005D5FCD" w:rsidP="005D5FCD">
      <w:r>
        <w:t>By understanding these foundational concepts, you are now equipped with the tools to critically evaluate research, identify appropriate methodologies, and begin designing your own research projects. The knowledge you have gained will help you formulate precise research questions, develop testable hypotheses, collect and analyze data, and draw meaningful conclusions.</w:t>
      </w:r>
    </w:p>
    <w:p w14:paraId="0D3CBE75" w14:textId="77777777" w:rsidR="005D5FCD" w:rsidRDefault="005D5FCD" w:rsidP="005D5FCD">
      <w:r>
        <w:t>As you progress through your studies, I encourage you to continue exploring these concepts in greater depth. Engage with the scientific literature, participate in research projects, and apply the principles of the scientific method to real-world business and marketing challenges. By doing so, you will not only enhance your understanding of research fundamentals but also develop the skills needed to become a confident and competent researcher.</w:t>
      </w:r>
    </w:p>
    <w:p w14:paraId="732E3877" w14:textId="6E634F50" w:rsidR="00660CAA" w:rsidRDefault="005D5FCD" w:rsidP="005D5FCD">
      <w:r>
        <w:t>Remember, research is an ongoing process of discovery, and each chapter in this book will build upon the knowledge you have acquired. Embrace the challenges and opportunities that lie ahead, and let your curiosity guide you as you uncover new insights and contribute to the ever-expanding body of scientific knowledge.</w:t>
      </w:r>
    </w:p>
    <w:p w14:paraId="26D9953C" w14:textId="77777777" w:rsidR="00A65F42" w:rsidRDefault="00A65F42" w:rsidP="000E6936"/>
    <w:p w14:paraId="00C5DCF9" w14:textId="2B494EED" w:rsidR="000E6936" w:rsidRDefault="000E6936" w:rsidP="000E6936">
      <w:pPr>
        <w:sectPr w:rsidR="000E6936" w:rsidSect="00FD08D0">
          <w:headerReference w:type="default" r:id="rId53"/>
          <w:footerReference w:type="default" r:id="rId54"/>
          <w:headerReference w:type="first" r:id="rId55"/>
          <w:pgSz w:w="12240" w:h="15840"/>
          <w:pgMar w:top="1440" w:right="1440" w:bottom="1440" w:left="1440" w:header="720" w:footer="720" w:gutter="0"/>
          <w:cols w:space="720"/>
          <w:docGrid w:linePitch="299"/>
        </w:sectPr>
      </w:pPr>
    </w:p>
    <w:p w14:paraId="5327CFC6" w14:textId="4736C150" w:rsidR="00A626FE" w:rsidRPr="000E309B" w:rsidRDefault="0050001F" w:rsidP="009905B9">
      <w:pPr>
        <w:pStyle w:val="Heading2"/>
      </w:pPr>
      <w:bookmarkStart w:id="15" w:name="_Ref64787823"/>
      <w:bookmarkStart w:id="16" w:name="_Ref64787920"/>
      <w:bookmarkStart w:id="17" w:name="_Ref64787937"/>
      <w:bookmarkStart w:id="18" w:name="_Ref64787951"/>
      <w:bookmarkStart w:id="19" w:name="_Ref64787960"/>
      <w:bookmarkStart w:id="20" w:name="_Toc169156678"/>
      <w:r>
        <w:lastRenderedPageBreak/>
        <w:t xml:space="preserve">2: </w:t>
      </w:r>
      <w:r w:rsidR="00D14B33" w:rsidRPr="000E309B">
        <w:t>F</w:t>
      </w:r>
      <w:r w:rsidR="009905B9">
        <w:t>oundations</w:t>
      </w:r>
      <w:bookmarkEnd w:id="15"/>
      <w:bookmarkEnd w:id="16"/>
      <w:bookmarkEnd w:id="17"/>
      <w:bookmarkEnd w:id="18"/>
      <w:bookmarkEnd w:id="19"/>
      <w:bookmarkEnd w:id="20"/>
    </w:p>
    <w:p w14:paraId="5327CFC8" w14:textId="275DD48C" w:rsidR="00A626FE" w:rsidRPr="000E309B" w:rsidRDefault="005F7117" w:rsidP="00D2641A">
      <w:pPr>
        <w:pStyle w:val="Heading3"/>
      </w:pPr>
      <w:bookmarkStart w:id="21" w:name="_Toc169156679"/>
      <w:r>
        <w:rPr>
          <w:noProof/>
        </w:rPr>
        <w:drawing>
          <wp:anchor distT="0" distB="0" distL="114300" distR="114300" simplePos="0" relativeHeight="251658272" behindDoc="0" locked="0" layoutInCell="1" allowOverlap="1" wp14:anchorId="01B3C8F5" wp14:editId="17A604A7">
            <wp:simplePos x="0" y="0"/>
            <wp:positionH relativeFrom="column">
              <wp:align>right</wp:align>
            </wp:positionH>
            <wp:positionV relativeFrom="paragraph">
              <wp:posOffset>0</wp:posOffset>
            </wp:positionV>
            <wp:extent cx="1965960" cy="1965960"/>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965960" cy="1965960"/>
                    </a:xfrm>
                    <a:prstGeom prst="rect">
                      <a:avLst/>
                    </a:prstGeom>
                  </pic:spPr>
                </pic:pic>
              </a:graphicData>
            </a:graphic>
            <wp14:sizeRelH relativeFrom="margin">
              <wp14:pctWidth>0</wp14:pctWidth>
            </wp14:sizeRelH>
            <wp14:sizeRelV relativeFrom="margin">
              <wp14:pctHeight>0</wp14:pctHeight>
            </wp14:sizeRelV>
          </wp:anchor>
        </w:drawing>
      </w:r>
      <w:r w:rsidR="00D2641A">
        <w:t>I</w:t>
      </w:r>
      <w:r w:rsidR="00D14B33" w:rsidRPr="000E309B">
        <w:t>ntroduction</w:t>
      </w:r>
      <w:bookmarkEnd w:id="21"/>
    </w:p>
    <w:p w14:paraId="7212F6B3" w14:textId="77777777" w:rsidR="009D6326" w:rsidRDefault="009D6326" w:rsidP="009D6326">
      <w:r>
        <w:t>A researcher's philosophical foundations and analytical perspective influence many aspects of how they approach their work. These foundations shape researchers' preferences for presenting data, such as using visual charts and graphs versus numerical tables. They also affect working styles - some researchers are most productive using computer tools, while others prefer sketching ideas on paper. Approaches to time management also vary; some researchers are highly motivated by deadlines while others take a more expansive approach to their work.</w:t>
      </w:r>
    </w:p>
    <w:p w14:paraId="7D51EB50" w14:textId="2DB56CCC" w:rsidR="009D6326" w:rsidRDefault="009D6326" w:rsidP="009D6326">
      <w:r>
        <w:t xml:space="preserve">Philosophical foundations refer to the underlying beliefs, assumptions, and worldviews that guide a researcher's thinking. </w:t>
      </w:r>
      <w:r w:rsidR="00475F51">
        <w:t>R</w:t>
      </w:r>
      <w:r>
        <w:t>esearch approaches are influenced by the philosophical assumptions researchers bring to their work, whether these assumptions are made explicit or not</w:t>
      </w:r>
      <w:r w:rsidR="00001BC4">
        <w:t xml:space="preserve"> </w:t>
      </w:r>
      <w:r w:rsidR="007172A8">
        <w:fldChar w:fldCharType="begin"/>
      </w:r>
      <w:r w:rsidR="007C07B4">
        <w:instrText xml:space="preserve"> ADDIN ZOTERO_ITEM CSL_CITATION {"citationID":"a1hsskjlqoi","properties":{"formattedCitation":"[10]","plainCitation":"[10]","noteIndex":0},"citationItems":[{"id":117,"uris":["http://zotero.org/users/5015692/items/MZA657DL"],"itemData":{"id":117,"type":"article-journal","title":"Research design: qualitative, quantitative, and mixed methods approaches","author":[{"family":"Creswell","given":"John W"}],"issued":{"date-parts":[["2014"]]}}}],"schema":"https://github.com/citation-style-language/schema/raw/master/csl-citation.json"} </w:instrText>
      </w:r>
      <w:r w:rsidR="007172A8">
        <w:fldChar w:fldCharType="separate"/>
      </w:r>
      <w:r w:rsidR="007C07B4" w:rsidRPr="007C07B4">
        <w:t>[10]</w:t>
      </w:r>
      <w:r w:rsidR="007172A8">
        <w:fldChar w:fldCharType="end"/>
      </w:r>
      <w:r>
        <w:t>.</w:t>
      </w:r>
    </w:p>
    <w:p w14:paraId="5327CFCA" w14:textId="5E6104D3" w:rsidR="00A626FE" w:rsidRDefault="009D6326" w:rsidP="009D6326">
      <w:r>
        <w:t>This chapter will explore the critical role that philosophical foundations play in shaping the methodological choices researchers make. We will examine the connections between research paradigms, theories, and methods, and consider how a researcher's philosophical commitments guide their approach at each stage of the research process. By understanding these foundations, researchers can make more informed and consistent methodological choices.</w:t>
      </w:r>
    </w:p>
    <w:p w14:paraId="7DA6991C" w14:textId="4B5373C8" w:rsidR="00D6265D" w:rsidRDefault="00FF750E" w:rsidP="00827EAA">
      <w:pPr>
        <w:pStyle w:val="IntenseQuote"/>
      </w:pPr>
      <w:r>
        <w:rPr>
          <w:noProof/>
        </w:rPr>
        <w:drawing>
          <wp:anchor distT="0" distB="0" distL="114300" distR="114300" simplePos="0" relativeHeight="251925588" behindDoc="0" locked="0" layoutInCell="1" allowOverlap="1" wp14:anchorId="5B8DABC7" wp14:editId="3A0DB84C">
            <wp:simplePos x="0" y="0"/>
            <wp:positionH relativeFrom="column">
              <wp:align>right</wp:align>
            </wp:positionH>
            <wp:positionV relativeFrom="paragraph">
              <wp:posOffset>0</wp:posOffset>
            </wp:positionV>
            <wp:extent cx="914400" cy="914400"/>
            <wp:effectExtent l="19050" t="19050" r="19050" b="19050"/>
            <wp:wrapSquare wrapText="bothSides"/>
            <wp:docPr id="250396968"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D6265D">
        <w:t>Objectives</w:t>
      </w:r>
    </w:p>
    <w:p w14:paraId="416A5C1A" w14:textId="77777777" w:rsidR="00827EAA" w:rsidRDefault="00827EAA" w:rsidP="00885D01">
      <w:pPr>
        <w:pStyle w:val="Quote"/>
        <w:numPr>
          <w:ilvl w:val="0"/>
          <w:numId w:val="262"/>
        </w:numPr>
      </w:pPr>
      <w:r>
        <w:t>Define and differentiate between ontology and epistemology and explain how a researcher's philosophical foundations shape their approach to inquiry, including the questions they ask and the methods they use to answer them.</w:t>
      </w:r>
    </w:p>
    <w:p w14:paraId="285C3AA5" w14:textId="77777777" w:rsidR="00827EAA" w:rsidRDefault="00827EAA" w:rsidP="00885D01">
      <w:pPr>
        <w:pStyle w:val="Quote"/>
        <w:numPr>
          <w:ilvl w:val="0"/>
          <w:numId w:val="262"/>
        </w:numPr>
      </w:pPr>
      <w:r>
        <w:t>Identify and describe the four research paradigms proposed by Burrell and Morgan (functionalism, interpretivism, radical structuralism, and radical humanism), and discuss how each paradigm influences a researcher's ontological and epistemological assumptions, as well as their choice of research methods.</w:t>
      </w:r>
    </w:p>
    <w:p w14:paraId="7542A6AD" w14:textId="77777777" w:rsidR="00827EAA" w:rsidRDefault="00827EAA" w:rsidP="00885D01">
      <w:pPr>
        <w:pStyle w:val="Quote"/>
        <w:numPr>
          <w:ilvl w:val="0"/>
          <w:numId w:val="262"/>
        </w:numPr>
      </w:pPr>
      <w:r>
        <w:t>Distinguish between the concepts of paradigm and theory and explain how paradigms serve as overarching belief systems that guide research, while theories are targeted explanations of phenomena based on empirical evidence and reasoning.</w:t>
      </w:r>
    </w:p>
    <w:p w14:paraId="190139C7" w14:textId="77777777" w:rsidR="00827EAA" w:rsidRDefault="00827EAA" w:rsidP="00885D01">
      <w:pPr>
        <w:pStyle w:val="Quote"/>
        <w:numPr>
          <w:ilvl w:val="0"/>
          <w:numId w:val="262"/>
        </w:numPr>
      </w:pPr>
      <w:r>
        <w:lastRenderedPageBreak/>
        <w:t>Define the essential components of a theory (constructs, propositions, logic, and assumptions), and explain how these building blocks work together to create a cohesive and testable explanation of a phenomenon.</w:t>
      </w:r>
    </w:p>
    <w:p w14:paraId="5F1255BE" w14:textId="77777777" w:rsidR="00827EAA" w:rsidRDefault="00827EAA" w:rsidP="00885D01">
      <w:pPr>
        <w:pStyle w:val="Quote"/>
        <w:numPr>
          <w:ilvl w:val="0"/>
          <w:numId w:val="262"/>
        </w:numPr>
      </w:pPr>
      <w:r>
        <w:t>Differentiate between the five main types of variables (independent, dependent, moderating, mediating, and control variables) based on their roles in research, and provide examples of each type in the context of a research study.</w:t>
      </w:r>
    </w:p>
    <w:p w14:paraId="7412B728" w14:textId="77777777" w:rsidR="00827EAA" w:rsidRDefault="00827EAA" w:rsidP="00885D01">
      <w:pPr>
        <w:pStyle w:val="Quote"/>
        <w:numPr>
          <w:ilvl w:val="0"/>
          <w:numId w:val="262"/>
        </w:numPr>
      </w:pPr>
      <w:r>
        <w:t>Evaluate the "goodness" of a theory using criteria such as logical consistency, explanatory power, falsifiability, and parsimony, and discuss the importance of these attributes in ensuring that a theory is well-constructed, empirically testable, and provides a comprehensive yet simple explanation of the phenomenon it addresses.</w:t>
      </w:r>
    </w:p>
    <w:p w14:paraId="79FCA0F0" w14:textId="42631C25" w:rsidR="004C6262" w:rsidRDefault="00827EAA" w:rsidP="00885D01">
      <w:pPr>
        <w:pStyle w:val="Quote"/>
        <w:numPr>
          <w:ilvl w:val="0"/>
          <w:numId w:val="262"/>
        </w:numPr>
      </w:pPr>
      <w:r>
        <w:t>Compare and contrast the four main approaches to theory building (grounded theory, bottom-up conceptual analysis, extending or modifying existing theories, and reasoning by analogy), and discuss the strengths and weaknesses of each approach in the context of different research scenarios.</w:t>
      </w:r>
    </w:p>
    <w:p w14:paraId="2CE368AC" w14:textId="47D60EA5" w:rsidR="006F75DE" w:rsidRDefault="006F75DE" w:rsidP="00977776">
      <w:pPr>
        <w:pStyle w:val="Heading3"/>
      </w:pPr>
      <w:bookmarkStart w:id="22" w:name="_Toc169156680"/>
      <w:r w:rsidRPr="006F75DE">
        <w:t>Grounding Research in Philosophy: The Significance of Ontology and Epistemology</w:t>
      </w:r>
      <w:bookmarkEnd w:id="22"/>
    </w:p>
    <w:p w14:paraId="74A28AA8" w14:textId="77777777" w:rsidR="001009C4" w:rsidRPr="001009C4" w:rsidRDefault="001009C4" w:rsidP="001009C4">
      <w:pPr>
        <w:rPr>
          <w:rFonts w:eastAsiaTheme="majorEastAsia"/>
        </w:rPr>
      </w:pPr>
      <w:r w:rsidRPr="001009C4">
        <w:rPr>
          <w:rFonts w:eastAsiaTheme="majorEastAsia"/>
        </w:rPr>
        <w:t>Ontology and epistemology, two major branches of philosophy, provide the foundational principles for research methods in fields such as business, sociology, and psychology. Ontology is concerned with the nature of reality itself. A researcher's ontological position will shape the kinds of research questions they ask and how they go about investigating them. There are two main ontological positions:</w:t>
      </w:r>
    </w:p>
    <w:p w14:paraId="2CC37B4E" w14:textId="6D0FE776" w:rsidR="001009C4" w:rsidRPr="0062594E" w:rsidRDefault="001009C4" w:rsidP="0062594E">
      <w:pPr>
        <w:pStyle w:val="ListParagraph"/>
        <w:numPr>
          <w:ilvl w:val="0"/>
          <w:numId w:val="146"/>
        </w:numPr>
        <w:rPr>
          <w:rFonts w:eastAsiaTheme="majorEastAsia"/>
        </w:rPr>
      </w:pPr>
      <w:r w:rsidRPr="0062594E">
        <w:rPr>
          <w:rFonts w:eastAsiaTheme="majorEastAsia"/>
        </w:rPr>
        <w:t>Objectivism holds that reality exists independently of social activity. This position often underpins research on societal organization. Objectivists assume that while individuals may have different perceptions, there is only one true reality that researchers can discover.</w:t>
      </w:r>
    </w:p>
    <w:p w14:paraId="4EE79D04" w14:textId="069FBC9C" w:rsidR="001009C4" w:rsidRPr="0062594E" w:rsidRDefault="001009C4" w:rsidP="0062594E">
      <w:pPr>
        <w:pStyle w:val="ListParagraph"/>
        <w:numPr>
          <w:ilvl w:val="0"/>
          <w:numId w:val="146"/>
        </w:numPr>
        <w:rPr>
          <w:rFonts w:eastAsiaTheme="majorEastAsia"/>
        </w:rPr>
      </w:pPr>
      <w:r w:rsidRPr="0062594E">
        <w:rPr>
          <w:rFonts w:eastAsiaTheme="majorEastAsia"/>
        </w:rPr>
        <w:t>Constructivism, in contrast, holds that reality is not independent of the society that observes it. This position frequently informs research on culture and its influence on human activities. Constructivists assume that reality is shaped by individuals and that researchers should aim to understand these diverse views.</w:t>
      </w:r>
    </w:p>
    <w:p w14:paraId="06B2D9AF" w14:textId="77777777" w:rsidR="001009C4" w:rsidRPr="001009C4" w:rsidRDefault="001009C4" w:rsidP="0059157F">
      <w:pPr>
        <w:rPr>
          <w:rFonts w:eastAsiaTheme="majorEastAsia"/>
        </w:rPr>
      </w:pPr>
      <w:r w:rsidRPr="001009C4">
        <w:rPr>
          <w:rFonts w:eastAsiaTheme="majorEastAsia"/>
        </w:rPr>
        <w:t>Closely related to ontology, epistemology deals not with what exists, but with how we can know about it. A researcher's epistemological approach will guide their choice of research design and methods. Four main epistemological branches are commonly seen in business research:</w:t>
      </w:r>
    </w:p>
    <w:p w14:paraId="7532C52C" w14:textId="2460985E" w:rsidR="001009C4" w:rsidRPr="0062594E" w:rsidRDefault="001009C4" w:rsidP="0062594E">
      <w:pPr>
        <w:pStyle w:val="ListParagraph"/>
        <w:numPr>
          <w:ilvl w:val="0"/>
          <w:numId w:val="147"/>
        </w:numPr>
        <w:rPr>
          <w:rFonts w:eastAsiaTheme="majorEastAsia"/>
        </w:rPr>
      </w:pPr>
      <w:r w:rsidRPr="0062594E">
        <w:rPr>
          <w:rFonts w:eastAsiaTheme="majorEastAsia"/>
        </w:rPr>
        <w:t>Pragmatism draws on both personal experiences and empirical data as sources of knowledge. Pragmatic researchers often design applied projects that integrate different perspectives to address a question. For example, a pragmatic study on employee motivation might combine surveys, interviews, and observational data.</w:t>
      </w:r>
    </w:p>
    <w:p w14:paraId="554C4564" w14:textId="678A408E" w:rsidR="001009C4" w:rsidRPr="0062594E" w:rsidRDefault="001009C4" w:rsidP="0062594E">
      <w:pPr>
        <w:pStyle w:val="ListParagraph"/>
        <w:numPr>
          <w:ilvl w:val="0"/>
          <w:numId w:val="147"/>
        </w:numPr>
        <w:rPr>
          <w:rFonts w:eastAsiaTheme="majorEastAsia"/>
        </w:rPr>
      </w:pPr>
      <w:r w:rsidRPr="0062594E">
        <w:rPr>
          <w:rFonts w:eastAsiaTheme="majorEastAsia"/>
        </w:rPr>
        <w:lastRenderedPageBreak/>
        <w:t>Positivism relies solely on knowledge gained through precise measurement. Positivist researchers typically focus on identifying causal relationships by reducing phenomena to their simplest elements, such as by using controlled experiments.</w:t>
      </w:r>
    </w:p>
    <w:p w14:paraId="5CFD1DCB" w14:textId="76B95475" w:rsidR="001009C4" w:rsidRPr="0062594E" w:rsidRDefault="001009C4" w:rsidP="0062594E">
      <w:pPr>
        <w:pStyle w:val="ListParagraph"/>
        <w:numPr>
          <w:ilvl w:val="0"/>
          <w:numId w:val="147"/>
        </w:numPr>
        <w:rPr>
          <w:rFonts w:eastAsiaTheme="majorEastAsia"/>
        </w:rPr>
      </w:pPr>
      <w:r w:rsidRPr="0062594E">
        <w:rPr>
          <w:rFonts w:eastAsiaTheme="majorEastAsia"/>
        </w:rPr>
        <w:t>Realism bases knowledge on observations rather than strict measurement. Realist researchers might use tools like structured interviews to develop a understanding of a phenomenon in context.</w:t>
      </w:r>
    </w:p>
    <w:p w14:paraId="6E4BD37A" w14:textId="4CB6A48C" w:rsidR="001009C4" w:rsidRPr="0062594E" w:rsidRDefault="001009C4" w:rsidP="0062594E">
      <w:pPr>
        <w:pStyle w:val="ListParagraph"/>
        <w:numPr>
          <w:ilvl w:val="0"/>
          <w:numId w:val="147"/>
        </w:numPr>
        <w:rPr>
          <w:rFonts w:eastAsiaTheme="majorEastAsia"/>
        </w:rPr>
      </w:pPr>
      <w:r w:rsidRPr="0062594E">
        <w:rPr>
          <w:rFonts w:eastAsiaTheme="majorEastAsia"/>
        </w:rPr>
        <w:t>Interpretivism uses subjective explanations to build knowledge about social phenomena. Interpretivist researchers employ methods like ethnography, which involves deeply immersing oneself in a social setting to grasp its full complexity.</w:t>
      </w:r>
    </w:p>
    <w:p w14:paraId="45679514" w14:textId="77777777" w:rsidR="0059157F" w:rsidRDefault="001009C4" w:rsidP="0059157F">
      <w:pPr>
        <w:rPr>
          <w:rFonts w:eastAsiaTheme="majorEastAsia"/>
        </w:rPr>
      </w:pPr>
      <w:r w:rsidRPr="001009C4">
        <w:rPr>
          <w:rFonts w:eastAsiaTheme="majorEastAsia"/>
        </w:rPr>
        <w:t>In summary, a researcher's ontological and epistemological commitments form the philosophical foundations that profoundly shape their approach to inquiry, guiding the questions they ask and the methods they use to answer them.</w:t>
      </w:r>
    </w:p>
    <w:p w14:paraId="512F2AEC" w14:textId="189519BB" w:rsidR="0062594E" w:rsidRDefault="00726C87" w:rsidP="00726C87">
      <w:pPr>
        <w:pStyle w:val="Heading3"/>
      </w:pPr>
      <w:bookmarkStart w:id="23" w:name="_Toc169156681"/>
      <w:r w:rsidRPr="00726C87">
        <w:t>Research Paradigms: Functionalism, Interpretivism, Radical Structuralism, and Radical Humanism</w:t>
      </w:r>
      <w:bookmarkEnd w:id="23"/>
    </w:p>
    <w:p w14:paraId="5327CFDE" w14:textId="7AA22D80" w:rsidR="00A626FE" w:rsidRPr="000E309B" w:rsidRDefault="008847A0" w:rsidP="0059157F">
      <w:r w:rsidRPr="008847A0">
        <w:t>In their influential work, "Sociological Paradigms and Organizational Analysis," Burrell and Morgan</w:t>
      </w:r>
      <w:r w:rsidR="007C2358">
        <w:t xml:space="preserve"> </w:t>
      </w:r>
      <w:r w:rsidR="007C2358">
        <w:fldChar w:fldCharType="begin"/>
      </w:r>
      <w:r w:rsidR="007C07B4">
        <w:instrText xml:space="preserve"> ADDIN ZOTERO_ITEM CSL_CITATION {"citationID":"a1onk3tum1a","properties":{"formattedCitation":"[11]","plainCitation":"[11]","noteIndex":0},"citationItems":[{"id":76,"uris":["http://zotero.org/users/5015692/items/CTIXUA6P"],"itemData":{"id":76,"type":"book","publisher":"Routledge","title":"Sociological paradigms and organisational analysis: Elements of the sociology of corporate life","author":[{"family":"Burrell","given":"Gibson"},{"family":"Morgan","given":"Gareth"}],"issued":{"date-parts":[["2017"]]}}}],"schema":"https://github.com/citation-style-language/schema/raw/master/csl-citation.json"} </w:instrText>
      </w:r>
      <w:r w:rsidR="007C2358">
        <w:fldChar w:fldCharType="separate"/>
      </w:r>
      <w:r w:rsidR="007C07B4" w:rsidRPr="007C07B4">
        <w:t>[11]</w:t>
      </w:r>
      <w:r w:rsidR="007C2358">
        <w:fldChar w:fldCharType="end"/>
      </w:r>
      <w:r w:rsidRPr="008847A0">
        <w:t xml:space="preserve"> proposed that a researcher's epistemological stance shapes their approach to a project, while their ontological position guides their interpretation of the findings. Based on these two sets of assumptions, they identified four distinct research paradigms:</w:t>
      </w:r>
    </w:p>
    <w:p w14:paraId="254BB3AC" w14:textId="77777777" w:rsidR="00995858" w:rsidRPr="004F06E8" w:rsidRDefault="00995858" w:rsidP="004F06E8">
      <w:pPr>
        <w:rPr>
          <w:noProof/>
        </w:rPr>
      </w:pPr>
      <w:r w:rsidRPr="004F06E8">
        <w:rPr>
          <w:noProof/>
        </w:rPr>
        <w:t>Functionalism is adopted by researchers who:</w:t>
      </w:r>
    </w:p>
    <w:p w14:paraId="64389EEE" w14:textId="51A2AE10" w:rsidR="00995858" w:rsidRPr="004F06E8" w:rsidRDefault="00995858" w:rsidP="004F06E8">
      <w:pPr>
        <w:pStyle w:val="ListParagraph"/>
        <w:numPr>
          <w:ilvl w:val="0"/>
          <w:numId w:val="148"/>
        </w:numPr>
        <w:rPr>
          <w:noProof/>
        </w:rPr>
      </w:pPr>
      <w:r w:rsidRPr="004F06E8">
        <w:rPr>
          <w:noProof/>
        </w:rPr>
        <w:t>Ontology: view the world as orderly and consisting of patterns of ordered events or behaviors.</w:t>
      </w:r>
    </w:p>
    <w:p w14:paraId="6B35FB4E" w14:textId="44E8583D" w:rsidR="00995858" w:rsidRPr="004F06E8" w:rsidRDefault="00995858" w:rsidP="004F06E8">
      <w:pPr>
        <w:pStyle w:val="ListParagraph"/>
        <w:numPr>
          <w:ilvl w:val="0"/>
          <w:numId w:val="148"/>
        </w:numPr>
        <w:rPr>
          <w:noProof/>
        </w:rPr>
      </w:pPr>
      <w:r w:rsidRPr="004F06E8">
        <w:rPr>
          <w:noProof/>
        </w:rPr>
        <w:t>Epistemology: believe the best way to study the world is through an objective approach, independent of the observer, using standardized tools like surveys.</w:t>
      </w:r>
    </w:p>
    <w:p w14:paraId="6A074196" w14:textId="77777777" w:rsidR="00995858" w:rsidRPr="004F06E8" w:rsidRDefault="00995858" w:rsidP="004F06E8">
      <w:pPr>
        <w:rPr>
          <w:noProof/>
        </w:rPr>
      </w:pPr>
      <w:r w:rsidRPr="004F06E8">
        <w:rPr>
          <w:noProof/>
        </w:rPr>
        <w:t>Interpretivism is adopted by researchers who:</w:t>
      </w:r>
    </w:p>
    <w:p w14:paraId="336BF501" w14:textId="1C5A47BC" w:rsidR="00995858" w:rsidRPr="004F06E8" w:rsidRDefault="00995858" w:rsidP="004F06E8">
      <w:pPr>
        <w:pStyle w:val="ListParagraph"/>
        <w:numPr>
          <w:ilvl w:val="0"/>
          <w:numId w:val="149"/>
        </w:numPr>
        <w:rPr>
          <w:noProof/>
        </w:rPr>
      </w:pPr>
      <w:r w:rsidRPr="004F06E8">
        <w:rPr>
          <w:noProof/>
        </w:rPr>
        <w:t>Ontology: view the world as orderly and consisting of patterns of ordered events or behaviors.</w:t>
      </w:r>
    </w:p>
    <w:p w14:paraId="4FA2F537" w14:textId="6E054D1B" w:rsidR="00995858" w:rsidRPr="004F06E8" w:rsidRDefault="00995858" w:rsidP="004F06E8">
      <w:pPr>
        <w:pStyle w:val="ListParagraph"/>
        <w:numPr>
          <w:ilvl w:val="0"/>
          <w:numId w:val="149"/>
        </w:numPr>
        <w:rPr>
          <w:noProof/>
        </w:rPr>
      </w:pPr>
      <w:r w:rsidRPr="004F06E8">
        <w:rPr>
          <w:noProof/>
        </w:rPr>
        <w:t>Epistemology: believe the best way to study the world is through the subjective interpretation of participants, using techniques like interviews, and then reconciling differences based on their perspectives.</w:t>
      </w:r>
    </w:p>
    <w:p w14:paraId="327DB432" w14:textId="77777777" w:rsidR="00995858" w:rsidRPr="004F06E8" w:rsidRDefault="00995858" w:rsidP="004F06E8">
      <w:pPr>
        <w:rPr>
          <w:noProof/>
        </w:rPr>
      </w:pPr>
      <w:r w:rsidRPr="004F06E8">
        <w:rPr>
          <w:noProof/>
        </w:rPr>
        <w:t>Radical structuralism is adopted by researchers who:</w:t>
      </w:r>
    </w:p>
    <w:p w14:paraId="1B76C12D" w14:textId="35E2BC1B" w:rsidR="00995858" w:rsidRPr="004F06E8" w:rsidRDefault="00995858" w:rsidP="004F06E8">
      <w:pPr>
        <w:pStyle w:val="ListParagraph"/>
        <w:numPr>
          <w:ilvl w:val="0"/>
          <w:numId w:val="150"/>
        </w:numPr>
        <w:rPr>
          <w:noProof/>
        </w:rPr>
      </w:pPr>
      <w:r w:rsidRPr="004F06E8">
        <w:rPr>
          <w:noProof/>
        </w:rPr>
        <w:t>Ontology: view the world as constantly changing, often radically, with few stable patterns or behaviors.</w:t>
      </w:r>
    </w:p>
    <w:p w14:paraId="35DD9B1D" w14:textId="6A5A9C00" w:rsidR="00995858" w:rsidRPr="004F06E8" w:rsidRDefault="00995858" w:rsidP="004F06E8">
      <w:pPr>
        <w:pStyle w:val="ListParagraph"/>
        <w:numPr>
          <w:ilvl w:val="0"/>
          <w:numId w:val="150"/>
        </w:numPr>
        <w:rPr>
          <w:noProof/>
        </w:rPr>
      </w:pPr>
      <w:r w:rsidRPr="004F06E8">
        <w:rPr>
          <w:noProof/>
        </w:rPr>
        <w:t>Epistemology: believe the best way to study the world is through an objective approach, independent of the observer, using standardized tools like surveys.</w:t>
      </w:r>
    </w:p>
    <w:p w14:paraId="06C44D9D" w14:textId="77777777" w:rsidR="00995858" w:rsidRPr="004F06E8" w:rsidRDefault="00995858" w:rsidP="004F06E8">
      <w:pPr>
        <w:rPr>
          <w:noProof/>
        </w:rPr>
      </w:pPr>
      <w:r w:rsidRPr="004F06E8">
        <w:rPr>
          <w:noProof/>
        </w:rPr>
        <w:t>Radical humanism is adopted by researchers who:</w:t>
      </w:r>
    </w:p>
    <w:p w14:paraId="33E23EFA" w14:textId="7DFDC863" w:rsidR="00995858" w:rsidRPr="004F06E8" w:rsidRDefault="00995858" w:rsidP="004F06E8">
      <w:pPr>
        <w:pStyle w:val="ListParagraph"/>
        <w:numPr>
          <w:ilvl w:val="0"/>
          <w:numId w:val="151"/>
        </w:numPr>
        <w:rPr>
          <w:noProof/>
        </w:rPr>
      </w:pPr>
      <w:r w:rsidRPr="004F06E8">
        <w:rPr>
          <w:noProof/>
        </w:rPr>
        <w:lastRenderedPageBreak/>
        <w:t>Ontology: view the world as constantly changing, often radically, with few stable patterns or behaviors.</w:t>
      </w:r>
    </w:p>
    <w:p w14:paraId="0996C67A" w14:textId="1881B67D" w:rsidR="00995858" w:rsidRDefault="00995858" w:rsidP="004F06E8">
      <w:pPr>
        <w:pStyle w:val="ListParagraph"/>
        <w:numPr>
          <w:ilvl w:val="0"/>
          <w:numId w:val="151"/>
        </w:numPr>
        <w:rPr>
          <w:noProof/>
        </w:rPr>
      </w:pPr>
      <w:r w:rsidRPr="004F06E8">
        <w:rPr>
          <w:noProof/>
        </w:rPr>
        <w:t>Epistemology: believe the best way to study the world is through the subjective interpretation of participants, using techniques like interviews, and then reconciling differences based on their perspectives.</w:t>
      </w:r>
    </w:p>
    <w:p w14:paraId="015AE291" w14:textId="1F32BCA8" w:rsidR="00BA4EBF" w:rsidRPr="004F06E8" w:rsidRDefault="00BA4EBF" w:rsidP="00BA4EBF">
      <w:pPr>
        <w:rPr>
          <w:noProof/>
        </w:rPr>
      </w:pPr>
      <w:r>
        <w:rPr>
          <w:noProof/>
        </w:rPr>
        <w:drawing>
          <wp:inline distT="0" distB="0" distL="0" distR="0" wp14:anchorId="787C40E2" wp14:editId="7A7FA5B5">
            <wp:extent cx="5486400" cy="3200400"/>
            <wp:effectExtent l="0" t="0" r="0" b="0"/>
            <wp:docPr id="112399878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236B842F" w14:textId="5D8B6E2E" w:rsidR="00995858" w:rsidRPr="004F06E8" w:rsidRDefault="00995858" w:rsidP="004F06E8">
      <w:pPr>
        <w:rPr>
          <w:noProof/>
        </w:rPr>
      </w:pPr>
      <w:r w:rsidRPr="004F06E8">
        <w:rPr>
          <w:noProof/>
        </w:rPr>
        <w:t>Historically, business research has predominantly followed the natural sciences and embraced functionalist methods. Researchers in this tradition tend to believe that social patterns can be understood by analyzing their functional components in detail, using objective techniques such as surveys and experiments. However, a small but growing number of researchers adopt interpretive approaches, seeking to understand social order through interviews and ethnographic studies, which involve immersing oneself in a social setting to grasp its complexity.</w:t>
      </w:r>
    </w:p>
    <w:p w14:paraId="0EC4B5D7" w14:textId="77777777" w:rsidR="00995858" w:rsidRPr="004F06E8" w:rsidRDefault="00995858" w:rsidP="004F06E8">
      <w:pPr>
        <w:rPr>
          <w:noProof/>
        </w:rPr>
      </w:pPr>
      <w:r w:rsidRPr="004F06E8">
        <w:rPr>
          <w:noProof/>
        </w:rPr>
        <w:t>Radical structuralism and radical humanism currently represent a very small proportion of business research, perhaps because the rapidly changing nature of the business world makes it challenging to conduct research based on these paradigms. Nevertheless, many organizational phenomena involve elements of both order and change. For example, a company's success may depend on formalized processes and roles, while also being influenced by a constantly shifting landscape of competitors, products, suppliers, and customers.</w:t>
      </w:r>
    </w:p>
    <w:p w14:paraId="5327CFEE" w14:textId="058E7D98" w:rsidR="00A626FE" w:rsidRPr="000E309B" w:rsidRDefault="00995858" w:rsidP="004F06E8">
      <w:r w:rsidRPr="004F06E8">
        <w:rPr>
          <w:noProof/>
        </w:rPr>
        <w:t>Therefore, to fully understand complex issues such as why some businesses thrive while others fail, researchers may need to adopt a multi-modal approach that draws on multiple paradigms. By combining insights from functionalist and interpretivist approaches, for instance, researchers could develop a more comprehensive understanding that accounts for both the stable, structural elements and the dynamic, subjective aspects of organizational reality.</w:t>
      </w:r>
    </w:p>
    <w:p w14:paraId="5327CFEF" w14:textId="675D41EB" w:rsidR="00A626FE" w:rsidRPr="000E309B" w:rsidRDefault="001D2AD5" w:rsidP="00D76CA0">
      <w:pPr>
        <w:pStyle w:val="Heading3"/>
      </w:pPr>
      <w:bookmarkStart w:id="24" w:name="_Toc169156682"/>
      <w:r w:rsidRPr="001D2AD5">
        <w:lastRenderedPageBreak/>
        <w:t>Paradigms and Theories in Business and Marketing Research</w:t>
      </w:r>
      <w:bookmarkEnd w:id="24"/>
    </w:p>
    <w:p w14:paraId="20A8B520" w14:textId="06EC0AA0" w:rsidR="00720CAA" w:rsidRDefault="009F4B41" w:rsidP="00720CAA">
      <w:r>
        <w:rPr>
          <w:noProof/>
        </w:rPr>
        <w:drawing>
          <wp:anchor distT="0" distB="0" distL="114300" distR="114300" simplePos="0" relativeHeight="251658303" behindDoc="0" locked="0" layoutInCell="1" allowOverlap="1" wp14:anchorId="34934AFA" wp14:editId="469732BB">
            <wp:simplePos x="0" y="0"/>
            <wp:positionH relativeFrom="column">
              <wp:posOffset>4362450</wp:posOffset>
            </wp:positionH>
            <wp:positionV relativeFrom="paragraph">
              <wp:posOffset>0</wp:posOffset>
            </wp:positionV>
            <wp:extent cx="1572768" cy="1572768"/>
            <wp:effectExtent l="0" t="0" r="8890" b="889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572768" cy="15727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CAA">
        <w:t>In business and marketing research, the terms "paradigm" and "theory" are often used interchangeably, although experts debate whether these concepts are identical or distinct. This text distinguishes between the two ideas to provide a framework for understanding the connections between research methods and scientific thinking.</w:t>
      </w:r>
    </w:p>
    <w:p w14:paraId="46F27064" w14:textId="48B9472B" w:rsidR="00720CAA" w:rsidRDefault="00720CAA" w:rsidP="00720CAA">
      <w:r>
        <w:t>A paradigm refers to a researcher's frame of reference or belief system, which shapes their approach to research design and interpretation of findings. Paradigms are often complex and influenced by factors such as upbringing, family, education, and societal norms. They are usually implicit and taken for granted, making them difficult to recognize. However, understanding paradigms is crucial for making sense of and reconciling differences in people's perceptions of the same social phenomenon.</w:t>
      </w:r>
    </w:p>
    <w:p w14:paraId="594E2DA7" w14:textId="77777777" w:rsidR="00720CAA" w:rsidRDefault="00720CAA" w:rsidP="00720CAA">
      <w:r>
        <w:t>Paradigms can be likened to "colored glasses" that shape how people structure their thoughts about the world. For example, consider a situation where a particular technology is successfully implemented in one organization but fails in another. A researcher using a "rational lens" might seek explanations related to the technology itself or its fit with the task context. In contrast, a researcher with a "social lens" may explore issues such as user training or management support, while someone with a "political lens" might investigate organizational politics that could undermine the implementation process. These different paradigms guide researchers to focus on different aspects of the problem and interpret their findings accordingly. A comprehensive understanding of the issue may require applying multiple paradigms.</w:t>
      </w:r>
    </w:p>
    <w:p w14:paraId="0351F8A6" w14:textId="0EC717E4" w:rsidR="00720CAA" w:rsidRDefault="00720CAA" w:rsidP="00720CAA">
      <w:r>
        <w:t>Two paradigms commonly found in business research are positivism and postmodernism. Positivism, based on the work of</w:t>
      </w:r>
      <w:r w:rsidR="002C3F2D">
        <w:t xml:space="preserve"> </w:t>
      </w:r>
      <w:r>
        <w:t>Auguste Comte (1798-1857), assumes that society can and should be studied objectively and empirically, aiming for value-free research. This paradigm relies on deductive logic, which involves drawing conclusions based on applying general principles to specific instances. However, positivism's strict emphasis on empirical data led to the rejection of topics that could not be directly measured, such as human thoughts and emotions.</w:t>
      </w:r>
    </w:p>
    <w:p w14:paraId="317BDBD3" w14:textId="77777777" w:rsidR="00720CAA" w:rsidRDefault="00720CAA" w:rsidP="00720CAA">
      <w:r>
        <w:t>In response to the limitations of positivism, postmodernism emerged in the mid-20th century. This paradigm argues for combining empirical observations with logical reasoning and explores the contingencies that affect scientific research. Postmodernism has further divided into two camps: subjectivists, who view reality as a subjective construction of the mind, and critical realists, who believe in an external reality that can never be known with certainty.</w:t>
      </w:r>
    </w:p>
    <w:p w14:paraId="43BA81CF" w14:textId="77777777" w:rsidR="00720CAA" w:rsidRDefault="00720CAA" w:rsidP="00720CAA">
      <w:r>
        <w:t xml:space="preserve">Understanding the paradigms underlying research is essential because they shape the questions asked, methods used, and interpretations of findings. While positivism and postmodernism represent two influential paradigms in business research, there are many others, each with its own </w:t>
      </w:r>
      <w:r>
        <w:lastRenderedPageBreak/>
        <w:t>assumptions and implications. Researchers should be aware of their own paradigmatic influences and consider how alternative paradigms might enrich their understanding of complex phenomena.</w:t>
      </w:r>
    </w:p>
    <w:p w14:paraId="1982ABCB" w14:textId="70D3F767" w:rsidR="00720CAA" w:rsidRDefault="00720CAA" w:rsidP="00720CAA">
      <w:r>
        <w:t xml:space="preserve">In contrast to paradigms, theories are more specific explanations of phenomena based on empirical observations and logical reasoning. For example, the </w:t>
      </w:r>
      <w:r w:rsidR="00364F59">
        <w:t>T</w:t>
      </w:r>
      <w:r>
        <w:t xml:space="preserve">echnology </w:t>
      </w:r>
      <w:r w:rsidR="00364F59">
        <w:t>A</w:t>
      </w:r>
      <w:r>
        <w:t xml:space="preserve">cceptance </w:t>
      </w:r>
      <w:r w:rsidR="00364F59">
        <w:t>M</w:t>
      </w:r>
      <w:r>
        <w:t>odel (TAM) is a theory that explains user acceptance of new technologies based on factors such as perceived usefulness and ease of use. While theories are informed by paradigms, they are more focused and testable explanations of specific aspects of reality.</w:t>
      </w:r>
    </w:p>
    <w:p w14:paraId="5327CFF7" w14:textId="754DA115" w:rsidR="00A626FE" w:rsidRDefault="00720CAA" w:rsidP="00720CAA">
      <w:r>
        <w:t>In summary, paradigms are overarching belief systems that shape researchers' approaches to inquiry, while theories are targeted explanations of phenomena based on empirical evidence and reasoning. By recognizing the distinctions and interplay between paradigms and theories, researchers can develop a more nuanced understanding of the scientific process and the factors that influence knowledge creation in business and marketing research.</w:t>
      </w:r>
    </w:p>
    <w:p w14:paraId="6C74069C" w14:textId="77777777" w:rsidR="00285756" w:rsidRPr="00285756" w:rsidRDefault="00285756" w:rsidP="00285756">
      <w:pPr>
        <w:pStyle w:val="Heading3"/>
      </w:pPr>
      <w:bookmarkStart w:id="25" w:name="_Toc169156683"/>
      <w:r w:rsidRPr="00285756">
        <w:t>What is a Theory?</w:t>
      </w:r>
      <w:bookmarkEnd w:id="25"/>
    </w:p>
    <w:p w14:paraId="3A2E6FDB" w14:textId="37D148FD" w:rsidR="00285756" w:rsidRPr="00285756" w:rsidRDefault="00285756" w:rsidP="00285756">
      <w:pPr>
        <w:rPr>
          <w:rFonts w:eastAsiaTheme="majorEastAsia"/>
        </w:rPr>
      </w:pPr>
      <w:r w:rsidRPr="00285756">
        <w:rPr>
          <w:rFonts w:eastAsiaTheme="majorEastAsia"/>
        </w:rPr>
        <w:t xml:space="preserve">A theory is an explanation of natural or social behavior, events, or phenomena. In scientific research, a theory is more than just a guess or speculation. It is a well-researched, logical, and </w:t>
      </w:r>
      <w:r w:rsidR="00D271BF">
        <w:rPr>
          <w:rFonts w:eastAsiaTheme="majorEastAsia"/>
        </w:rPr>
        <w:t>“</w:t>
      </w:r>
      <w:r w:rsidR="003B7325" w:rsidRPr="003B7325">
        <w:rPr>
          <w:rFonts w:eastAsiaTheme="majorEastAsia"/>
        </w:rPr>
        <w:t>coherent explanation of a phenomenon</w:t>
      </w:r>
      <w:r w:rsidR="00D271BF">
        <w:rPr>
          <w:rFonts w:eastAsiaTheme="majorEastAsia"/>
        </w:rPr>
        <w:t>”</w:t>
      </w:r>
      <w:r w:rsidR="00A4252D">
        <w:rPr>
          <w:rFonts w:eastAsiaTheme="majorEastAsia"/>
        </w:rPr>
        <w:t xml:space="preserve"> </w:t>
      </w:r>
      <w:r w:rsidR="00A4252D">
        <w:rPr>
          <w:rFonts w:eastAsiaTheme="majorEastAsia"/>
        </w:rPr>
        <w:fldChar w:fldCharType="begin"/>
      </w:r>
      <w:r w:rsidR="007C07B4">
        <w:rPr>
          <w:rFonts w:eastAsiaTheme="majorEastAsia"/>
        </w:rPr>
        <w:instrText xml:space="preserve"> ADDIN ZOTERO_ITEM CSL_CITATION {"citationID":"a25utlrpqbm","properties":{"formattedCitation":"[12]","plainCitation":"[12]","noteIndex":0},"citationItems":[{"id":71,"uris":["http://zotero.org/users/5015692/items/FAH4YS7R"],"itemData":{"id":71,"type":"article-journal","container-title":"Academy of management review","issue":"4","page":"496–515","title":"Organizational theories: Some criteria for evaluation","volume":"14","author":[{"family":"Bacharach","given":"Samuel B"}],"issued":{"date-parts":[["1989"]]}}}],"schema":"https://github.com/citation-style-language/schema/raw/master/csl-citation.json"} </w:instrText>
      </w:r>
      <w:r w:rsidR="00A4252D">
        <w:rPr>
          <w:rFonts w:eastAsiaTheme="majorEastAsia"/>
        </w:rPr>
        <w:fldChar w:fldCharType="separate"/>
      </w:r>
      <w:r w:rsidR="007C07B4" w:rsidRPr="007C07B4">
        <w:t>[12]</w:t>
      </w:r>
      <w:r w:rsidR="00A4252D">
        <w:rPr>
          <w:rFonts w:eastAsiaTheme="majorEastAsia"/>
        </w:rPr>
        <w:fldChar w:fldCharType="end"/>
      </w:r>
      <w:r w:rsidRPr="00285756">
        <w:rPr>
          <w:rFonts w:eastAsiaTheme="majorEastAsia"/>
        </w:rPr>
        <w:t xml:space="preserve"> based on repeated observations and facts.</w:t>
      </w:r>
    </w:p>
    <w:p w14:paraId="0721BBE4" w14:textId="47442963" w:rsidR="00285756" w:rsidRPr="00285756" w:rsidRDefault="00285756" w:rsidP="00285756">
      <w:pPr>
        <w:rPr>
          <w:rFonts w:eastAsiaTheme="majorEastAsia"/>
        </w:rPr>
      </w:pPr>
      <w:r w:rsidRPr="00285756">
        <w:rPr>
          <w:rFonts w:eastAsiaTheme="majorEastAsia"/>
        </w:rPr>
        <w:t>Imagine a puzzle with many pieces. Each piece represents an observed fact or finding. A theory is like a completed puzzle, providing a clear picture of how all the pieces fit together and explaining the phenomenon of interest.</w:t>
      </w:r>
    </w:p>
    <w:p w14:paraId="73031902" w14:textId="77777777" w:rsidR="00285756" w:rsidRPr="00285756" w:rsidRDefault="00285756" w:rsidP="00285756">
      <w:pPr>
        <w:rPr>
          <w:rFonts w:eastAsiaTheme="majorEastAsia"/>
        </w:rPr>
      </w:pPr>
      <w:r w:rsidRPr="00285756">
        <w:rPr>
          <w:rFonts w:eastAsiaTheme="majorEastAsia"/>
        </w:rPr>
        <w:t>For example, the theory of plate tectonics explains how the earth's continents slowly move across the surface. This theory is supported by decades of research and observations, not just idle speculation.</w:t>
      </w:r>
    </w:p>
    <w:p w14:paraId="25AC7F29" w14:textId="77777777" w:rsidR="00285756" w:rsidRPr="00285756" w:rsidRDefault="00285756" w:rsidP="009D194C">
      <w:pPr>
        <w:rPr>
          <w:rFonts w:eastAsiaTheme="majorEastAsia"/>
        </w:rPr>
      </w:pPr>
      <w:r w:rsidRPr="00285756">
        <w:rPr>
          <w:rFonts w:eastAsiaTheme="majorEastAsia"/>
        </w:rPr>
        <w:t>A good scientific theory should:</w:t>
      </w:r>
    </w:p>
    <w:p w14:paraId="6CDA15CF" w14:textId="0821B9CA" w:rsidR="00285756" w:rsidRPr="009D194C" w:rsidRDefault="00285756" w:rsidP="009D194C">
      <w:pPr>
        <w:pStyle w:val="ListParagraph"/>
        <w:numPr>
          <w:ilvl w:val="0"/>
          <w:numId w:val="152"/>
        </w:numPr>
        <w:rPr>
          <w:rFonts w:eastAsiaTheme="majorEastAsia"/>
        </w:rPr>
      </w:pPr>
      <w:r w:rsidRPr="009D194C">
        <w:rPr>
          <w:rFonts w:eastAsiaTheme="majorEastAsia"/>
        </w:rPr>
        <w:t xml:space="preserve">Be well-supported by observed </w:t>
      </w:r>
      <w:r w:rsidR="009D194C" w:rsidRPr="009D194C">
        <w:rPr>
          <w:rFonts w:eastAsiaTheme="majorEastAsia"/>
        </w:rPr>
        <w:t>facts.</w:t>
      </w:r>
    </w:p>
    <w:p w14:paraId="0583A13C" w14:textId="10E12372" w:rsidR="00285756" w:rsidRPr="009D194C" w:rsidRDefault="00285756" w:rsidP="009D194C">
      <w:pPr>
        <w:pStyle w:val="ListParagraph"/>
        <w:numPr>
          <w:ilvl w:val="0"/>
          <w:numId w:val="152"/>
        </w:numPr>
        <w:rPr>
          <w:rFonts w:eastAsiaTheme="majorEastAsia"/>
        </w:rPr>
      </w:pPr>
      <w:r w:rsidRPr="009D194C">
        <w:rPr>
          <w:rFonts w:eastAsiaTheme="majorEastAsia"/>
        </w:rPr>
        <w:t>Have practical value</w:t>
      </w:r>
      <w:r w:rsidR="009D194C">
        <w:rPr>
          <w:rFonts w:eastAsiaTheme="majorEastAsia"/>
        </w:rPr>
        <w:t>.</w:t>
      </w:r>
    </w:p>
    <w:p w14:paraId="25CD382A" w14:textId="28199492" w:rsidR="00285756" w:rsidRPr="009D194C" w:rsidRDefault="00285756" w:rsidP="009D194C">
      <w:pPr>
        <w:pStyle w:val="ListParagraph"/>
        <w:numPr>
          <w:ilvl w:val="0"/>
          <w:numId w:val="152"/>
        </w:numPr>
        <w:rPr>
          <w:rFonts w:eastAsiaTheme="majorEastAsia"/>
        </w:rPr>
      </w:pPr>
      <w:r w:rsidRPr="009D194C">
        <w:rPr>
          <w:rFonts w:eastAsiaTheme="majorEastAsia"/>
        </w:rPr>
        <w:t>Explain why things happen, not just describe or predict them</w:t>
      </w:r>
      <w:r w:rsidR="009D194C">
        <w:rPr>
          <w:rFonts w:eastAsiaTheme="majorEastAsia"/>
        </w:rPr>
        <w:t>.</w:t>
      </w:r>
    </w:p>
    <w:p w14:paraId="4CF07408" w14:textId="7454D075" w:rsidR="00285756" w:rsidRPr="00285756" w:rsidRDefault="00285756" w:rsidP="009D194C">
      <w:pPr>
        <w:rPr>
          <w:rFonts w:eastAsiaTheme="majorEastAsia"/>
        </w:rPr>
      </w:pPr>
      <w:r w:rsidRPr="00285756">
        <w:rPr>
          <w:rFonts w:eastAsiaTheme="majorEastAsia"/>
        </w:rPr>
        <w:t>As Karl Marx once said, "Practice without theory is blind. Theory without practice is sterile."</w:t>
      </w:r>
      <w:r w:rsidR="001A49A3">
        <w:rPr>
          <w:rFonts w:eastAsiaTheme="majorEastAsia"/>
        </w:rPr>
        <w:t xml:space="preserve"> </w:t>
      </w:r>
      <w:r w:rsidR="001A49A3">
        <w:rPr>
          <w:rFonts w:eastAsiaTheme="majorEastAsia"/>
        </w:rPr>
        <w:fldChar w:fldCharType="begin"/>
      </w:r>
      <w:r w:rsidR="007C07B4">
        <w:rPr>
          <w:rFonts w:eastAsiaTheme="majorEastAsia"/>
        </w:rPr>
        <w:instrText xml:space="preserve"> ADDIN ZOTERO_ITEM CSL_CITATION {"citationID":"a2q6tm695d3","properties":{"formattedCitation":"[13]","plainCitation":"[13]","noteIndex":0},"citationItems":[{"id":62,"uris":["http://zotero.org/users/5015692/items/QR9NI4DC"],"itemData":{"id":62,"type":"article-journal","container-title":"Introduction”. Marx and Engels Collected Works","title":"Contribution to the Critique of Hegel’s Philosophy of Law","volume":"3","author":[{"family":"Marx","given":"Karl"}],"issued":{"date-parts":[["1971"]]}}}],"schema":"https://github.com/citation-style-language/schema/raw/master/csl-citation.json"} </w:instrText>
      </w:r>
      <w:r w:rsidR="001A49A3">
        <w:rPr>
          <w:rFonts w:eastAsiaTheme="majorEastAsia"/>
        </w:rPr>
        <w:fldChar w:fldCharType="separate"/>
      </w:r>
      <w:r w:rsidR="007C07B4" w:rsidRPr="007C07B4">
        <w:t>[13]</w:t>
      </w:r>
      <w:r w:rsidR="001A49A3">
        <w:rPr>
          <w:rFonts w:eastAsiaTheme="majorEastAsia"/>
        </w:rPr>
        <w:fldChar w:fldCharType="end"/>
      </w:r>
      <w:r w:rsidR="00D271BF">
        <w:rPr>
          <w:rFonts w:eastAsiaTheme="majorEastAsia"/>
        </w:rPr>
        <w:t xml:space="preserve"> </w:t>
      </w:r>
      <w:r w:rsidRPr="00285756">
        <w:rPr>
          <w:rFonts w:eastAsiaTheme="majorEastAsia"/>
        </w:rPr>
        <w:t>Both theory and practice are essential in research.</w:t>
      </w:r>
    </w:p>
    <w:p w14:paraId="7E612DBB" w14:textId="77777777" w:rsidR="00285756" w:rsidRPr="00285756" w:rsidRDefault="00285756" w:rsidP="00E25DC8">
      <w:pPr>
        <w:pStyle w:val="Heading4"/>
      </w:pPr>
      <w:r w:rsidRPr="00285756">
        <w:t>Prediction vs. Explanation</w:t>
      </w:r>
    </w:p>
    <w:p w14:paraId="71244C8D" w14:textId="77777777" w:rsidR="00285756" w:rsidRPr="00285756" w:rsidRDefault="00285756" w:rsidP="00E25DC8">
      <w:pPr>
        <w:rPr>
          <w:rFonts w:eastAsiaTheme="majorEastAsia"/>
        </w:rPr>
      </w:pPr>
      <w:r w:rsidRPr="00285756">
        <w:rPr>
          <w:rFonts w:eastAsiaTheme="majorEastAsia"/>
        </w:rPr>
        <w:t>It's important to note that predicting events does not necessarily explain why they occur. Prediction only requires correlation, while explanation requires causation. Causation has three conditions:</w:t>
      </w:r>
    </w:p>
    <w:p w14:paraId="5B89616A" w14:textId="77777777" w:rsidR="00285756" w:rsidRPr="0069317A" w:rsidRDefault="00285756" w:rsidP="0069317A">
      <w:pPr>
        <w:pStyle w:val="ListParagraph"/>
        <w:numPr>
          <w:ilvl w:val="0"/>
          <w:numId w:val="153"/>
        </w:numPr>
        <w:rPr>
          <w:rFonts w:eastAsiaTheme="majorEastAsia"/>
        </w:rPr>
      </w:pPr>
      <w:r w:rsidRPr="0069317A">
        <w:rPr>
          <w:rFonts w:eastAsiaTheme="majorEastAsia"/>
        </w:rPr>
        <w:t>Correlation between two constructs</w:t>
      </w:r>
    </w:p>
    <w:p w14:paraId="406B06C2" w14:textId="77777777" w:rsidR="00285756" w:rsidRPr="0069317A" w:rsidRDefault="00285756" w:rsidP="0069317A">
      <w:pPr>
        <w:pStyle w:val="ListParagraph"/>
        <w:numPr>
          <w:ilvl w:val="0"/>
          <w:numId w:val="153"/>
        </w:numPr>
        <w:rPr>
          <w:rFonts w:eastAsiaTheme="majorEastAsia"/>
        </w:rPr>
      </w:pPr>
      <w:r w:rsidRPr="0069317A">
        <w:rPr>
          <w:rFonts w:eastAsiaTheme="majorEastAsia"/>
        </w:rPr>
        <w:t>Temporal precedence (the cause must come before the effect)</w:t>
      </w:r>
    </w:p>
    <w:p w14:paraId="64EF25DA" w14:textId="77777777" w:rsidR="00285756" w:rsidRPr="0069317A" w:rsidRDefault="00285756" w:rsidP="0069317A">
      <w:pPr>
        <w:pStyle w:val="ListParagraph"/>
        <w:numPr>
          <w:ilvl w:val="0"/>
          <w:numId w:val="153"/>
        </w:numPr>
        <w:rPr>
          <w:rFonts w:eastAsiaTheme="majorEastAsia"/>
        </w:rPr>
      </w:pPr>
      <w:r w:rsidRPr="0069317A">
        <w:rPr>
          <w:rFonts w:eastAsiaTheme="majorEastAsia"/>
        </w:rPr>
        <w:t>Rejection of alternative hypotheses (through testing)</w:t>
      </w:r>
    </w:p>
    <w:p w14:paraId="458C132E" w14:textId="77777777" w:rsidR="00285756" w:rsidRPr="00285756" w:rsidRDefault="00285756" w:rsidP="0069317A">
      <w:pPr>
        <w:pStyle w:val="Heading4"/>
      </w:pPr>
      <w:r w:rsidRPr="00285756">
        <w:lastRenderedPageBreak/>
        <w:t>What Theory is Not</w:t>
      </w:r>
    </w:p>
    <w:p w14:paraId="29C8B6A3" w14:textId="77777777" w:rsidR="00285756" w:rsidRPr="00285756" w:rsidRDefault="00285756" w:rsidP="0069317A">
      <w:pPr>
        <w:rPr>
          <w:rFonts w:eastAsiaTheme="majorEastAsia"/>
        </w:rPr>
      </w:pPr>
      <w:r w:rsidRPr="00285756">
        <w:rPr>
          <w:rFonts w:eastAsiaTheme="majorEastAsia"/>
        </w:rPr>
        <w:t>Theory is not just data, facts, typologies, taxonomies, or empirical findings. A collection of facts alone does not make a theory, just like a pile of stones does not make a house. Theories go beyond simple constructs to include propositions, explanations, and boundary conditions.</w:t>
      </w:r>
    </w:p>
    <w:p w14:paraId="4280F0A7" w14:textId="77777777" w:rsidR="00285756" w:rsidRPr="00285756" w:rsidRDefault="00285756" w:rsidP="0069317A">
      <w:pPr>
        <w:pStyle w:val="Heading4"/>
      </w:pPr>
      <w:r w:rsidRPr="00285756">
        <w:t>Benefits and Limitations of Theories</w:t>
      </w:r>
    </w:p>
    <w:p w14:paraId="679D0D95" w14:textId="77777777" w:rsidR="00285756" w:rsidRPr="00285756" w:rsidRDefault="00285756" w:rsidP="0069317A">
      <w:pPr>
        <w:rPr>
          <w:rFonts w:eastAsiaTheme="majorEastAsia"/>
        </w:rPr>
      </w:pPr>
      <w:r w:rsidRPr="00285756">
        <w:rPr>
          <w:rFonts w:eastAsiaTheme="majorEastAsia"/>
        </w:rPr>
        <w:t>Theories have many benefits in research:</w:t>
      </w:r>
    </w:p>
    <w:p w14:paraId="339A5B36" w14:textId="0A18D5AE" w:rsidR="00285756" w:rsidRPr="00E057CC" w:rsidRDefault="00285756" w:rsidP="00E057CC">
      <w:pPr>
        <w:pStyle w:val="ListParagraph"/>
        <w:numPr>
          <w:ilvl w:val="0"/>
          <w:numId w:val="154"/>
        </w:numPr>
        <w:rPr>
          <w:rFonts w:eastAsiaTheme="majorEastAsia"/>
        </w:rPr>
      </w:pPr>
      <w:r w:rsidRPr="00E057CC">
        <w:rPr>
          <w:rFonts w:eastAsiaTheme="majorEastAsia"/>
        </w:rPr>
        <w:t>They provide the underlying logic to explain phenomena</w:t>
      </w:r>
      <w:r w:rsidR="00E057CC">
        <w:rPr>
          <w:rFonts w:eastAsiaTheme="majorEastAsia"/>
        </w:rPr>
        <w:t>.</w:t>
      </w:r>
    </w:p>
    <w:p w14:paraId="43A9E63B" w14:textId="75CA1793" w:rsidR="00285756" w:rsidRPr="00E057CC" w:rsidRDefault="00285756" w:rsidP="00E057CC">
      <w:pPr>
        <w:pStyle w:val="ListParagraph"/>
        <w:numPr>
          <w:ilvl w:val="0"/>
          <w:numId w:val="154"/>
        </w:numPr>
        <w:rPr>
          <w:rFonts w:eastAsiaTheme="majorEastAsia"/>
        </w:rPr>
      </w:pPr>
      <w:r w:rsidRPr="00E057CC">
        <w:rPr>
          <w:rFonts w:eastAsiaTheme="majorEastAsia"/>
        </w:rPr>
        <w:t>They help synthesize prior findings within a framework</w:t>
      </w:r>
      <w:r w:rsidR="00E057CC">
        <w:rPr>
          <w:rFonts w:eastAsiaTheme="majorEastAsia"/>
        </w:rPr>
        <w:t>.</w:t>
      </w:r>
    </w:p>
    <w:p w14:paraId="67F24770" w14:textId="64F7586A" w:rsidR="00285756" w:rsidRPr="00E057CC" w:rsidRDefault="00285756" w:rsidP="00E057CC">
      <w:pPr>
        <w:pStyle w:val="ListParagraph"/>
        <w:numPr>
          <w:ilvl w:val="0"/>
          <w:numId w:val="154"/>
        </w:numPr>
        <w:rPr>
          <w:rFonts w:eastAsiaTheme="majorEastAsia"/>
        </w:rPr>
      </w:pPr>
      <w:r w:rsidRPr="00E057CC">
        <w:rPr>
          <w:rFonts w:eastAsiaTheme="majorEastAsia"/>
        </w:rPr>
        <w:t>They guide future research by identifying important constructs and relationships</w:t>
      </w:r>
      <w:r w:rsidR="00E057CC">
        <w:rPr>
          <w:rFonts w:eastAsiaTheme="majorEastAsia"/>
        </w:rPr>
        <w:t>.</w:t>
      </w:r>
    </w:p>
    <w:p w14:paraId="54AB8401" w14:textId="0007B7A6" w:rsidR="00285756" w:rsidRPr="00E057CC" w:rsidRDefault="00285756" w:rsidP="00E057CC">
      <w:pPr>
        <w:pStyle w:val="ListParagraph"/>
        <w:numPr>
          <w:ilvl w:val="0"/>
          <w:numId w:val="154"/>
        </w:numPr>
        <w:rPr>
          <w:rFonts w:eastAsiaTheme="majorEastAsia"/>
        </w:rPr>
      </w:pPr>
      <w:r w:rsidRPr="00E057CC">
        <w:rPr>
          <w:rFonts w:eastAsiaTheme="majorEastAsia"/>
        </w:rPr>
        <w:t>They contribute to the cumulative body of knowledge and bridge gaps between other theories</w:t>
      </w:r>
      <w:r w:rsidR="00E057CC">
        <w:rPr>
          <w:rFonts w:eastAsiaTheme="majorEastAsia"/>
        </w:rPr>
        <w:t>.</w:t>
      </w:r>
    </w:p>
    <w:p w14:paraId="52F3FEEB" w14:textId="77777777" w:rsidR="00285756" w:rsidRPr="00285756" w:rsidRDefault="00285756" w:rsidP="00B97D94">
      <w:pPr>
        <w:rPr>
          <w:rFonts w:eastAsiaTheme="majorEastAsia"/>
        </w:rPr>
      </w:pPr>
      <w:r w:rsidRPr="00285756">
        <w:rPr>
          <w:rFonts w:eastAsiaTheme="majorEastAsia"/>
        </w:rPr>
        <w:t xml:space="preserve">However, theories also </w:t>
      </w:r>
      <w:r w:rsidRPr="00C3379D">
        <w:t>have</w:t>
      </w:r>
      <w:r w:rsidRPr="00285756">
        <w:rPr>
          <w:rFonts w:eastAsiaTheme="majorEastAsia"/>
        </w:rPr>
        <w:t xml:space="preserve"> limitations:</w:t>
      </w:r>
    </w:p>
    <w:p w14:paraId="62CAD411" w14:textId="117ABA68" w:rsidR="00285756" w:rsidRPr="00B6332B" w:rsidRDefault="00285756" w:rsidP="00B6332B">
      <w:pPr>
        <w:pStyle w:val="ListParagraph"/>
        <w:numPr>
          <w:ilvl w:val="0"/>
          <w:numId w:val="155"/>
        </w:numPr>
        <w:rPr>
          <w:rFonts w:eastAsiaTheme="majorEastAsia"/>
        </w:rPr>
      </w:pPr>
      <w:r w:rsidRPr="00B6332B">
        <w:rPr>
          <w:rFonts w:eastAsiaTheme="majorEastAsia"/>
        </w:rPr>
        <w:t>As simplified explanations of reality, they may not always adequately explain complex phenomena</w:t>
      </w:r>
      <w:r w:rsidR="00B6332B">
        <w:rPr>
          <w:rFonts w:eastAsiaTheme="majorEastAsia"/>
        </w:rPr>
        <w:t>.</w:t>
      </w:r>
    </w:p>
    <w:p w14:paraId="1A366D9D" w14:textId="2C4DDF4E" w:rsidR="00285756" w:rsidRPr="00B6332B" w:rsidRDefault="00285756" w:rsidP="00B6332B">
      <w:pPr>
        <w:pStyle w:val="ListParagraph"/>
        <w:numPr>
          <w:ilvl w:val="0"/>
          <w:numId w:val="155"/>
        </w:numPr>
        <w:rPr>
          <w:rFonts w:eastAsiaTheme="majorEastAsia"/>
        </w:rPr>
      </w:pPr>
      <w:r w:rsidRPr="00B6332B">
        <w:rPr>
          <w:rFonts w:eastAsiaTheme="majorEastAsia"/>
        </w:rPr>
        <w:t>They may limit researchers' "range of vision," causing them to overlook important concepts not defined by the theory</w:t>
      </w:r>
      <w:r w:rsidR="00B6332B">
        <w:rPr>
          <w:rFonts w:eastAsiaTheme="majorEastAsia"/>
        </w:rPr>
        <w:t>.</w:t>
      </w:r>
    </w:p>
    <w:p w14:paraId="5327D002" w14:textId="3517E6EB" w:rsidR="00A626FE" w:rsidRPr="000E309B" w:rsidRDefault="00285756" w:rsidP="00B6332B">
      <w:r w:rsidRPr="00B6332B">
        <w:rPr>
          <w:rFonts w:eastAsiaTheme="majorEastAsia"/>
        </w:rPr>
        <w:t>In conclusion, theories are essential tools in scientific research, providing logical and systematic explanations for phenomena based on observed facts. While they have limitations, theories play a crucial role in advancing our understanding of the world around us.</w:t>
      </w:r>
    </w:p>
    <w:p w14:paraId="7C4CABBB" w14:textId="77777777" w:rsidR="00BE47DA" w:rsidRDefault="00BE47DA" w:rsidP="00BE348A">
      <w:pPr>
        <w:pStyle w:val="Heading4"/>
      </w:pPr>
      <w:bookmarkStart w:id="26" w:name="Research_Process"/>
      <w:bookmarkStart w:id="27" w:name="Variables"/>
      <w:bookmarkEnd w:id="26"/>
      <w:bookmarkEnd w:id="27"/>
      <w:r>
        <w:t>The Building Blocks of a Theory</w:t>
      </w:r>
    </w:p>
    <w:p w14:paraId="246510FB" w14:textId="49CEB2E7" w:rsidR="00BE47DA" w:rsidRDefault="00BE47DA" w:rsidP="00BE348A">
      <w:r>
        <w:t>According to David Whetten</w:t>
      </w:r>
      <w:r w:rsidR="001A49A3">
        <w:t xml:space="preserve"> </w:t>
      </w:r>
      <w:r w:rsidR="001A49A3">
        <w:fldChar w:fldCharType="begin"/>
      </w:r>
      <w:r w:rsidR="007C07B4">
        <w:instrText xml:space="preserve"> ADDIN ZOTERO_ITEM CSL_CITATION {"citationID":"aqbqkjir89","properties":{"formattedCitation":"[14]","plainCitation":"[14]","noteIndex":0},"citationItems":[{"id":58,"uris":["http://zotero.org/users/5015692/items/WEBHYNI4"],"itemData":{"id":58,"type":"article-journal","container-title":"Academy of management review","issue":"4","page":"490–495","title":"What constitutes a theoretical contribution?","volume":"14","author":[{"family":"Whetten","given":"David A"}],"issued":{"date-parts":[["1989"]]}}}],"schema":"https://github.com/citation-style-language/schema/raw/master/csl-citation.json"} </w:instrText>
      </w:r>
      <w:r w:rsidR="001A49A3">
        <w:fldChar w:fldCharType="separate"/>
      </w:r>
      <w:r w:rsidR="007C07B4" w:rsidRPr="007C07B4">
        <w:t>[14]</w:t>
      </w:r>
      <w:r w:rsidR="001A49A3">
        <w:fldChar w:fldCharType="end"/>
      </w:r>
      <w:r>
        <w:t>, a theory consists of four essential building blocks: constructs, propositions, logic, and assumptions. Let's explore each of these components in detail.</w:t>
      </w:r>
    </w:p>
    <w:p w14:paraId="19CF0783" w14:textId="427C0581" w:rsidR="00BE47DA" w:rsidRDefault="00AB2A0C" w:rsidP="00951364">
      <w:pPr>
        <w:pStyle w:val="Heading5"/>
      </w:pPr>
      <w:r>
        <w:rPr>
          <w:noProof/>
        </w:rPr>
        <w:drawing>
          <wp:anchor distT="0" distB="0" distL="114300" distR="114300" simplePos="0" relativeHeight="251883604" behindDoc="0" locked="0" layoutInCell="1" allowOverlap="1" wp14:anchorId="52443DCE" wp14:editId="30ACF773">
            <wp:simplePos x="0" y="0"/>
            <wp:positionH relativeFrom="column">
              <wp:posOffset>495300</wp:posOffset>
            </wp:positionH>
            <wp:positionV relativeFrom="paragraph">
              <wp:posOffset>57150</wp:posOffset>
            </wp:positionV>
            <wp:extent cx="4937760" cy="1876425"/>
            <wp:effectExtent l="0" t="57150" r="0" b="0"/>
            <wp:wrapTopAndBottom/>
            <wp:docPr id="62882829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margin">
              <wp14:pctWidth>0</wp14:pctWidth>
            </wp14:sizeRelH>
            <wp14:sizeRelV relativeFrom="margin">
              <wp14:pctHeight>0</wp14:pctHeight>
            </wp14:sizeRelV>
          </wp:anchor>
        </w:drawing>
      </w:r>
      <w:r w:rsidR="00BE47DA">
        <w:t>Constructs: The "What" of Theories</w:t>
      </w:r>
    </w:p>
    <w:p w14:paraId="365FDA86" w14:textId="77777777" w:rsidR="00BE47DA" w:rsidRDefault="00BE47DA" w:rsidP="00E17107">
      <w:r>
        <w:t>Constructs are the abstract concepts chosen to explain a phenomenon. They capture the essence of what the theory is trying to explain. Constructs can be:</w:t>
      </w:r>
    </w:p>
    <w:p w14:paraId="164F076C" w14:textId="77777777" w:rsidR="00BE47DA" w:rsidRDefault="00BE47DA" w:rsidP="00BB03E0">
      <w:pPr>
        <w:pStyle w:val="ListParagraph"/>
        <w:numPr>
          <w:ilvl w:val="0"/>
          <w:numId w:val="156"/>
        </w:numPr>
      </w:pPr>
      <w:r>
        <w:t>Unidimensional: Embodying a single concept (e.g., weight, age)</w:t>
      </w:r>
    </w:p>
    <w:p w14:paraId="70DC6B4F" w14:textId="77777777" w:rsidR="00BE47DA" w:rsidRDefault="00BE47DA" w:rsidP="00BB03E0">
      <w:pPr>
        <w:pStyle w:val="ListParagraph"/>
        <w:numPr>
          <w:ilvl w:val="0"/>
          <w:numId w:val="156"/>
        </w:numPr>
      </w:pPr>
      <w:r>
        <w:lastRenderedPageBreak/>
        <w:t>Multi-dimensional: Embodying multiple concepts (e.g., personality, culture)</w:t>
      </w:r>
    </w:p>
    <w:p w14:paraId="530DB4ED" w14:textId="77777777" w:rsidR="00BE47DA" w:rsidRDefault="00BE47DA" w:rsidP="00BB03E0">
      <w:pPr>
        <w:pStyle w:val="ListParagraph"/>
        <w:numPr>
          <w:ilvl w:val="0"/>
          <w:numId w:val="156"/>
        </w:numPr>
      </w:pPr>
      <w:r>
        <w:t>Temporal: Representing tendencies rather than steady states (e.g., trust, attitude, learning)</w:t>
      </w:r>
    </w:p>
    <w:p w14:paraId="4FE2D26C" w14:textId="77777777" w:rsidR="00BE47DA" w:rsidRDefault="00BE47DA" w:rsidP="00E17107">
      <w:r>
        <w:t>Regardless of their type, constructs must have a clear and unambiguous operational definition that specifies how they will be measured and at what level of analysis (individual, group, or organizational).</w:t>
      </w:r>
    </w:p>
    <w:p w14:paraId="1EA00242" w14:textId="77777777" w:rsidR="00BE47DA" w:rsidRDefault="00BE47DA" w:rsidP="00E17107">
      <w:r>
        <w:t>Variables are the measurable representations of abstract constructs. For example, intelligence quotient (IQ) is a variable that measures the construct of intelligence. Variables can be independent, dependent, mediating, or moderating.</w:t>
      </w:r>
    </w:p>
    <w:p w14:paraId="7CB548D0" w14:textId="517C1C15" w:rsidR="00BE47DA" w:rsidRDefault="00951364" w:rsidP="00951364">
      <w:pPr>
        <w:pStyle w:val="Heading5"/>
      </w:pPr>
      <w:r w:rsidRPr="00951364">
        <w:t>Propositions</w:t>
      </w:r>
      <w:r>
        <w:t>: The "How" Of Theories</w:t>
      </w:r>
    </w:p>
    <w:p w14:paraId="51B73FAF" w14:textId="77777777" w:rsidR="00BE47DA" w:rsidRDefault="00BE47DA" w:rsidP="00E17107">
      <w:r>
        <w:t>Propositions are the associations postulated between constructs based on deductive logic. They state how the constructs are related to each other, often in a cause-effect manner. For example, "if X occurs, then Y will follow."</w:t>
      </w:r>
    </w:p>
    <w:p w14:paraId="7E12FA9B" w14:textId="77777777" w:rsidR="00BE47DA" w:rsidRDefault="00BE47DA" w:rsidP="00E17107">
      <w:r>
        <w:t>Propositions are stated at the theoretical level, while hypotheses are their empirical formulations, stated as relationships between variables.</w:t>
      </w:r>
    </w:p>
    <w:p w14:paraId="5D217220" w14:textId="77777777" w:rsidR="00BE47DA" w:rsidRDefault="00BE47DA" w:rsidP="003B12F0">
      <w:pPr>
        <w:pStyle w:val="Heading5"/>
      </w:pPr>
      <w:r>
        <w:t>Logic: The "Why" of Theories</w:t>
      </w:r>
    </w:p>
    <w:p w14:paraId="672426C4" w14:textId="77777777" w:rsidR="00BE47DA" w:rsidRDefault="00BE47DA" w:rsidP="00E17107">
      <w:r>
        <w:t>Logic is the glue that holds the theory together. It provides the reasoning and justification for the proposed relationships between constructs. Logic explains why the constructs are related in the way the propositions suggest.</w:t>
      </w:r>
    </w:p>
    <w:p w14:paraId="70F011AE" w14:textId="77777777" w:rsidR="00BE47DA" w:rsidRDefault="00BE47DA" w:rsidP="00E17107">
      <w:r>
        <w:t>Without logic, the propositions would be arbitrary and meaningless, failing to form a cohesive "system of propositions" that lies at the heart of a theory.</w:t>
      </w:r>
    </w:p>
    <w:p w14:paraId="5AC0EFFC" w14:textId="77777777" w:rsidR="00BE47DA" w:rsidRDefault="00BE47DA" w:rsidP="003B12F0">
      <w:pPr>
        <w:pStyle w:val="Heading5"/>
      </w:pPr>
      <w:r>
        <w:t>Assumptions: The "Who, When, and Where" of Theories</w:t>
      </w:r>
    </w:p>
    <w:p w14:paraId="36C3739C" w14:textId="77777777" w:rsidR="00BE47DA" w:rsidRDefault="00BE47DA" w:rsidP="00E17107">
      <w:r>
        <w:t>Assumptions, or boundary conditions, define the limits within which the theory is expected to apply. They specify the circumstances under which the constructs and relationships are assumed to operate.</w:t>
      </w:r>
    </w:p>
    <w:p w14:paraId="0336F214" w14:textId="77777777" w:rsidR="00BE47DA" w:rsidRDefault="00BE47DA" w:rsidP="008B4A13">
      <w:r>
        <w:t>Assumptions can be based on:</w:t>
      </w:r>
    </w:p>
    <w:p w14:paraId="6B363E41" w14:textId="77777777" w:rsidR="00BE47DA" w:rsidRDefault="00BE47DA" w:rsidP="003B12F0">
      <w:pPr>
        <w:pStyle w:val="ListParagraph"/>
        <w:numPr>
          <w:ilvl w:val="0"/>
          <w:numId w:val="157"/>
        </w:numPr>
      </w:pPr>
      <w:r>
        <w:t>Values (e.g., rational human behavior in economic theories)</w:t>
      </w:r>
    </w:p>
    <w:p w14:paraId="1AFF2865" w14:textId="77777777" w:rsidR="00BE47DA" w:rsidRDefault="00BE47DA" w:rsidP="003B12F0">
      <w:pPr>
        <w:pStyle w:val="ListParagraph"/>
        <w:numPr>
          <w:ilvl w:val="0"/>
          <w:numId w:val="157"/>
        </w:numPr>
      </w:pPr>
      <w:r>
        <w:t>Time (e.g., early vs. late stages of human behavior)</w:t>
      </w:r>
    </w:p>
    <w:p w14:paraId="49BD6A01" w14:textId="77777777" w:rsidR="00BE47DA" w:rsidRDefault="00BE47DA" w:rsidP="003B12F0">
      <w:pPr>
        <w:pStyle w:val="ListParagraph"/>
        <w:numPr>
          <w:ilvl w:val="0"/>
          <w:numId w:val="157"/>
        </w:numPr>
      </w:pPr>
      <w:r>
        <w:t>Space (e.g., applicability to certain localities)</w:t>
      </w:r>
    </w:p>
    <w:p w14:paraId="029894DD" w14:textId="77777777" w:rsidR="00BE47DA" w:rsidRDefault="00BE47DA" w:rsidP="003B12F0">
      <w:pPr>
        <w:pStyle w:val="ListParagraph"/>
        <w:numPr>
          <w:ilvl w:val="0"/>
          <w:numId w:val="157"/>
        </w:numPr>
      </w:pPr>
      <w:r>
        <w:t>Culture (e.g., individualistic vs. collectivistic cultures)</w:t>
      </w:r>
    </w:p>
    <w:p w14:paraId="3293965D" w14:textId="77777777" w:rsidR="00BE47DA" w:rsidRDefault="00BE47DA" w:rsidP="00E17107">
      <w:r>
        <w:t>Understanding the assumptions underlying a theory is crucial for its appropriate application and testing. Researchers must be aware of these boundary conditions to avoid misapplying theories to problem situations.</w:t>
      </w:r>
    </w:p>
    <w:p w14:paraId="50814AFB" w14:textId="77777777" w:rsidR="003B12F0" w:rsidRDefault="00BE47DA" w:rsidP="00E17107">
      <w:r>
        <w:t xml:space="preserve">In summary, constructs, propositions, logic, and assumptions form the building blocks of a theory. Constructs define the key concepts, propositions state the relationships between constructs, logic </w:t>
      </w:r>
      <w:r>
        <w:lastRenderedPageBreak/>
        <w:t>provides the reasoning behind these relationships, and assumptions set the boundary conditions for the theory's application. Together, these components create a cohesive and testable explanation of a phenomenon.</w:t>
      </w:r>
    </w:p>
    <w:p w14:paraId="17995AE1" w14:textId="77777777" w:rsidR="003734F3" w:rsidRPr="003734F3" w:rsidRDefault="003734F3" w:rsidP="00506574">
      <w:pPr>
        <w:pStyle w:val="Heading4"/>
      </w:pPr>
      <w:r w:rsidRPr="003734F3">
        <w:t>Variables: Measuring Abstract Constructs</w:t>
      </w:r>
    </w:p>
    <w:p w14:paraId="71402767" w14:textId="77777777" w:rsidR="003734F3" w:rsidRPr="003734F3" w:rsidRDefault="003734F3" w:rsidP="003734F3">
      <w:pPr>
        <w:rPr>
          <w:rFonts w:eastAsiaTheme="majorEastAsia"/>
        </w:rPr>
      </w:pPr>
      <w:r w:rsidRPr="003734F3">
        <w:rPr>
          <w:rFonts w:eastAsiaTheme="majorEastAsia"/>
        </w:rPr>
        <w:t>In scientific research, variables are measurable representations of abstract constructs. While constructs are conceptual and cannot be directly measured, variables serve as proxy measures for these constructs.</w:t>
      </w:r>
    </w:p>
    <w:p w14:paraId="0B2E5957" w14:textId="77777777" w:rsidR="003734F3" w:rsidRPr="003734F3" w:rsidRDefault="003734F3" w:rsidP="003734F3">
      <w:pPr>
        <w:rPr>
          <w:rFonts w:eastAsiaTheme="majorEastAsia"/>
        </w:rPr>
      </w:pPr>
      <w:r w:rsidRPr="003734F3">
        <w:rPr>
          <w:rFonts w:eastAsiaTheme="majorEastAsia"/>
        </w:rPr>
        <w:t>For example, intelligence is a construct, and an IQ (intelligence quotient) score is a variable used to measure it. The IQ score is derived from an analytical and pattern-matching test administered to individuals. How well the IQ score measures intelligence is debatable, but it is widely used as a proxy measure.</w:t>
      </w:r>
    </w:p>
    <w:p w14:paraId="2DCC8791" w14:textId="77777777" w:rsidR="003734F3" w:rsidRPr="003734F3" w:rsidRDefault="003734F3" w:rsidP="009B26F8">
      <w:pPr>
        <w:pStyle w:val="Heading4"/>
      </w:pPr>
      <w:r w:rsidRPr="003734F3">
        <w:t>Types of Variables</w:t>
      </w:r>
    </w:p>
    <w:p w14:paraId="1A79909B" w14:textId="77777777" w:rsidR="003734F3" w:rsidRPr="003734F3" w:rsidRDefault="003734F3" w:rsidP="003734F3">
      <w:pPr>
        <w:rPr>
          <w:rFonts w:eastAsiaTheme="majorEastAsia"/>
        </w:rPr>
      </w:pPr>
      <w:r w:rsidRPr="003734F3">
        <w:rPr>
          <w:rFonts w:eastAsiaTheme="majorEastAsia"/>
        </w:rPr>
        <w:t>Variables can be classified into five main types based on their intended use in research:</w:t>
      </w:r>
    </w:p>
    <w:p w14:paraId="48D6EF46" w14:textId="2AECE9C5" w:rsidR="003734F3" w:rsidRPr="009B26F8" w:rsidRDefault="003734F3" w:rsidP="009B26F8">
      <w:pPr>
        <w:pStyle w:val="ListParagraph"/>
        <w:numPr>
          <w:ilvl w:val="0"/>
          <w:numId w:val="158"/>
        </w:numPr>
        <w:rPr>
          <w:rFonts w:eastAsiaTheme="majorEastAsia"/>
        </w:rPr>
      </w:pPr>
      <w:r w:rsidRPr="009B26F8">
        <w:rPr>
          <w:rFonts w:eastAsiaTheme="majorEastAsia"/>
        </w:rPr>
        <w:t>Independent variables: Explain or influence other variables</w:t>
      </w:r>
      <w:r w:rsidR="009B26F8">
        <w:rPr>
          <w:rFonts w:eastAsiaTheme="majorEastAsia"/>
        </w:rPr>
        <w:t>.</w:t>
      </w:r>
    </w:p>
    <w:p w14:paraId="78A620D3" w14:textId="5DD0E4EF" w:rsidR="003734F3" w:rsidRPr="009B26F8" w:rsidRDefault="003734F3" w:rsidP="009B26F8">
      <w:pPr>
        <w:pStyle w:val="ListParagraph"/>
        <w:numPr>
          <w:ilvl w:val="0"/>
          <w:numId w:val="158"/>
        </w:numPr>
        <w:rPr>
          <w:rFonts w:eastAsiaTheme="majorEastAsia"/>
        </w:rPr>
      </w:pPr>
      <w:r w:rsidRPr="009B26F8">
        <w:rPr>
          <w:rFonts w:eastAsiaTheme="majorEastAsia"/>
        </w:rPr>
        <w:t>Dependent variables: Explained or influenced by other variables</w:t>
      </w:r>
      <w:r w:rsidR="009B26F8">
        <w:rPr>
          <w:rFonts w:eastAsiaTheme="majorEastAsia"/>
        </w:rPr>
        <w:t>.</w:t>
      </w:r>
    </w:p>
    <w:p w14:paraId="18463B09" w14:textId="31EB91C5" w:rsidR="003734F3" w:rsidRPr="009B26F8" w:rsidRDefault="003734F3" w:rsidP="009B26F8">
      <w:pPr>
        <w:pStyle w:val="ListParagraph"/>
        <w:numPr>
          <w:ilvl w:val="0"/>
          <w:numId w:val="158"/>
        </w:numPr>
        <w:rPr>
          <w:rFonts w:eastAsiaTheme="majorEastAsia"/>
        </w:rPr>
      </w:pPr>
      <w:r w:rsidRPr="009B26F8">
        <w:rPr>
          <w:rFonts w:eastAsiaTheme="majorEastAsia"/>
        </w:rPr>
        <w:t>Moderating variables: Affect the relationship between independent and dependent variables</w:t>
      </w:r>
      <w:r w:rsidR="009B26F8">
        <w:rPr>
          <w:rFonts w:eastAsiaTheme="majorEastAsia"/>
        </w:rPr>
        <w:t>.</w:t>
      </w:r>
    </w:p>
    <w:p w14:paraId="59538FD3" w14:textId="35441074" w:rsidR="003734F3" w:rsidRPr="009B26F8" w:rsidRDefault="003734F3" w:rsidP="009B26F8">
      <w:pPr>
        <w:pStyle w:val="ListParagraph"/>
        <w:numPr>
          <w:ilvl w:val="0"/>
          <w:numId w:val="158"/>
        </w:numPr>
        <w:rPr>
          <w:rFonts w:eastAsiaTheme="majorEastAsia"/>
        </w:rPr>
      </w:pPr>
      <w:r w:rsidRPr="009B26F8">
        <w:rPr>
          <w:rFonts w:eastAsiaTheme="majorEastAsia"/>
        </w:rPr>
        <w:t>Mediating variables: Explained by independent variables and, in turn, explain dependent variables</w:t>
      </w:r>
      <w:r w:rsidR="009B26F8">
        <w:rPr>
          <w:rFonts w:eastAsiaTheme="majorEastAsia"/>
        </w:rPr>
        <w:t>.</w:t>
      </w:r>
    </w:p>
    <w:p w14:paraId="75C17D65" w14:textId="0F37FC79" w:rsidR="003734F3" w:rsidRPr="009B26F8" w:rsidRDefault="003734F3" w:rsidP="009B26F8">
      <w:pPr>
        <w:pStyle w:val="ListParagraph"/>
        <w:numPr>
          <w:ilvl w:val="0"/>
          <w:numId w:val="158"/>
        </w:numPr>
        <w:rPr>
          <w:rFonts w:eastAsiaTheme="majorEastAsia"/>
        </w:rPr>
      </w:pPr>
      <w:r w:rsidRPr="009B26F8">
        <w:rPr>
          <w:rFonts w:eastAsiaTheme="majorEastAsia"/>
        </w:rPr>
        <w:t>Control variables: Not directly relevant to the study but must be controlled to minimize their impact</w:t>
      </w:r>
      <w:r w:rsidR="009B26F8">
        <w:rPr>
          <w:rFonts w:eastAsiaTheme="majorEastAsia"/>
        </w:rPr>
        <w:t>.</w:t>
      </w:r>
    </w:p>
    <w:p w14:paraId="1AF4938A" w14:textId="3C7030FD" w:rsidR="003734F3" w:rsidRPr="003734F3" w:rsidRDefault="00126179" w:rsidP="003734F3">
      <w:pPr>
        <w:rPr>
          <w:rFonts w:eastAsiaTheme="majorEastAsia"/>
        </w:rPr>
      </w:pPr>
      <w:r>
        <w:rPr>
          <w:rFonts w:eastAsiaTheme="majorEastAsia"/>
          <w:noProof/>
        </w:rPr>
        <w:lastRenderedPageBreak/>
        <mc:AlternateContent>
          <mc:Choice Requires="wpc">
            <w:drawing>
              <wp:anchor distT="0" distB="0" distL="114300" distR="114300" simplePos="0" relativeHeight="251884628" behindDoc="0" locked="0" layoutInCell="1" allowOverlap="1" wp14:anchorId="3E269A64" wp14:editId="39B0D71D">
                <wp:simplePos x="0" y="0"/>
                <wp:positionH relativeFrom="column">
                  <wp:posOffset>219075</wp:posOffset>
                </wp:positionH>
                <wp:positionV relativeFrom="paragraph">
                  <wp:posOffset>504825</wp:posOffset>
                </wp:positionV>
                <wp:extent cx="5495290" cy="2962275"/>
                <wp:effectExtent l="0" t="0" r="10160" b="28575"/>
                <wp:wrapTopAndBottom/>
                <wp:docPr id="179734980"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tx1"/>
                          </a:solidFill>
                        </a:ln>
                      </wpc:whole>
                      <wps:wsp>
                        <wps:cNvPr id="5557105" name="Rectangle: Rounded Corners 5557105"/>
                        <wps:cNvSpPr/>
                        <wps:spPr>
                          <a:xfrm>
                            <a:off x="323850" y="1276350"/>
                            <a:ext cx="1209675" cy="5524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25D336C" w14:textId="2D1E70DE" w:rsidR="002D7349" w:rsidRDefault="00C25641" w:rsidP="002D7349">
                              <w:pPr>
                                <w:jc w:val="center"/>
                              </w:pPr>
                              <w:r>
                                <w:t>Hours Spent Studying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134826" name="Rectangle: Rounded Corners 370134826"/>
                        <wps:cNvSpPr/>
                        <wps:spPr>
                          <a:xfrm>
                            <a:off x="4076700" y="1285875"/>
                            <a:ext cx="1066800" cy="523875"/>
                          </a:xfrm>
                          <a:prstGeom prst="roundRect">
                            <a:avLst/>
                          </a:prstGeom>
                        </wps:spPr>
                        <wps:style>
                          <a:lnRef idx="2">
                            <a:schemeClr val="accent6">
                              <a:shade val="15000"/>
                            </a:schemeClr>
                          </a:lnRef>
                          <a:fillRef idx="1">
                            <a:schemeClr val="accent6"/>
                          </a:fillRef>
                          <a:effectRef idx="0">
                            <a:schemeClr val="accent6"/>
                          </a:effectRef>
                          <a:fontRef idx="minor">
                            <a:schemeClr val="lt1"/>
                          </a:fontRef>
                        </wps:style>
                        <wps:txbx>
                          <w:txbxContent>
                            <w:p w14:paraId="3CBCDACD" w14:textId="6D26F6AD" w:rsidR="006D7423" w:rsidRDefault="006D7423" w:rsidP="006D7423">
                              <w:pPr>
                                <w:jc w:val="center"/>
                              </w:pPr>
                              <w:r>
                                <w:t>Course Grade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364884" name="Rectangle: Rounded Corners 370364884"/>
                        <wps:cNvSpPr/>
                        <wps:spPr>
                          <a:xfrm>
                            <a:off x="1400175" y="438150"/>
                            <a:ext cx="1057275" cy="609600"/>
                          </a:xfrm>
                          <a:prstGeom prst="roundRect">
                            <a:avLst/>
                          </a:prstGeom>
                        </wps:spPr>
                        <wps:style>
                          <a:lnRef idx="2">
                            <a:schemeClr val="accent2">
                              <a:shade val="15000"/>
                            </a:schemeClr>
                          </a:lnRef>
                          <a:fillRef idx="1">
                            <a:schemeClr val="accent2"/>
                          </a:fillRef>
                          <a:effectRef idx="0">
                            <a:schemeClr val="accent2"/>
                          </a:effectRef>
                          <a:fontRef idx="minor">
                            <a:schemeClr val="lt1"/>
                          </a:fontRef>
                        </wps:style>
                        <wps:txbx>
                          <w:txbxContent>
                            <w:p w14:paraId="3FD28C44" w14:textId="2B31A4E7" w:rsidR="006D7423" w:rsidRDefault="006D7423" w:rsidP="006D7423">
                              <w:pPr>
                                <w:jc w:val="center"/>
                              </w:pPr>
                              <w:r>
                                <w:t>Study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599456" name="Rectangle: Rounded Corners 971599456"/>
                        <wps:cNvSpPr/>
                        <wps:spPr>
                          <a:xfrm>
                            <a:off x="2371725" y="1266825"/>
                            <a:ext cx="1266825" cy="581025"/>
                          </a:xfrm>
                          <a:prstGeom prst="roundRect">
                            <a:avLst/>
                          </a:prstGeom>
                        </wps:spPr>
                        <wps:style>
                          <a:lnRef idx="2">
                            <a:schemeClr val="accent4">
                              <a:shade val="15000"/>
                            </a:schemeClr>
                          </a:lnRef>
                          <a:fillRef idx="1">
                            <a:schemeClr val="accent4"/>
                          </a:fillRef>
                          <a:effectRef idx="0">
                            <a:schemeClr val="accent4"/>
                          </a:effectRef>
                          <a:fontRef idx="minor">
                            <a:schemeClr val="lt1"/>
                          </a:fontRef>
                        </wps:style>
                        <wps:txbx>
                          <w:txbxContent>
                            <w:p w14:paraId="7652B083" w14:textId="57487462" w:rsidR="00F7587D" w:rsidRDefault="00F7587D" w:rsidP="00F7587D">
                              <w:pPr>
                                <w:jc w:val="center"/>
                              </w:pPr>
                              <w:r>
                                <w:t>Understanding Course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834321" name="Rectangle: Rounded Corners 564834321"/>
                        <wps:cNvSpPr/>
                        <wps:spPr>
                          <a:xfrm>
                            <a:off x="2047875" y="2257425"/>
                            <a:ext cx="1838325" cy="371475"/>
                          </a:xfrm>
                          <a:prstGeom prst="roundRect">
                            <a:avLst/>
                          </a:prstGeom>
                        </wps:spPr>
                        <wps:style>
                          <a:lnRef idx="3">
                            <a:schemeClr val="lt1"/>
                          </a:lnRef>
                          <a:fillRef idx="1">
                            <a:schemeClr val="accent5"/>
                          </a:fillRef>
                          <a:effectRef idx="1">
                            <a:schemeClr val="accent5"/>
                          </a:effectRef>
                          <a:fontRef idx="minor">
                            <a:schemeClr val="lt1"/>
                          </a:fontRef>
                        </wps:style>
                        <wps:txbx>
                          <w:txbxContent>
                            <w:p w14:paraId="1CBAEF85" w14:textId="1B0D4C58" w:rsidR="00960AB6" w:rsidRDefault="00960AB6" w:rsidP="00960AB6">
                              <w:pPr>
                                <w:jc w:val="center"/>
                              </w:pPr>
                              <w:r>
                                <w:t>Year In College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121441" name="Arrow: Right 1241121441"/>
                        <wps:cNvSpPr/>
                        <wps:spPr>
                          <a:xfrm>
                            <a:off x="1676400" y="1428749"/>
                            <a:ext cx="523875" cy="201168"/>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2560991" name="Arrow: Down 1092560991"/>
                        <wps:cNvSpPr/>
                        <wps:spPr>
                          <a:xfrm>
                            <a:off x="1847850" y="1152525"/>
                            <a:ext cx="152400" cy="2952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6319897" name="Arrow: Right 2116319897"/>
                        <wps:cNvSpPr/>
                        <wps:spPr>
                          <a:xfrm>
                            <a:off x="3743325" y="1476375"/>
                            <a:ext cx="247650" cy="20002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529522" name="Text Box 178529522"/>
                        <wps:cNvSpPr txBox="1"/>
                        <wps:spPr>
                          <a:xfrm>
                            <a:off x="1295400" y="114300"/>
                            <a:ext cx="1238250" cy="295275"/>
                          </a:xfrm>
                          <a:prstGeom prst="rect">
                            <a:avLst/>
                          </a:prstGeom>
                          <a:solidFill>
                            <a:schemeClr val="lt1"/>
                          </a:solidFill>
                          <a:ln w="6350">
                            <a:noFill/>
                          </a:ln>
                        </wps:spPr>
                        <wps:txbx>
                          <w:txbxContent>
                            <w:p w14:paraId="61ACCD15" w14:textId="6E29ED43" w:rsidR="00BC387D" w:rsidRDefault="00BC387D" w:rsidP="00BC387D">
                              <w:pPr>
                                <w:jc w:val="center"/>
                              </w:pPr>
                              <w:r>
                                <w:t>Moderating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9452159" name="Text Box 549452159"/>
                        <wps:cNvSpPr txBox="1"/>
                        <wps:spPr>
                          <a:xfrm>
                            <a:off x="457200" y="1885950"/>
                            <a:ext cx="971550" cy="257175"/>
                          </a:xfrm>
                          <a:prstGeom prst="rect">
                            <a:avLst/>
                          </a:prstGeom>
                          <a:solidFill>
                            <a:schemeClr val="lt1"/>
                          </a:solidFill>
                          <a:ln w="6350">
                            <a:noFill/>
                          </a:ln>
                        </wps:spPr>
                        <wps:txbx>
                          <w:txbxContent>
                            <w:p w14:paraId="0659BA33" w14:textId="14A181C4" w:rsidR="00846AC8" w:rsidRDefault="00846AC8" w:rsidP="00846AC8">
                              <w:pPr>
                                <w:jc w:val="center"/>
                              </w:pPr>
                              <w:r>
                                <w:t>Independent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779386" name="Text Box 509779386"/>
                        <wps:cNvSpPr txBox="1"/>
                        <wps:spPr>
                          <a:xfrm>
                            <a:off x="2533650" y="1895475"/>
                            <a:ext cx="914400" cy="266700"/>
                          </a:xfrm>
                          <a:prstGeom prst="rect">
                            <a:avLst/>
                          </a:prstGeom>
                          <a:solidFill>
                            <a:schemeClr val="lt1"/>
                          </a:solidFill>
                          <a:ln w="6350">
                            <a:noFill/>
                          </a:ln>
                        </wps:spPr>
                        <wps:txbx>
                          <w:txbxContent>
                            <w:p w14:paraId="090CBEA1" w14:textId="49AE9DF4" w:rsidR="00877364" w:rsidRDefault="00877364" w:rsidP="00877364">
                              <w:pPr>
                                <w:jc w:val="center"/>
                              </w:pPr>
                              <w:r>
                                <w:t>Mediating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4230944" name="Text Box 2134230944"/>
                        <wps:cNvSpPr txBox="1"/>
                        <wps:spPr>
                          <a:xfrm>
                            <a:off x="4181475" y="1876425"/>
                            <a:ext cx="914400" cy="266700"/>
                          </a:xfrm>
                          <a:prstGeom prst="rect">
                            <a:avLst/>
                          </a:prstGeom>
                          <a:solidFill>
                            <a:schemeClr val="lt1"/>
                          </a:solidFill>
                          <a:ln w="6350">
                            <a:noFill/>
                          </a:ln>
                        </wps:spPr>
                        <wps:txbx>
                          <w:txbxContent>
                            <w:p w14:paraId="58613E93" w14:textId="2CC71CC1" w:rsidR="00E13F1C" w:rsidRDefault="00E13F1C" w:rsidP="00E13F1C">
                              <w:pPr>
                                <w:jc w:val="center"/>
                              </w:pPr>
                              <w:r>
                                <w:t>Dependent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4384156" name="Text Box 1344384156"/>
                        <wps:cNvSpPr txBox="1"/>
                        <wps:spPr>
                          <a:xfrm>
                            <a:off x="2486025" y="2676525"/>
                            <a:ext cx="923925" cy="285750"/>
                          </a:xfrm>
                          <a:prstGeom prst="rect">
                            <a:avLst/>
                          </a:prstGeom>
                          <a:solidFill>
                            <a:schemeClr val="lt1"/>
                          </a:solidFill>
                          <a:ln w="6350">
                            <a:noFill/>
                          </a:ln>
                        </wps:spPr>
                        <wps:txbx>
                          <w:txbxContent>
                            <w:p w14:paraId="7D132578" w14:textId="6DA8317F" w:rsidR="00E13F1C" w:rsidRDefault="00CA6446" w:rsidP="00CA6446">
                              <w:pPr>
                                <w:jc w:val="center"/>
                              </w:pPr>
                              <w:r>
                                <w:t>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E269A64" id="Canvas 3" o:spid="_x0000_s1034" editas="canvas" style="position:absolute;margin-left:17.25pt;margin-top:39.75pt;width:432.7pt;height:233.25pt;z-index:251884628;mso-width-relative:margin;mso-height-relative:margin" coordsize="54952,29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width:54952;height:29622;visibility:visible;mso-wrap-style:square" filled="t" stroked="t" strokecolor="black [3213]">
                  <v:fill o:detectmouseclick="t"/>
                  <v:path o:connecttype="none"/>
                </v:shape>
                <v:roundrect id="Rectangle: Rounded Corners 5557105" o:spid="_x0000_s1036" style="position:absolute;left:3238;top:12763;width:12097;height:5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" fillcolor="#4a66ac [3204]" strokecolor="#0b0f19 [484]" strokeweight="1pt">
                  <v:stroke joinstyle="miter"/>
                  <v:textbox>
                    <w:txbxContent>
                      <w:p w14:paraId="625D336C" w14:textId="2D1E70DE" w:rsidR="002D7349" w:rsidRDefault="00C25641" w:rsidP="002D7349">
                        <w:pPr>
                          <w:jc w:val="center"/>
                        </w:pPr>
                        <w:r>
                          <w:t>Hours Spent Studying</w:t>
                        </w:r>
                      </w:p>
                    </w:txbxContent>
                  </v:textbox>
                </v:roundrect>
                <v:roundrect id="Rectangle: Rounded Corners 370134826" o:spid="_x0000_s1037" style="position:absolute;left:40767;top:12858;width:10668;height:5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" fillcolor="#9d90a0 [3209]" strokecolor="#171418 [489]" strokeweight="1pt">
                  <v:stroke joinstyle="miter"/>
                  <v:textbox>
                    <w:txbxContent>
                      <w:p w14:paraId="3CBCDACD" w14:textId="6D26F6AD" w:rsidR="006D7423" w:rsidRDefault="006D7423" w:rsidP="006D7423">
                        <w:pPr>
                          <w:jc w:val="center"/>
                        </w:pPr>
                        <w:r>
                          <w:t>Course Grade</w:t>
                        </w:r>
                      </w:p>
                    </w:txbxContent>
                  </v:textbox>
                </v:roundrect>
                <v:roundrect id="Rectangle: Rounded Corners 370364884" o:spid="_x0000_s1038" style="position:absolute;left:14001;top:4381;width:10573;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" fillcolor="#629dd1 [3205]" strokecolor="#0a1723 [485]" strokeweight="1pt">
                  <v:stroke joinstyle="miter"/>
                  <v:textbox>
                    <w:txbxContent>
                      <w:p w14:paraId="3FD28C44" w14:textId="2B31A4E7" w:rsidR="006D7423" w:rsidRDefault="006D7423" w:rsidP="006D7423">
                        <w:pPr>
                          <w:jc w:val="center"/>
                        </w:pPr>
                        <w:r>
                          <w:t>Study Environment</w:t>
                        </w:r>
                      </w:p>
                    </w:txbxContent>
                  </v:textbox>
                </v:roundrect>
                <v:roundrect id="Rectangle: Rounded Corners 971599456" o:spid="_x0000_s1039" style="position:absolute;left:23717;top:12668;width:12668;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" fillcolor="#7f8fa9 [3207]" strokecolor="#11151a [487]" strokeweight="1pt">
                  <v:stroke joinstyle="miter"/>
                  <v:textbox>
                    <w:txbxContent>
                      <w:p w14:paraId="7652B083" w14:textId="57487462" w:rsidR="00F7587D" w:rsidRDefault="00F7587D" w:rsidP="00F7587D">
                        <w:pPr>
                          <w:jc w:val="center"/>
                        </w:pPr>
                        <w:r>
                          <w:t>Understanding Course Material</w:t>
                        </w:r>
                      </w:p>
                    </w:txbxContent>
                  </v:textbox>
                </v:roundrect>
                <v:roundrect id="Rectangle: Rounded Corners 564834321" o:spid="_x0000_s1040" style="position:absolute;left:20478;top:22574;width:18384;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" fillcolor="#5aa2ae [3208]" strokecolor="white [3201]" strokeweight="1.5pt">
                  <v:stroke joinstyle="miter"/>
                  <v:textbox>
                    <w:txbxContent>
                      <w:p w14:paraId="1CBAEF85" w14:textId="1B0D4C58" w:rsidR="00960AB6" w:rsidRDefault="00960AB6" w:rsidP="00960AB6">
                        <w:pPr>
                          <w:jc w:val="center"/>
                        </w:pPr>
                        <w:r>
                          <w:t>Year In College</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41121441" o:spid="_x0000_s1041" type="#_x0000_t13" style="position:absolute;left:16764;top:14287;width:5238;height:2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" adj="17453" fillcolor="#4a66ac [3204]" strokecolor="#0b0f19 [484]"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92560991" o:spid="_x0000_s1042" type="#_x0000_t67" style="position:absolute;left:18478;top:11525;width:152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" adj="16026" fillcolor="#4a66ac [3204]" strokecolor="#0b0f19 [484]" strokeweight="1pt"/>
                <v:shape id="Arrow: Right 2116319897" o:spid="_x0000_s1043" type="#_x0000_t13" style="position:absolute;left:37433;top:14763;width:2476;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" adj="12877" fillcolor="#4a66ac [3204]" strokecolor="#0b0f19 [484]" strokeweight="1pt"/>
                <v:shape id="Text Box 178529522" o:spid="_x0000_s1044" type="#_x0000_t202" style="position:absolute;left:12954;top:1143;width:1238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" fillcolor="white [3201]" stroked="f" strokeweight=".5pt">
                  <v:textbox>
                    <w:txbxContent>
                      <w:p w14:paraId="61ACCD15" w14:textId="6E29ED43" w:rsidR="00BC387D" w:rsidRDefault="00BC387D" w:rsidP="00BC387D">
                        <w:pPr>
                          <w:jc w:val="center"/>
                        </w:pPr>
                        <w:r>
                          <w:t>Moderating</w:t>
                        </w:r>
                      </w:p>
                    </w:txbxContent>
                  </v:textbox>
                </v:shape>
                <v:shape id="Text Box 549452159" o:spid="_x0000_s1045" type="#_x0000_t202" style="position:absolute;left:4572;top:18859;width:971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" fillcolor="white [3201]" stroked="f" strokeweight=".5pt">
                  <v:textbox>
                    <w:txbxContent>
                      <w:p w14:paraId="0659BA33" w14:textId="14A181C4" w:rsidR="00846AC8" w:rsidRDefault="00846AC8" w:rsidP="00846AC8">
                        <w:pPr>
                          <w:jc w:val="center"/>
                        </w:pPr>
                        <w:r>
                          <w:t>Independent</w:t>
                        </w:r>
                      </w:p>
                    </w:txbxContent>
                  </v:textbox>
                </v:shape>
                <v:shape id="Text Box 509779386" o:spid="_x0000_s1046" type="#_x0000_t202" style="position:absolute;left:25336;top:18954;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" fillcolor="white [3201]" stroked="f" strokeweight=".5pt">
                  <v:textbox>
                    <w:txbxContent>
                      <w:p w14:paraId="090CBEA1" w14:textId="49AE9DF4" w:rsidR="00877364" w:rsidRDefault="00877364" w:rsidP="00877364">
                        <w:pPr>
                          <w:jc w:val="center"/>
                        </w:pPr>
                        <w:r>
                          <w:t>Mediating</w:t>
                        </w:r>
                      </w:p>
                    </w:txbxContent>
                  </v:textbox>
                </v:shape>
                <v:shape id="Text Box 2134230944" o:spid="_x0000_s1047" type="#_x0000_t202" style="position:absolute;left:41814;top:18764;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" fillcolor="white [3201]" stroked="f" strokeweight=".5pt">
                  <v:textbox>
                    <w:txbxContent>
                      <w:p w14:paraId="58613E93" w14:textId="2CC71CC1" w:rsidR="00E13F1C" w:rsidRDefault="00E13F1C" w:rsidP="00E13F1C">
                        <w:pPr>
                          <w:jc w:val="center"/>
                        </w:pPr>
                        <w:r>
                          <w:t>Dependent</w:t>
                        </w:r>
                      </w:p>
                    </w:txbxContent>
                  </v:textbox>
                </v:shape>
                <v:shape id="Text Box 1344384156" o:spid="_x0000_s1048" type="#_x0000_t202" style="position:absolute;left:24860;top:26765;width:923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" fillcolor="white [3201]" stroked="f" strokeweight=".5pt">
                  <v:textbox>
                    <w:txbxContent>
                      <w:p w14:paraId="7D132578" w14:textId="6DA8317F" w:rsidR="00E13F1C" w:rsidRDefault="00CA6446" w:rsidP="00CA6446">
                        <w:pPr>
                          <w:jc w:val="center"/>
                        </w:pPr>
                        <w:r>
                          <w:t>Control</w:t>
                        </w:r>
                      </w:p>
                    </w:txbxContent>
                  </v:textbox>
                </v:shape>
                <w10:wrap type="topAndBottom"/>
              </v:group>
            </w:pict>
          </mc:Fallback>
        </mc:AlternateContent>
      </w:r>
      <w:r w:rsidR="003734F3" w:rsidRPr="003734F3">
        <w:rPr>
          <w:rFonts w:eastAsiaTheme="majorEastAsia"/>
        </w:rPr>
        <w:t>Let's consider a more relatable example to understand the relationships between these variable types. Suppose a researcher wants to study the factors influencing students' grades in a course.</w:t>
      </w:r>
    </w:p>
    <w:p w14:paraId="33CCD4BF" w14:textId="2D5BF91A" w:rsidR="003734F3" w:rsidRPr="003734F3" w:rsidRDefault="003734F3" w:rsidP="00184C48">
      <w:pPr>
        <w:pStyle w:val="NoSpacing"/>
        <w:rPr>
          <w:rFonts w:eastAsiaTheme="majorEastAsia"/>
        </w:rPr>
      </w:pPr>
    </w:p>
    <w:p w14:paraId="540A8564" w14:textId="77777777" w:rsidR="003734F3" w:rsidRPr="005E7255" w:rsidRDefault="003734F3" w:rsidP="005E7255">
      <w:pPr>
        <w:pStyle w:val="ListParagraph"/>
        <w:numPr>
          <w:ilvl w:val="0"/>
          <w:numId w:val="159"/>
        </w:numPr>
        <w:rPr>
          <w:rFonts w:eastAsiaTheme="majorEastAsia"/>
        </w:rPr>
      </w:pPr>
      <w:r w:rsidRPr="0081190D">
        <w:rPr>
          <w:rFonts w:eastAsiaTheme="majorEastAsia"/>
          <w:b/>
          <w:bCs/>
        </w:rPr>
        <w:t>Independent variable</w:t>
      </w:r>
      <w:r w:rsidRPr="005E7255">
        <w:rPr>
          <w:rFonts w:eastAsiaTheme="majorEastAsia"/>
        </w:rPr>
        <w:t>: Hours spent studying (explains the dependent variable)</w:t>
      </w:r>
    </w:p>
    <w:p w14:paraId="32AC3DA6" w14:textId="77777777" w:rsidR="003734F3" w:rsidRPr="005E7255" w:rsidRDefault="003734F3" w:rsidP="005E7255">
      <w:pPr>
        <w:pStyle w:val="ListParagraph"/>
        <w:numPr>
          <w:ilvl w:val="0"/>
          <w:numId w:val="159"/>
        </w:numPr>
        <w:rPr>
          <w:rFonts w:eastAsiaTheme="majorEastAsia"/>
        </w:rPr>
      </w:pPr>
      <w:r w:rsidRPr="0081190D">
        <w:rPr>
          <w:rFonts w:eastAsiaTheme="majorEastAsia"/>
          <w:b/>
          <w:bCs/>
        </w:rPr>
        <w:t>Dependent variable</w:t>
      </w:r>
      <w:r w:rsidRPr="005E7255">
        <w:rPr>
          <w:rFonts w:eastAsiaTheme="majorEastAsia"/>
        </w:rPr>
        <w:t>: Course grade (explained by the independent variable)</w:t>
      </w:r>
    </w:p>
    <w:p w14:paraId="14C5C780" w14:textId="77777777" w:rsidR="003734F3" w:rsidRPr="005E7255" w:rsidRDefault="003734F3" w:rsidP="005E7255">
      <w:pPr>
        <w:pStyle w:val="ListParagraph"/>
        <w:numPr>
          <w:ilvl w:val="0"/>
          <w:numId w:val="159"/>
        </w:numPr>
        <w:rPr>
          <w:rFonts w:eastAsiaTheme="majorEastAsia"/>
        </w:rPr>
      </w:pPr>
      <w:r w:rsidRPr="0081190D">
        <w:rPr>
          <w:rFonts w:eastAsiaTheme="majorEastAsia"/>
          <w:b/>
          <w:bCs/>
        </w:rPr>
        <w:t>Moderating variable</w:t>
      </w:r>
      <w:r w:rsidRPr="005E7255">
        <w:rPr>
          <w:rFonts w:eastAsiaTheme="majorEastAsia"/>
        </w:rPr>
        <w:t>: Study environment (influences the relationship between hours spent studying and course grade)</w:t>
      </w:r>
    </w:p>
    <w:p w14:paraId="028323D7" w14:textId="77777777" w:rsidR="003734F3" w:rsidRPr="005E7255" w:rsidRDefault="003734F3" w:rsidP="005E7255">
      <w:pPr>
        <w:pStyle w:val="ListParagraph"/>
        <w:numPr>
          <w:ilvl w:val="0"/>
          <w:numId w:val="159"/>
        </w:numPr>
        <w:rPr>
          <w:rFonts w:eastAsiaTheme="majorEastAsia"/>
        </w:rPr>
      </w:pPr>
      <w:r w:rsidRPr="0081190D">
        <w:rPr>
          <w:rFonts w:eastAsiaTheme="majorEastAsia"/>
          <w:b/>
          <w:bCs/>
        </w:rPr>
        <w:t>Mediating variable</w:t>
      </w:r>
      <w:r w:rsidRPr="005E7255">
        <w:rPr>
          <w:rFonts w:eastAsiaTheme="majorEastAsia"/>
        </w:rPr>
        <w:t>: Understanding of course material (explained by hours spent studying and, in turn, explains course grade)</w:t>
      </w:r>
    </w:p>
    <w:p w14:paraId="7C029444" w14:textId="77777777" w:rsidR="003734F3" w:rsidRPr="005E7255" w:rsidRDefault="003734F3" w:rsidP="005E7255">
      <w:pPr>
        <w:pStyle w:val="ListParagraph"/>
        <w:numPr>
          <w:ilvl w:val="0"/>
          <w:numId w:val="159"/>
        </w:numPr>
        <w:rPr>
          <w:rFonts w:eastAsiaTheme="majorEastAsia"/>
        </w:rPr>
      </w:pPr>
      <w:r w:rsidRPr="0081190D">
        <w:rPr>
          <w:rFonts w:eastAsiaTheme="majorEastAsia"/>
          <w:b/>
          <w:bCs/>
        </w:rPr>
        <w:t>Control variable</w:t>
      </w:r>
      <w:r w:rsidRPr="005E7255">
        <w:rPr>
          <w:rFonts w:eastAsiaTheme="majorEastAsia"/>
        </w:rPr>
        <w:t>: Student's year in college (not directly relevant but must be controlled to minimize its impact)</w:t>
      </w:r>
    </w:p>
    <w:p w14:paraId="09FEF882" w14:textId="5840AED5" w:rsidR="003734F3" w:rsidRPr="003734F3" w:rsidRDefault="003734F3" w:rsidP="003734F3">
      <w:pPr>
        <w:rPr>
          <w:rFonts w:eastAsiaTheme="majorEastAsia"/>
        </w:rPr>
      </w:pPr>
      <w:r w:rsidRPr="003734F3">
        <w:rPr>
          <w:rFonts w:eastAsiaTheme="majorEastAsia"/>
        </w:rPr>
        <w:t xml:space="preserve">In this example, the researcher hypothesizes that the number of hours spent studying (independent variable) influences a student's course grade (dependent variable). However, this relationship may be affected by the study environment (moderating variable), such as studying in a quiet library versus a noisy dorm room. Additionally, the hours spent studying may lead to a better understanding of the course material (mediating variable), which in turn influences the course grade. To minimize the effect of extraneous factors, the researcher </w:t>
      </w:r>
      <w:r w:rsidR="00184C48" w:rsidRPr="003734F3">
        <w:rPr>
          <w:rFonts w:eastAsiaTheme="majorEastAsia"/>
        </w:rPr>
        <w:t>controls</w:t>
      </w:r>
      <w:r w:rsidRPr="003734F3">
        <w:rPr>
          <w:rFonts w:eastAsiaTheme="majorEastAsia"/>
        </w:rPr>
        <w:t xml:space="preserve"> the student's year in college (control variable).</w:t>
      </w:r>
    </w:p>
    <w:p w14:paraId="5327D015" w14:textId="5B907214" w:rsidR="00A626FE" w:rsidRPr="000E309B" w:rsidRDefault="003734F3" w:rsidP="003734F3">
      <w:r w:rsidRPr="003734F3">
        <w:rPr>
          <w:rFonts w:eastAsiaTheme="majorEastAsia"/>
        </w:rPr>
        <w:t>In summary, variables are measurable representations of abstract constructs. They can be classified as independent, dependent, moderating, mediating, or control variables based on their roles in research. Understanding the relationships between these variable types is crucial for designing and interpreting research studies.</w:t>
      </w:r>
    </w:p>
    <w:p w14:paraId="493257DC" w14:textId="77777777" w:rsidR="00EE0862" w:rsidRDefault="00EE0862" w:rsidP="009C0C5B">
      <w:pPr>
        <w:pStyle w:val="Heading4"/>
      </w:pPr>
      <w:r>
        <w:lastRenderedPageBreak/>
        <w:t>What Makes a Good Theory?</w:t>
      </w:r>
    </w:p>
    <w:p w14:paraId="2B617C93" w14:textId="1262E5EA" w:rsidR="00EE0862" w:rsidRDefault="00EE0862" w:rsidP="009C0C5B">
      <w:r>
        <w:t>Theories are simplified explanations of complex social realities. They can be good or flawed based on how well they explain the phenomena they address. Several criteria can be used to evaluate the "goodness" of a theory</w:t>
      </w:r>
      <w:r w:rsidR="00D4082C">
        <w:t>.</w:t>
      </w:r>
    </w:p>
    <w:p w14:paraId="5B917905" w14:textId="771AFB06" w:rsidR="00294133" w:rsidRDefault="00DA6CB2" w:rsidP="00294133">
      <w:pPr>
        <w:pStyle w:val="NoSpacing"/>
      </w:pPr>
      <w:r>
        <w:rPr>
          <w:noProof/>
        </w:rPr>
        <w:drawing>
          <wp:anchor distT="0" distB="0" distL="114300" distR="114300" simplePos="0" relativeHeight="251886676" behindDoc="0" locked="0" layoutInCell="1" allowOverlap="1" wp14:anchorId="55CCE279" wp14:editId="43C9C994">
            <wp:simplePos x="0" y="0"/>
            <wp:positionH relativeFrom="column">
              <wp:posOffset>1238250</wp:posOffset>
            </wp:positionH>
            <wp:positionV relativeFrom="paragraph">
              <wp:posOffset>0</wp:posOffset>
            </wp:positionV>
            <wp:extent cx="3456432" cy="1837944"/>
            <wp:effectExtent l="57150" t="38100" r="48895" b="67310"/>
            <wp:wrapTopAndBottom/>
            <wp:docPr id="500449163" name="Diagram 5004491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14:sizeRelH relativeFrom="margin">
              <wp14:pctWidth>0</wp14:pctWidth>
            </wp14:sizeRelH>
            <wp14:sizeRelV relativeFrom="margin">
              <wp14:pctHeight>0</wp14:pctHeight>
            </wp14:sizeRelV>
          </wp:anchor>
        </w:drawing>
      </w:r>
    </w:p>
    <w:p w14:paraId="2B252FE9" w14:textId="50FC35DF" w:rsidR="00EE0862" w:rsidRDefault="00EE0862" w:rsidP="00D4082C">
      <w:pPr>
        <w:pStyle w:val="Heading5"/>
      </w:pPr>
      <w:r>
        <w:t>Logical consistency</w:t>
      </w:r>
    </w:p>
    <w:p w14:paraId="4CABCE31" w14:textId="77777777" w:rsidR="00EE0862" w:rsidRDefault="00EE0862" w:rsidP="00180F4F">
      <w:pPr>
        <w:pStyle w:val="ListParagraph"/>
        <w:numPr>
          <w:ilvl w:val="0"/>
          <w:numId w:val="161"/>
        </w:numPr>
      </w:pPr>
      <w:r>
        <w:t>Are the building blocks of the theory (constructs, propositions, boundary conditions, and assumptions) logically consistent with each other?</w:t>
      </w:r>
    </w:p>
    <w:p w14:paraId="761211C1" w14:textId="77777777" w:rsidR="00EE0862" w:rsidRDefault="00EE0862" w:rsidP="00180F4F">
      <w:pPr>
        <w:pStyle w:val="ListParagraph"/>
        <w:numPr>
          <w:ilvl w:val="0"/>
          <w:numId w:val="161"/>
        </w:numPr>
      </w:pPr>
      <w:r>
        <w:t>Inconsistencies within a theory's components make it flawed.</w:t>
      </w:r>
    </w:p>
    <w:p w14:paraId="2E3FFECB" w14:textId="77777777" w:rsidR="00EE0862" w:rsidRDefault="00EE0862" w:rsidP="00180F4F">
      <w:pPr>
        <w:pStyle w:val="ListParagraph"/>
        <w:numPr>
          <w:ilvl w:val="0"/>
          <w:numId w:val="161"/>
        </w:numPr>
      </w:pPr>
      <w:r>
        <w:t>Example: If a theory assumes rationality but includes non-rational concepts, it is inconsistent and therefore flawed.</w:t>
      </w:r>
    </w:p>
    <w:p w14:paraId="681E77F4" w14:textId="77777777" w:rsidR="00EE0862" w:rsidRDefault="00EE0862" w:rsidP="00AD0906">
      <w:pPr>
        <w:pStyle w:val="Heading5"/>
      </w:pPr>
      <w:r>
        <w:t>Explanatory power</w:t>
      </w:r>
    </w:p>
    <w:p w14:paraId="73ECAD0B" w14:textId="77777777" w:rsidR="00EE0862" w:rsidRDefault="00EE0862" w:rsidP="00AD0906">
      <w:pPr>
        <w:pStyle w:val="ListParagraph"/>
        <w:numPr>
          <w:ilvl w:val="0"/>
          <w:numId w:val="162"/>
        </w:numPr>
      </w:pPr>
      <w:r>
        <w:t>How well does the theory explain or predict reality?</w:t>
      </w:r>
    </w:p>
    <w:p w14:paraId="59B7844B" w14:textId="77777777" w:rsidR="00EE0862" w:rsidRDefault="00EE0862" w:rsidP="00AD0906">
      <w:pPr>
        <w:pStyle w:val="ListParagraph"/>
        <w:numPr>
          <w:ilvl w:val="0"/>
          <w:numId w:val="162"/>
        </w:numPr>
      </w:pPr>
      <w:r>
        <w:t>Good theories have higher explanatory power than flawed theories.</w:t>
      </w:r>
    </w:p>
    <w:p w14:paraId="705B107A" w14:textId="77777777" w:rsidR="00EE0862" w:rsidRDefault="00EE0862" w:rsidP="00AD0906">
      <w:pPr>
        <w:pStyle w:val="ListParagraph"/>
        <w:numPr>
          <w:ilvl w:val="0"/>
          <w:numId w:val="162"/>
        </w:numPr>
      </w:pPr>
      <w:r>
        <w:t>Explanatory power is often measured by the "variance explained value" (σ2) in regression equations.</w:t>
      </w:r>
    </w:p>
    <w:p w14:paraId="7094135A" w14:textId="77777777" w:rsidR="00EE0862" w:rsidRDefault="00EE0862" w:rsidP="00AD0906">
      <w:pPr>
        <w:pStyle w:val="Heading5"/>
      </w:pPr>
      <w:r>
        <w:t>Falsifiability</w:t>
      </w:r>
    </w:p>
    <w:p w14:paraId="7BB7476C" w14:textId="77777777" w:rsidR="00EE0862" w:rsidRDefault="00EE0862" w:rsidP="00AD0906">
      <w:pPr>
        <w:pStyle w:val="ListParagraph"/>
        <w:numPr>
          <w:ilvl w:val="0"/>
          <w:numId w:val="163"/>
        </w:numPr>
      </w:pPr>
      <w:r>
        <w:t>Can the theory be disproved if empirical data do not match its propositions?</w:t>
      </w:r>
    </w:p>
    <w:p w14:paraId="413BF172" w14:textId="77777777" w:rsidR="00EE0862" w:rsidRDefault="00EE0862" w:rsidP="00AD0906">
      <w:pPr>
        <w:pStyle w:val="ListParagraph"/>
        <w:numPr>
          <w:ilvl w:val="0"/>
          <w:numId w:val="163"/>
        </w:numPr>
      </w:pPr>
      <w:r>
        <w:t>Falsifiability, as proposed by philosopher Karl Popper, ensures that a theory can be empirically tested.</w:t>
      </w:r>
    </w:p>
    <w:p w14:paraId="33AA7BF4" w14:textId="77777777" w:rsidR="00EE0862" w:rsidRDefault="00EE0862" w:rsidP="00AD0906">
      <w:pPr>
        <w:pStyle w:val="ListParagraph"/>
        <w:numPr>
          <w:ilvl w:val="0"/>
          <w:numId w:val="163"/>
        </w:numPr>
      </w:pPr>
      <w:r>
        <w:t>Tautological statements (e.g., "a day with high temperatures is a hot day") are not falsifiable and, therefore, not considered theoretical propositions.</w:t>
      </w:r>
    </w:p>
    <w:p w14:paraId="2E621BCE" w14:textId="77777777" w:rsidR="00EE0862" w:rsidRDefault="00EE0862" w:rsidP="00AD0906">
      <w:pPr>
        <w:pStyle w:val="ListParagraph"/>
        <w:numPr>
          <w:ilvl w:val="0"/>
          <w:numId w:val="163"/>
        </w:numPr>
      </w:pPr>
      <w:r>
        <w:t>Falsifiability requires rival explanations and measurable constructs.</w:t>
      </w:r>
    </w:p>
    <w:p w14:paraId="04D1715A" w14:textId="77777777" w:rsidR="00EE0862" w:rsidRDefault="00EE0862" w:rsidP="00AD0906">
      <w:pPr>
        <w:pStyle w:val="ListParagraph"/>
        <w:numPr>
          <w:ilvl w:val="0"/>
          <w:numId w:val="163"/>
        </w:numPr>
      </w:pPr>
      <w:r>
        <w:t>Note: A falsifiable theory is not the same as a falsified theory. If a theory is falsified based on empirical evidence, it was likely flawed from the start.</w:t>
      </w:r>
    </w:p>
    <w:p w14:paraId="71F6300E" w14:textId="77777777" w:rsidR="00EE0862" w:rsidRDefault="00EE0862" w:rsidP="00AD0906">
      <w:pPr>
        <w:pStyle w:val="Heading5"/>
      </w:pPr>
      <w:r>
        <w:t>Parsimony</w:t>
      </w:r>
    </w:p>
    <w:p w14:paraId="0C9E894B" w14:textId="77777777" w:rsidR="00EE0862" w:rsidRDefault="00EE0862" w:rsidP="00BA3F06">
      <w:pPr>
        <w:pStyle w:val="ListParagraph"/>
        <w:numPr>
          <w:ilvl w:val="0"/>
          <w:numId w:val="164"/>
        </w:numPr>
      </w:pPr>
      <w:r>
        <w:t>Does the theory explain the phenomenon using the fewest variables and assumptions possible?</w:t>
      </w:r>
    </w:p>
    <w:p w14:paraId="3905ADA1" w14:textId="77777777" w:rsidR="00EE0862" w:rsidRDefault="00EE0862" w:rsidP="00BA3F06">
      <w:pPr>
        <w:pStyle w:val="ListParagraph"/>
        <w:numPr>
          <w:ilvl w:val="0"/>
          <w:numId w:val="164"/>
        </w:numPr>
      </w:pPr>
      <w:r>
        <w:lastRenderedPageBreak/>
        <w:t>Parsimony, or Occam's razor, states that the simplest explanation that sufficiently explains the observed evidence is the best.</w:t>
      </w:r>
    </w:p>
    <w:p w14:paraId="29E2D9D9" w14:textId="77777777" w:rsidR="00EE0862" w:rsidRDefault="00EE0862" w:rsidP="00BA3F06">
      <w:pPr>
        <w:pStyle w:val="ListParagraph"/>
        <w:numPr>
          <w:ilvl w:val="0"/>
          <w:numId w:val="164"/>
        </w:numPr>
      </w:pPr>
      <w:r>
        <w:t>Parsimonious theories have higher degrees of freedom, making them more easily generalizable to other contexts, settings, and populations.</w:t>
      </w:r>
    </w:p>
    <w:p w14:paraId="7ECC23EF" w14:textId="77777777" w:rsidR="00EE0862" w:rsidRDefault="00EE0862" w:rsidP="00BA3F06">
      <w:pPr>
        <w:pStyle w:val="ListParagraph"/>
        <w:numPr>
          <w:ilvl w:val="0"/>
          <w:numId w:val="164"/>
        </w:numPr>
      </w:pPr>
      <w:r>
        <w:t>Adding more constructs to explain a complex phenomenon defeats the purpose of having a simplified and generalizable explanation.</w:t>
      </w:r>
    </w:p>
    <w:p w14:paraId="5327D01B" w14:textId="184C8B9F" w:rsidR="00A626FE" w:rsidRDefault="00EE0862" w:rsidP="00BA3F06">
      <w:r>
        <w:t>In summary, a good theory should be logically consistent, have high explanatory power, be falsifiable, and be parsimonious. These attributes ensure that the theory is well-constructed, can be empirically tested, and provides a simple yet comprehensive explanation of the phenomenon it addresses. By evaluating theories based on these criteria, researchers can determine which theories are most suitable for their research purposes and can contribute to the advancement of knowledge in their field.</w:t>
      </w:r>
    </w:p>
    <w:p w14:paraId="02D5BDB4" w14:textId="77777777" w:rsidR="00E37CA8" w:rsidRDefault="00E37CA8" w:rsidP="004C6722">
      <w:pPr>
        <w:pStyle w:val="Heading4"/>
      </w:pPr>
      <w:r>
        <w:t>Approaches to Theory Building</w:t>
      </w:r>
    </w:p>
    <w:p w14:paraId="5CDB5F4E" w14:textId="325B1331" w:rsidR="00E37CA8" w:rsidRDefault="00E37CA8" w:rsidP="004C6722">
      <w:r>
        <w:t>According to Steinfeld and Fulk</w:t>
      </w:r>
      <w:r w:rsidR="00811B75">
        <w:t xml:space="preserve"> </w:t>
      </w:r>
      <w:r w:rsidR="00811B75">
        <w:fldChar w:fldCharType="begin"/>
      </w:r>
      <w:r w:rsidR="007C07B4">
        <w:instrText xml:space="preserve"> ADDIN ZOTERO_ITEM CSL_CITATION {"citationID":"a1sficqq3mn","properties":{"formattedCitation":"[15]","plainCitation":"[15]","noteIndex":0},"citationItems":[{"id":59,"uris":["http://zotero.org/users/5015692/items/RU9EITQN"],"itemData":{"id":59,"type":"article-journal","container-title":"Organizations and communication technology","page":"13–25","title":"The theory imperative","author":[{"family":"Steinfield","given":"Charles W"},{"family":"Fulk","given":"Janet"}],"issued":{"date-parts":[["1990"]]}}}],"schema":"https://github.com/citation-style-language/schema/raw/master/csl-citation.json"} </w:instrText>
      </w:r>
      <w:r w:rsidR="00811B75">
        <w:fldChar w:fldCharType="separate"/>
      </w:r>
      <w:r w:rsidR="007C07B4" w:rsidRPr="007C07B4">
        <w:t>[15]</w:t>
      </w:r>
      <w:r w:rsidR="00811B75">
        <w:fldChar w:fldCharType="end"/>
      </w:r>
      <w:r>
        <w:t>, researchers can build theories using four main approaches:</w:t>
      </w:r>
    </w:p>
    <w:p w14:paraId="59BA1367" w14:textId="77777777" w:rsidR="00E37CA8" w:rsidRDefault="00E37CA8" w:rsidP="00412327">
      <w:pPr>
        <w:pStyle w:val="Heading5"/>
      </w:pPr>
      <w:r>
        <w:t>Inductive approach: Grounded theory</w:t>
      </w:r>
    </w:p>
    <w:p w14:paraId="52874AC8" w14:textId="3EF5BDFF" w:rsidR="00E37CA8" w:rsidRDefault="00E37CA8" w:rsidP="00412327">
      <w:pPr>
        <w:pStyle w:val="ListParagraph"/>
        <w:numPr>
          <w:ilvl w:val="0"/>
          <w:numId w:val="165"/>
        </w:numPr>
      </w:pPr>
      <w:r>
        <w:t>Build theories based on observed patterns of events or behaviors</w:t>
      </w:r>
      <w:r w:rsidR="00412327">
        <w:t>.</w:t>
      </w:r>
    </w:p>
    <w:p w14:paraId="2B4CB7DE" w14:textId="7486AD7C" w:rsidR="00E37CA8" w:rsidRDefault="00E37CA8" w:rsidP="00412327">
      <w:pPr>
        <w:pStyle w:val="ListParagraph"/>
        <w:numPr>
          <w:ilvl w:val="0"/>
          <w:numId w:val="165"/>
        </w:numPr>
      </w:pPr>
      <w:r>
        <w:t>The theory is "grounded" in empirical observations</w:t>
      </w:r>
      <w:r w:rsidR="00412327">
        <w:t>.</w:t>
      </w:r>
    </w:p>
    <w:p w14:paraId="393697FD" w14:textId="6DBA63AF" w:rsidR="00E37CA8" w:rsidRDefault="00E37CA8" w:rsidP="00412327">
      <w:pPr>
        <w:pStyle w:val="ListParagraph"/>
        <w:numPr>
          <w:ilvl w:val="0"/>
          <w:numId w:val="165"/>
        </w:numPr>
      </w:pPr>
      <w:r>
        <w:t>Heavily dependent on the researcher's observational and interpretive abilities</w:t>
      </w:r>
      <w:r w:rsidR="00412327">
        <w:t>.</w:t>
      </w:r>
    </w:p>
    <w:p w14:paraId="7E71A4AA" w14:textId="228F114F" w:rsidR="00E37CA8" w:rsidRDefault="00E37CA8" w:rsidP="00412327">
      <w:pPr>
        <w:pStyle w:val="ListParagraph"/>
        <w:numPr>
          <w:ilvl w:val="0"/>
          <w:numId w:val="165"/>
        </w:numPr>
      </w:pPr>
      <w:r>
        <w:t>May result in subjective and unconfirmable theories</w:t>
      </w:r>
      <w:r w:rsidR="00412327">
        <w:t>.</w:t>
      </w:r>
    </w:p>
    <w:p w14:paraId="68C71334" w14:textId="6597CA5B" w:rsidR="00E37CA8" w:rsidRDefault="00E37CA8" w:rsidP="00412327">
      <w:pPr>
        <w:pStyle w:val="ListParagraph"/>
        <w:numPr>
          <w:ilvl w:val="0"/>
          <w:numId w:val="165"/>
        </w:numPr>
      </w:pPr>
      <w:r>
        <w:t>Observing patterns alone does not make a theory; consistent explanations for the patterns are necessary</w:t>
      </w:r>
      <w:r w:rsidR="00412327">
        <w:t>.</w:t>
      </w:r>
    </w:p>
    <w:p w14:paraId="38389F10" w14:textId="77777777" w:rsidR="00E37CA8" w:rsidRDefault="00E37CA8" w:rsidP="00412327">
      <w:pPr>
        <w:pStyle w:val="Heading5"/>
      </w:pPr>
      <w:r>
        <w:t>Inductive approach: Bottom-up conceptual analysis</w:t>
      </w:r>
    </w:p>
    <w:p w14:paraId="6F3AF53D" w14:textId="623D6C47" w:rsidR="00E37CA8" w:rsidRDefault="00E37CA8" w:rsidP="0036277D">
      <w:pPr>
        <w:pStyle w:val="ListParagraph"/>
        <w:numPr>
          <w:ilvl w:val="0"/>
          <w:numId w:val="166"/>
        </w:numPr>
      </w:pPr>
      <w:r>
        <w:t>Identify sets of predictors relevant to the phenomenon using a predefined framework (e.g., input-process-output)</w:t>
      </w:r>
      <w:r w:rsidR="006A69AA">
        <w:t>.</w:t>
      </w:r>
    </w:p>
    <w:p w14:paraId="43DF097D" w14:textId="0244BE95" w:rsidR="00E37CA8" w:rsidRDefault="00E37CA8" w:rsidP="0036277D">
      <w:pPr>
        <w:pStyle w:val="ListParagraph"/>
        <w:numPr>
          <w:ilvl w:val="0"/>
          <w:numId w:val="166"/>
        </w:numPr>
      </w:pPr>
      <w:r>
        <w:t>Look for different inputs (individual or organizational), outputs, and describe the underlying processes linking them to the target phenomenon</w:t>
      </w:r>
      <w:r w:rsidR="006A69AA">
        <w:t>.</w:t>
      </w:r>
    </w:p>
    <w:p w14:paraId="5E7BE2A4" w14:textId="22500D62" w:rsidR="00E37CA8" w:rsidRDefault="00E37CA8" w:rsidP="0036277D">
      <w:pPr>
        <w:pStyle w:val="ListParagraph"/>
        <w:numPr>
          <w:ilvl w:val="0"/>
          <w:numId w:val="166"/>
        </w:numPr>
      </w:pPr>
      <w:r>
        <w:t>Relies heavily on the researcher's inductive abilities and may be biased by their prior knowledge</w:t>
      </w:r>
      <w:r w:rsidR="006A69AA">
        <w:t>.</w:t>
      </w:r>
    </w:p>
    <w:p w14:paraId="51B28C70" w14:textId="77777777" w:rsidR="00E37CA8" w:rsidRDefault="00E37CA8" w:rsidP="0036277D">
      <w:pPr>
        <w:pStyle w:val="Heading5"/>
      </w:pPr>
      <w:r>
        <w:t>Deductive approach: Extending or modifying existing theories</w:t>
      </w:r>
    </w:p>
    <w:p w14:paraId="49C27CE1" w14:textId="6EDFF2FF" w:rsidR="00E37CA8" w:rsidRDefault="00E37CA8" w:rsidP="006A69AA">
      <w:pPr>
        <w:pStyle w:val="ListParagraph"/>
        <w:numPr>
          <w:ilvl w:val="0"/>
          <w:numId w:val="167"/>
        </w:numPr>
      </w:pPr>
      <w:r>
        <w:t>Explain a new context by adapting an existing theory</w:t>
      </w:r>
      <w:r w:rsidR="006A69AA">
        <w:t>.</w:t>
      </w:r>
    </w:p>
    <w:p w14:paraId="453D958F" w14:textId="207A2171" w:rsidR="00E37CA8" w:rsidRDefault="00E37CA8" w:rsidP="006A69AA">
      <w:pPr>
        <w:pStyle w:val="ListParagraph"/>
        <w:numPr>
          <w:ilvl w:val="0"/>
          <w:numId w:val="167"/>
        </w:numPr>
      </w:pPr>
      <w:r>
        <w:t>Retain some concepts, propositions, or boundary conditions of the old theory while modifying others to fit the new context</w:t>
      </w:r>
      <w:r w:rsidR="006A69AA">
        <w:t>.</w:t>
      </w:r>
    </w:p>
    <w:p w14:paraId="669F7646" w14:textId="0861A8D2" w:rsidR="00E37CA8" w:rsidRDefault="00E37CA8" w:rsidP="006A69AA">
      <w:pPr>
        <w:pStyle w:val="ListParagraph"/>
        <w:numPr>
          <w:ilvl w:val="0"/>
          <w:numId w:val="167"/>
        </w:numPr>
      </w:pPr>
      <w:r>
        <w:t>Leverages the rich inventory of social science theories developed by prior theoreticians</w:t>
      </w:r>
      <w:r w:rsidR="006A69AA">
        <w:t>.</w:t>
      </w:r>
    </w:p>
    <w:p w14:paraId="0E8947C8" w14:textId="25963FAE" w:rsidR="00E37CA8" w:rsidRDefault="00E37CA8" w:rsidP="006A69AA">
      <w:pPr>
        <w:pStyle w:val="ListParagraph"/>
        <w:numPr>
          <w:ilvl w:val="0"/>
          <w:numId w:val="167"/>
        </w:numPr>
      </w:pPr>
      <w:r>
        <w:t>An efficient way of building new theories by building on existing ones</w:t>
      </w:r>
      <w:r w:rsidR="006A69AA">
        <w:t>.</w:t>
      </w:r>
    </w:p>
    <w:p w14:paraId="439369CB" w14:textId="77777777" w:rsidR="00E37CA8" w:rsidRDefault="00E37CA8" w:rsidP="0036277D">
      <w:pPr>
        <w:pStyle w:val="Heading5"/>
      </w:pPr>
      <w:r>
        <w:lastRenderedPageBreak/>
        <w:t>Deductive approach: Reasoning by analogy</w:t>
      </w:r>
    </w:p>
    <w:p w14:paraId="094E7C0C" w14:textId="1D4630BF" w:rsidR="00E37CA8" w:rsidRDefault="00E37CA8" w:rsidP="00804EF1">
      <w:pPr>
        <w:pStyle w:val="ListParagraph"/>
        <w:numPr>
          <w:ilvl w:val="0"/>
          <w:numId w:val="168"/>
        </w:numPr>
      </w:pPr>
      <w:r>
        <w:t>Apply existing theories in entirely new contexts by drawing upon structural similarities between the two contexts</w:t>
      </w:r>
      <w:r w:rsidR="00804EF1">
        <w:t>.</w:t>
      </w:r>
    </w:p>
    <w:p w14:paraId="22F99008" w14:textId="28C8D393" w:rsidR="00E37CA8" w:rsidRDefault="00E37CA8" w:rsidP="00804EF1">
      <w:pPr>
        <w:pStyle w:val="ListParagraph"/>
        <w:numPr>
          <w:ilvl w:val="0"/>
          <w:numId w:val="168"/>
        </w:numPr>
      </w:pPr>
      <w:r>
        <w:t>A creative way of theorizing using a deductive approach</w:t>
      </w:r>
      <w:r w:rsidR="00804EF1">
        <w:t>.</w:t>
      </w:r>
    </w:p>
    <w:p w14:paraId="5B175B2C" w14:textId="2947C1F4" w:rsidR="00E37CA8" w:rsidRDefault="00E37CA8" w:rsidP="00804EF1">
      <w:pPr>
        <w:pStyle w:val="ListParagraph"/>
        <w:numPr>
          <w:ilvl w:val="0"/>
          <w:numId w:val="168"/>
        </w:numPr>
      </w:pPr>
      <w:r>
        <w:t>Example: Markus</w:t>
      </w:r>
      <w:r w:rsidR="00811B75">
        <w:t xml:space="preserve"> </w:t>
      </w:r>
      <w:r w:rsidR="00811B75">
        <w:fldChar w:fldCharType="begin"/>
      </w:r>
      <w:r w:rsidR="007C07B4">
        <w:instrText xml:space="preserve"> ADDIN ZOTERO_ITEM CSL_CITATION {"citationID":"a20edivdlif","properties":{"formattedCitation":"[16]","plainCitation":"[16]","noteIndex":0},"citationItems":[{"id":63,"uris":["http://zotero.org/users/5015692/items/VABX6G32"],"itemData":{"id":63,"type":"article-journal","container-title":"Communication research","issue":"5","page":"491–511","title":"Toward a “critical mass” theory of interactive media: Universal access, interdependence and diffusion","volume":"14","author":[{"family":"Markus","given":"M Lynne"}],"issued":{"date-parts":[["1987"]]}}}],"schema":"https://github.com/citation-style-language/schema/raw/master/csl-citation.json"} </w:instrText>
      </w:r>
      <w:r w:rsidR="00811B75">
        <w:fldChar w:fldCharType="separate"/>
      </w:r>
      <w:r w:rsidR="007C07B4" w:rsidRPr="007C07B4">
        <w:t>[16]</w:t>
      </w:r>
      <w:r w:rsidR="00811B75">
        <w:fldChar w:fldCharType="end"/>
      </w:r>
      <w:r w:rsidR="00804EF1">
        <w:t xml:space="preserve"> </w:t>
      </w:r>
      <w:r>
        <w:t>used analogical similarities between a nuclear explosion and uncontrolled network growth to propose a critical mass theory of network growth</w:t>
      </w:r>
      <w:r w:rsidR="00781F44">
        <w:t>.</w:t>
      </w:r>
    </w:p>
    <w:p w14:paraId="2A117FC7" w14:textId="77777777" w:rsidR="00E37CA8" w:rsidRDefault="00E37CA8" w:rsidP="004C6722">
      <w:r>
        <w:t>Inductive approaches (1 and 2) rely on the researcher's ability to observe and interpret patterns or conceptualize predictors based on a predefined framework. These approaches are more subjective and may be biased by the researcher's prior knowledge.</w:t>
      </w:r>
    </w:p>
    <w:p w14:paraId="7E41AF12" w14:textId="77777777" w:rsidR="00E37CA8" w:rsidRDefault="00E37CA8" w:rsidP="004C6722">
      <w:r>
        <w:t>Deductive approaches (3 and 4) build upon existing theories by extending, modifying, or applying them to new contexts. These approaches are more efficient and creative, as they leverage the work of prior theoreticians and draw upon structural similarities between contexts.</w:t>
      </w:r>
    </w:p>
    <w:p w14:paraId="39CB0CE4" w14:textId="728A78BD" w:rsidR="002E47A6" w:rsidRDefault="00E37CA8" w:rsidP="004C6722">
      <w:r>
        <w:t>In summary, researchers can build theories using inductive approaches, such as grounded theory and bottom-up conceptual analysis, or deductive approaches, such as extending existing theories and reasoning by analogy. Each approach has its strengths and weaknesses, and the choice of approach depends on the research context, the availability of existing theories, and the researcher's abilities and goals.</w:t>
      </w:r>
    </w:p>
    <w:p w14:paraId="22448323" w14:textId="77777777" w:rsidR="00B64B52" w:rsidRDefault="00B64B52" w:rsidP="00046F80">
      <w:pPr>
        <w:pStyle w:val="Heading4"/>
      </w:pPr>
      <w:r>
        <w:t>From Propositions to Hypotheses: Testing Relationships Between Constructs</w:t>
      </w:r>
    </w:p>
    <w:p w14:paraId="39679122" w14:textId="77777777" w:rsidR="00B64B52" w:rsidRDefault="00B64B52" w:rsidP="00B64B52">
      <w:r>
        <w:t>In seeking explanations for observed phenomena, identifying critical constructs is not enough; researchers must also state the relationships between these constructs. These patterns of relationships are called propositions.</w:t>
      </w:r>
    </w:p>
    <w:p w14:paraId="521F49C2" w14:textId="77777777" w:rsidR="00B64B52" w:rsidRDefault="00B64B52" w:rsidP="00046F80">
      <w:pPr>
        <w:pStyle w:val="Heading5"/>
      </w:pPr>
      <w:r>
        <w:t>Propositions:</w:t>
      </w:r>
    </w:p>
    <w:p w14:paraId="3B4733D1" w14:textId="32D87767" w:rsidR="00B64B52" w:rsidRDefault="00B64B52" w:rsidP="00395408">
      <w:pPr>
        <w:pStyle w:val="ListParagraph"/>
        <w:numPr>
          <w:ilvl w:val="0"/>
          <w:numId w:val="169"/>
        </w:numPr>
      </w:pPr>
      <w:r>
        <w:t>Conjecture a relationship between constructs</w:t>
      </w:r>
      <w:r w:rsidR="00395408">
        <w:t>.</w:t>
      </w:r>
    </w:p>
    <w:p w14:paraId="359BA774" w14:textId="35697306" w:rsidR="00B64B52" w:rsidRDefault="00B64B52" w:rsidP="00395408">
      <w:pPr>
        <w:pStyle w:val="ListParagraph"/>
        <w:numPr>
          <w:ilvl w:val="0"/>
          <w:numId w:val="169"/>
        </w:numPr>
      </w:pPr>
      <w:r>
        <w:t>Stated in a declarative form</w:t>
      </w:r>
      <w:r w:rsidR="00395408">
        <w:t>.</w:t>
      </w:r>
    </w:p>
    <w:p w14:paraId="2F73CE68" w14:textId="296E8765" w:rsidR="00B64B52" w:rsidRDefault="00B64B52" w:rsidP="00395408">
      <w:pPr>
        <w:pStyle w:val="ListParagraph"/>
        <w:numPr>
          <w:ilvl w:val="0"/>
          <w:numId w:val="169"/>
        </w:numPr>
      </w:pPr>
      <w:r>
        <w:t>Must be testable, but not necessarily accurate</w:t>
      </w:r>
      <w:r w:rsidR="00395408">
        <w:t>.</w:t>
      </w:r>
    </w:p>
    <w:p w14:paraId="08C22747" w14:textId="104CFBD8" w:rsidR="00B64B52" w:rsidRDefault="00B64B52" w:rsidP="00395408">
      <w:pPr>
        <w:pStyle w:val="ListParagraph"/>
        <w:numPr>
          <w:ilvl w:val="0"/>
          <w:numId w:val="169"/>
        </w:numPr>
      </w:pPr>
      <w:r>
        <w:t>Derived from logic (deduction) or observation (induction)</w:t>
      </w:r>
      <w:r w:rsidR="00395408">
        <w:t>.</w:t>
      </w:r>
    </w:p>
    <w:p w14:paraId="1B698AD0" w14:textId="77777777" w:rsidR="00B64B52" w:rsidRDefault="00B64B52" w:rsidP="00395408">
      <w:pPr>
        <w:pStyle w:val="ListParagraph"/>
        <w:numPr>
          <w:ilvl w:val="0"/>
          <w:numId w:val="169"/>
        </w:numPr>
      </w:pPr>
      <w:r>
        <w:t>Example: "An increase in student intelligence leads to an increase in academic achievement."</w:t>
      </w:r>
    </w:p>
    <w:p w14:paraId="3AFF13FF" w14:textId="77777777" w:rsidR="00B64B52" w:rsidRDefault="00B64B52" w:rsidP="00B64B52">
      <w:r>
        <w:t>Since propositions involve abstract constructs, they cannot be directly tested. Instead, they are tested indirectly by examining the relationship between the corresponding measures (variables) of those constructs. The formulation of a proposition in terms of measurable variables is called a hypothesis.</w:t>
      </w:r>
    </w:p>
    <w:p w14:paraId="5FDD6610" w14:textId="77777777" w:rsidR="00B64B52" w:rsidRDefault="00B64B52" w:rsidP="00046F80">
      <w:pPr>
        <w:pStyle w:val="Heading5"/>
      </w:pPr>
      <w:r>
        <w:t>Hypotheses:</w:t>
      </w:r>
    </w:p>
    <w:p w14:paraId="07240639" w14:textId="0C2A46D8" w:rsidR="00B64B52" w:rsidRDefault="00B64B52" w:rsidP="005E4B36">
      <w:pPr>
        <w:pStyle w:val="ListParagraph"/>
        <w:numPr>
          <w:ilvl w:val="0"/>
          <w:numId w:val="170"/>
        </w:numPr>
      </w:pPr>
      <w:r>
        <w:t>Generated from empirical evidence</w:t>
      </w:r>
      <w:r w:rsidR="005E4B36">
        <w:t>.</w:t>
      </w:r>
    </w:p>
    <w:p w14:paraId="0C0F6298" w14:textId="4CEC76CE" w:rsidR="00B64B52" w:rsidRDefault="00B64B52" w:rsidP="005E4B36">
      <w:pPr>
        <w:pStyle w:val="ListParagraph"/>
        <w:numPr>
          <w:ilvl w:val="0"/>
          <w:numId w:val="170"/>
        </w:numPr>
      </w:pPr>
      <w:r>
        <w:t>Testable using observed data</w:t>
      </w:r>
      <w:r w:rsidR="005E4B36">
        <w:t>.</w:t>
      </w:r>
    </w:p>
    <w:p w14:paraId="4546294D" w14:textId="2696885E" w:rsidR="00B64B52" w:rsidRDefault="00B64B52" w:rsidP="005E4B36">
      <w:pPr>
        <w:pStyle w:val="ListParagraph"/>
        <w:numPr>
          <w:ilvl w:val="0"/>
          <w:numId w:val="170"/>
        </w:numPr>
      </w:pPr>
      <w:r>
        <w:t>May be rejected if data do not support them</w:t>
      </w:r>
      <w:r w:rsidR="005E4B36">
        <w:t>.</w:t>
      </w:r>
    </w:p>
    <w:p w14:paraId="2FAB3EC6" w14:textId="77777777" w:rsidR="00B64B52" w:rsidRDefault="00B64B52" w:rsidP="005E4B36">
      <w:pPr>
        <w:pStyle w:val="ListParagraph"/>
        <w:numPr>
          <w:ilvl w:val="0"/>
          <w:numId w:val="170"/>
        </w:numPr>
      </w:pPr>
      <w:r>
        <w:lastRenderedPageBreak/>
        <w:t>Example: "An increase in students' IQ score leads to an increase in their grade point average."</w:t>
      </w:r>
    </w:p>
    <w:p w14:paraId="5793F690" w14:textId="77777777" w:rsidR="00B64B52" w:rsidRDefault="00B64B52" w:rsidP="00B64B52">
      <w:r>
        <w:t>Hypotheses can be strong or weak, depending on their specificity:</w:t>
      </w:r>
    </w:p>
    <w:p w14:paraId="7F45B510" w14:textId="2BE0BFAD" w:rsidR="00B64B52" w:rsidRDefault="00B64B52" w:rsidP="0093562E">
      <w:pPr>
        <w:pStyle w:val="ListParagraph"/>
        <w:numPr>
          <w:ilvl w:val="0"/>
          <w:numId w:val="171"/>
        </w:numPr>
      </w:pPr>
      <w:r>
        <w:t>Weak hypothesis: Indicates neither direction nor causality</w:t>
      </w:r>
      <w:r w:rsidR="006E0C02">
        <w:t xml:space="preserve">. </w:t>
      </w:r>
      <w:r>
        <w:t>Example: "Students' IQ scores are related to their academic achievement."</w:t>
      </w:r>
    </w:p>
    <w:p w14:paraId="25E98FDD" w14:textId="116C51AB" w:rsidR="00B64B52" w:rsidRDefault="00B64B52" w:rsidP="00250A08">
      <w:pPr>
        <w:pStyle w:val="ListParagraph"/>
        <w:numPr>
          <w:ilvl w:val="0"/>
          <w:numId w:val="171"/>
        </w:numPr>
      </w:pPr>
      <w:r>
        <w:t>Stronger hypothesis: Indicates direction but not causality</w:t>
      </w:r>
      <w:r w:rsidR="006E0C02">
        <w:t xml:space="preserve">. </w:t>
      </w:r>
      <w:r>
        <w:t>Example: "Students' IQ scores are positively related to their academic achievement."</w:t>
      </w:r>
    </w:p>
    <w:p w14:paraId="2DE2C654" w14:textId="06D5173F" w:rsidR="00B64B52" w:rsidRDefault="00B64B52" w:rsidP="0079516C">
      <w:pPr>
        <w:pStyle w:val="ListParagraph"/>
        <w:numPr>
          <w:ilvl w:val="0"/>
          <w:numId w:val="171"/>
        </w:numPr>
      </w:pPr>
      <w:r>
        <w:t>Strongest hypothesis: Specifies both directionality and causality</w:t>
      </w:r>
      <w:r w:rsidR="006E0C02">
        <w:t xml:space="preserve">. </w:t>
      </w:r>
      <w:r>
        <w:t>Example: "Students' IQ scores have positive effects on their academic achievement."</w:t>
      </w:r>
    </w:p>
    <w:p w14:paraId="6FDF5A88" w14:textId="77777777" w:rsidR="00B64B52" w:rsidRDefault="00B64B52" w:rsidP="00B64B52">
      <w:r>
        <w:t>Hypotheses should clearly specify independent (cause) and dependent (effect) variables. A statement that does not specify these variables or a directional relationship is not a hypothesis.</w:t>
      </w:r>
    </w:p>
    <w:p w14:paraId="5327D028" w14:textId="6A777849" w:rsidR="00A626FE" w:rsidRDefault="00B64B52" w:rsidP="006E0C02">
      <w:r>
        <w:t>In summary, propositions are conjectured relationships between abstract constructs, while hypotheses are the testable formulations of these propositions using measurable variables. Propositions are derived from theory, while hypotheses are generated from empirical evidence. Strong hypotheses specify the direction and causality of the relationship between independent and dependent variables. By testing hypotheses, researchers can indirectly test the propositions and theories from which they are derived.</w:t>
      </w:r>
    </w:p>
    <w:p w14:paraId="392F03EC" w14:textId="61144B61" w:rsidR="00C62D3A" w:rsidRDefault="00C62D3A" w:rsidP="00C62D3A">
      <w:r>
        <w:t xml:space="preserve">A concept closely related to theory is the model. A model is a representation of a system or part of a system, created to study how that system functions or what triggers it. While theories strive to explain phenomena, models aim to represent them in an easy-to-understand manner. Models are often used to make important decisions based on specific inputs. For instance, marketing managers might use models to decide how much to spend on advertising for various product lines, </w:t>
      </w:r>
      <w:r w:rsidR="00211A53">
        <w:t>considering</w:t>
      </w:r>
      <w:r>
        <w:t xml:space="preserve"> factors like the previous year's ad spending, sales figures, market growth, and competitor products. Similarly, meteorologists use models to forecast weather patterns based on variables such as wind speed, air pressure, temperature, and humidity</w:t>
      </w:r>
      <w:r w:rsidR="00211A53">
        <w:t xml:space="preserve"> ADDIN ZOTERO_ITEM CSL_CITATION {"citationID":"agc2hf6s1d","properties":{"formattedCitation":"\\uldash{[1]}","plainCitation":"[1]","noteIndex":0},"citationItems":[{"id":77,"uris":["http://zotero.org/users/5015692/items/XJVNM6IP"],"itemData":{"id":77,"type":"article-journal","container-title":"Academy of management journal","issue":"4","page":"717–736","title":"Why companies go green: A model of ecological responsiveness","volume":"43","author":[{"family":"Bansal","given":"Pratima"},{"family":"Roth","given":"Kendall"}],"issued":{"date-parts":[["2000"]]}}}],"schema":"https://github.com/citation-style-language/schema/raw/master/csl-citation.json"} </w:t>
      </w:r>
      <w:r w:rsidR="00211A53" w:rsidRPr="00211A53">
        <w:rPr>
          <w:rFonts w:cs="Times New Roman"/>
          <w:u w:val="dash"/>
        </w:rPr>
        <w:t>[1]</w:t>
      </w:r>
      <w:r>
        <w:t>. Although helpful, these models do not explain the underlying theories behind advertising budgets or weather prediction.</w:t>
      </w:r>
    </w:p>
    <w:p w14:paraId="5BB63FE3" w14:textId="69501015" w:rsidR="00C62D3A" w:rsidRDefault="00C62D3A" w:rsidP="00B1770B">
      <w:pPr>
        <w:pStyle w:val="Heading3"/>
      </w:pPr>
      <w:bookmarkStart w:id="28" w:name="_Toc169156684"/>
      <w:r>
        <w:t>Models</w:t>
      </w:r>
      <w:bookmarkEnd w:id="28"/>
    </w:p>
    <w:p w14:paraId="79BDC86B" w14:textId="7823039F" w:rsidR="00C62D3A" w:rsidRDefault="00C62D3A" w:rsidP="00C62D3A">
      <w:r>
        <w:t xml:space="preserve">Models come in different varieties, including mathematical models, network models, and path models. They can also be categorized as descriptive, predictive, or normative. Descriptive models </w:t>
      </w:r>
      <w:r>
        <w:lastRenderedPageBreak/>
        <w:t>are commonly used to represent complex systems and visualize the variables and relationships within them. Predictive models, such as regression models, allow for the forecasting of future events. Normative models provide guidance for activities based on widely accepted norms or best practices. Furthermore, models can be classified as static, representing the state of a system at a single point in time, or dynamic, illustrating how a system evolves over time.</w:t>
      </w:r>
    </w:p>
    <w:p w14:paraId="5327D02C" w14:textId="4E68C7CF" w:rsidR="00A626FE" w:rsidRDefault="00C62D3A" w:rsidP="00D83E06">
      <w:r>
        <w:t xml:space="preserve">Developing theories and models often involves both inductive and deductive reasoning, as shown in </w:t>
      </w:r>
      <w:r w:rsidR="00CD2805">
        <w:t>the following f</w:t>
      </w:r>
      <w:r>
        <w:t xml:space="preserve">igure. Induction happens when we observe a fact and wonder, "Why is this occurring?" Deduction, on the other hand, occurs when we have a theory and ask, "Is this supported by observable evidence?" Both forms of reasoning lead to </w:t>
      </w:r>
      <w:r w:rsidR="00AB2DB9">
        <w:t>a preliminary</w:t>
      </w:r>
      <w:r>
        <w:t xml:space="preserve"> conclusion that </w:t>
      </w:r>
      <w:r w:rsidR="00AB2DB9">
        <w:t>is</w:t>
      </w:r>
      <w:r>
        <w:t xml:space="preserve"> then tested to construct a final model of the phenomenon. Researchers must alternate between inductive and deductive reasoning when proposing changes or additions to existing models or theories, a process that lies at the heart of scientific inquiry. </w:t>
      </w:r>
      <w:r w:rsidR="00073E5F">
        <w:t>The following figure</w:t>
      </w:r>
      <w:r>
        <w:t xml:space="preserve"> provides a visual representation of this process.</w:t>
      </w:r>
    </w:p>
    <w:p w14:paraId="19929039" w14:textId="3C63B4AE" w:rsidR="00D83E06" w:rsidRPr="000E309B" w:rsidRDefault="00D83E06" w:rsidP="00D83E06">
      <w:r>
        <w:rPr>
          <w:noProof/>
        </w:rPr>
        <mc:AlternateContent>
          <mc:Choice Requires="wpc">
            <w:drawing>
              <wp:inline distT="0" distB="0" distL="0" distR="0" wp14:anchorId="5817529F" wp14:editId="594A9807">
                <wp:extent cx="5486400" cy="2181225"/>
                <wp:effectExtent l="0" t="0" r="0" b="9525"/>
                <wp:docPr id="1762917446"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90698589" name="Rectangle: Rounded Corners 1190698589"/>
                        <wps:cNvSpPr/>
                        <wps:spPr>
                          <a:xfrm>
                            <a:off x="371475" y="409575"/>
                            <a:ext cx="1371600" cy="57150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84B6022" w14:textId="14917F2F" w:rsidR="00D83E06" w:rsidRDefault="00D83E06" w:rsidP="00D83E06">
                              <w:pPr>
                                <w:jc w:val="center"/>
                              </w:pPr>
                              <w:r>
                                <w:t>Empirical Observation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874578" name="Rectangle: Rounded Corners 461874578"/>
                        <wps:cNvSpPr/>
                        <wps:spPr>
                          <a:xfrm>
                            <a:off x="371475" y="1208700"/>
                            <a:ext cx="1371600" cy="571500"/>
                          </a:xfrm>
                          <a:prstGeom prst="roundRect">
                            <a:avLst/>
                          </a:prstGeom>
                        </wps:spPr>
                        <wps:style>
                          <a:lnRef idx="2">
                            <a:schemeClr val="accent2">
                              <a:shade val="15000"/>
                            </a:schemeClr>
                          </a:lnRef>
                          <a:fillRef idx="1">
                            <a:schemeClr val="accent2"/>
                          </a:fillRef>
                          <a:effectRef idx="0">
                            <a:schemeClr val="accent2"/>
                          </a:effectRef>
                          <a:fontRef idx="minor">
                            <a:schemeClr val="lt1"/>
                          </a:fontRef>
                        </wps:style>
                        <wps:txbx>
                          <w:txbxContent>
                            <w:p w14:paraId="29DEF699" w14:textId="3D8DB75A" w:rsidR="00594B55" w:rsidRDefault="00594B55" w:rsidP="00594B55">
                              <w:pPr>
                                <w:jc w:val="center"/>
                                <w:rPr>
                                  <w:rFonts w:eastAsia="Times New Roman"/>
                                </w:rPr>
                              </w:pPr>
                              <w:r>
                                <w:rPr>
                                  <w:rFonts w:eastAsia="Times New Roman"/>
                                </w:rPr>
                                <w:t>Theory/Logic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1947955" name="Rectangle: Rounded Corners 731947955"/>
                        <wps:cNvSpPr/>
                        <wps:spPr>
                          <a:xfrm>
                            <a:off x="2178031" y="818175"/>
                            <a:ext cx="1371600" cy="571500"/>
                          </a:xfrm>
                          <a:prstGeom prst="roundRect">
                            <a:avLst/>
                          </a:prstGeom>
                        </wps:spPr>
                        <wps:style>
                          <a:lnRef idx="2">
                            <a:schemeClr val="accent4">
                              <a:shade val="15000"/>
                            </a:schemeClr>
                          </a:lnRef>
                          <a:fillRef idx="1">
                            <a:schemeClr val="accent4"/>
                          </a:fillRef>
                          <a:effectRef idx="0">
                            <a:schemeClr val="accent4"/>
                          </a:effectRef>
                          <a:fontRef idx="minor">
                            <a:schemeClr val="lt1"/>
                          </a:fontRef>
                        </wps:style>
                        <wps:txbx>
                          <w:txbxContent>
                            <w:p w14:paraId="56B504E0" w14:textId="5971877D" w:rsidR="00594B55" w:rsidRDefault="00594B55" w:rsidP="00594B55">
                              <w:pPr>
                                <w:jc w:val="center"/>
                                <w:rPr>
                                  <w:rFonts w:eastAsia="Times New Roman"/>
                                </w:rPr>
                              </w:pPr>
                              <w:r>
                                <w:rPr>
                                  <w:rFonts w:eastAsia="Times New Roman"/>
                                </w:rPr>
                                <w:t>Preliminary Conclusion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3738460" name="Rectangle: Rounded Corners 1813738460"/>
                        <wps:cNvSpPr/>
                        <wps:spPr>
                          <a:xfrm>
                            <a:off x="3847125" y="808650"/>
                            <a:ext cx="1371600" cy="571500"/>
                          </a:xfrm>
                          <a:prstGeom prst="roundRect">
                            <a:avLst/>
                          </a:prstGeom>
                        </wps:spPr>
                        <wps:style>
                          <a:lnRef idx="2">
                            <a:schemeClr val="accent6">
                              <a:shade val="15000"/>
                            </a:schemeClr>
                          </a:lnRef>
                          <a:fillRef idx="1">
                            <a:schemeClr val="accent6"/>
                          </a:fillRef>
                          <a:effectRef idx="0">
                            <a:schemeClr val="accent6"/>
                          </a:effectRef>
                          <a:fontRef idx="minor">
                            <a:schemeClr val="lt1"/>
                          </a:fontRef>
                        </wps:style>
                        <wps:txbx>
                          <w:txbxContent>
                            <w:p w14:paraId="11E35B3B" w14:textId="7A3E9014" w:rsidR="00594B55" w:rsidRDefault="002A704E" w:rsidP="00594B55">
                              <w:pPr>
                                <w:jc w:val="center"/>
                                <w:rPr>
                                  <w:rFonts w:eastAsia="Times New Roman"/>
                                </w:rPr>
                              </w:pPr>
                              <w:r>
                                <w:rPr>
                                  <w:rFonts w:eastAsia="Times New Roman"/>
                                </w:rPr>
                                <w:t>Final Model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4365577" name="Right Brace 1924365577"/>
                        <wps:cNvSpPr/>
                        <wps:spPr>
                          <a:xfrm>
                            <a:off x="1828800" y="628650"/>
                            <a:ext cx="241220" cy="933450"/>
                          </a:xfrm>
                          <a:prstGeom prst="rightBrace">
                            <a:avLst/>
                          </a:prstGeom>
                        </wps:spPr>
                        <wps:style>
                          <a:lnRef idx="3">
                            <a:schemeClr val="accent4"/>
                          </a:lnRef>
                          <a:fillRef idx="0">
                            <a:schemeClr val="accent4"/>
                          </a:fillRef>
                          <a:effectRef idx="2">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950471" name="Arrow: Right 1413950471"/>
                        <wps:cNvSpPr/>
                        <wps:spPr>
                          <a:xfrm>
                            <a:off x="3590925" y="971550"/>
                            <a:ext cx="226716" cy="256200"/>
                          </a:xfrm>
                          <a:prstGeom prst="rightArrow">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8957145" name="Text Box 2128957145"/>
                        <wps:cNvSpPr txBox="1"/>
                        <wps:spPr>
                          <a:xfrm>
                            <a:off x="1762125" y="114300"/>
                            <a:ext cx="952500" cy="476250"/>
                          </a:xfrm>
                          <a:prstGeom prst="rect">
                            <a:avLst/>
                          </a:prstGeom>
                          <a:solidFill>
                            <a:schemeClr val="lt1"/>
                          </a:solidFill>
                          <a:ln w="6350">
                            <a:noFill/>
                          </a:ln>
                        </wps:spPr>
                        <wps:txbx>
                          <w:txbxContent>
                            <w:p w14:paraId="15E356B8" w14:textId="673B3F04" w:rsidR="004836E7" w:rsidRPr="004D5A23" w:rsidRDefault="004836E7">
                              <w:r w:rsidRPr="004D5A23">
                                <w:t xml:space="preserve">Inductive </w:t>
                              </w:r>
                              <w:r w:rsidR="004D5A23" w:rsidRPr="004D5A23">
                                <w:t>Reasoning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280577" name="Text Box 1"/>
                        <wps:cNvSpPr txBox="1"/>
                        <wps:spPr>
                          <a:xfrm>
                            <a:off x="1789725" y="1618275"/>
                            <a:ext cx="952500" cy="476250"/>
                          </a:xfrm>
                          <a:prstGeom prst="rect">
                            <a:avLst/>
                          </a:prstGeom>
                          <a:solidFill>
                            <a:schemeClr val="lt1"/>
                          </a:solidFill>
                          <a:ln w="6350">
                            <a:noFill/>
                          </a:ln>
                        </wps:spPr>
                        <wps:txbx>
                          <w:txbxContent>
                            <w:p w14:paraId="17502999" w14:textId="3CD45F65" w:rsidR="009E5C96" w:rsidRDefault="009E5C96" w:rsidP="009E5C96">
                              <w:pPr>
                                <w:rPr>
                                  <w:rFonts w:eastAsia="Times New Roman"/>
                                </w:rPr>
                              </w:pPr>
                              <w:r>
                                <w:rPr>
                                  <w:rFonts w:eastAsia="Times New Roman"/>
                                </w:rPr>
                                <w:t>Deductive Reasoning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59277297" name="Text Box 1"/>
                        <wps:cNvSpPr txBox="1"/>
                        <wps:spPr>
                          <a:xfrm>
                            <a:off x="3142274" y="275250"/>
                            <a:ext cx="1806916" cy="476250"/>
                          </a:xfrm>
                          <a:prstGeom prst="rect">
                            <a:avLst/>
                          </a:prstGeom>
                          <a:solidFill>
                            <a:schemeClr val="lt1"/>
                          </a:solidFill>
                          <a:ln w="6350">
                            <a:noFill/>
                          </a:ln>
                        </wps:spPr>
                        <wps:txbx>
                          <w:txbxContent>
                            <w:p w14:paraId="58E92953" w14:textId="5230AF6D" w:rsidR="00577296" w:rsidRDefault="00F05664" w:rsidP="00F05664">
                              <w:pPr>
                                <w:rPr>
                                  <w:rFonts w:eastAsia="Times New Roman"/>
                                </w:rPr>
                              </w:pPr>
                              <w:r>
                                <w:rPr>
                                  <w:rFonts w:eastAsia="Times New Roman"/>
                                </w:rPr>
                                <w:t>Develop Premise</w:t>
                              </w:r>
                              <w:r w:rsidR="00577296">
                                <w:rPr>
                                  <w:rFonts w:eastAsia="Times New Roman"/>
                                </w:rPr>
                                <w:br/>
                                <w:t>Specify Relationships</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817529F" id="Canvas 1" o:spid="_x0000_s1049" editas="canvas" style="width:6in;height:171.75pt;mso-position-horizontal-relative:char;mso-position-vertical-relative:line" coordsize="54864,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">
                <v:shape id="_x0000_s1050" type="#_x0000_t75" style="position:absolute;width:54864;height:21812;visibility:visible;mso-wrap-style:square" filled="t">
                  <v:fill o:detectmouseclick="t"/>
                  <v:path o:connecttype="none"/>
                </v:shape>
                <v:roundrect id="Rectangle: Rounded Corners 1190698589" o:spid="_x0000_s1051" style="position:absolute;left:3714;top:4095;width:13716;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" fillcolor="#4a66ac [3204]" strokecolor="#0b0f19 [484]" strokeweight="1pt">
                  <v:stroke joinstyle="miter"/>
                  <v:textbox>
                    <w:txbxContent>
                      <w:p w14:paraId="584B6022" w14:textId="14917F2F" w:rsidR="00D83E06" w:rsidRDefault="00D83E06" w:rsidP="00D83E06">
                        <w:pPr>
                          <w:jc w:val="center"/>
                        </w:pPr>
                        <w:r>
                          <w:t>Empirical Observation</w:t>
                        </w:r>
                      </w:p>
                    </w:txbxContent>
                  </v:textbox>
                </v:roundrect>
                <v:roundrect id="Rectangle: Rounded Corners 461874578" o:spid="_x0000_s1052" style="position:absolute;left:3714;top:12087;width:13716;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" fillcolor="#629dd1 [3205]" strokecolor="#0a1723 [485]" strokeweight="1pt">
                  <v:stroke joinstyle="miter"/>
                  <v:textbox>
                    <w:txbxContent>
                      <w:p w14:paraId="29DEF699" w14:textId="3D8DB75A" w:rsidR="00594B55" w:rsidRDefault="00594B55" w:rsidP="00594B55">
                        <w:pPr>
                          <w:jc w:val="center"/>
                          <w:rPr>
                            <w:rFonts w:eastAsia="Times New Roman"/>
                          </w:rPr>
                        </w:pPr>
                        <w:r>
                          <w:rPr>
                            <w:rFonts w:eastAsia="Times New Roman"/>
                          </w:rPr>
                          <w:t>Theory/Logic</w:t>
                        </w:r>
                      </w:p>
                    </w:txbxContent>
                  </v:textbox>
                </v:roundrect>
                <v:roundrect id="Rectangle: Rounded Corners 731947955" o:spid="_x0000_s1053" style="position:absolute;left:21780;top:8181;width:13716;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" fillcolor="#7f8fa9 [3207]" strokecolor="#11151a [487]" strokeweight="1pt">
                  <v:stroke joinstyle="miter"/>
                  <v:textbox>
                    <w:txbxContent>
                      <w:p w14:paraId="56B504E0" w14:textId="5971877D" w:rsidR="00594B55" w:rsidRDefault="00594B55" w:rsidP="00594B55">
                        <w:pPr>
                          <w:jc w:val="center"/>
                          <w:rPr>
                            <w:rFonts w:eastAsia="Times New Roman"/>
                          </w:rPr>
                        </w:pPr>
                        <w:r>
                          <w:rPr>
                            <w:rFonts w:eastAsia="Times New Roman"/>
                          </w:rPr>
                          <w:t>Preliminary Conclusion</w:t>
                        </w:r>
                      </w:p>
                    </w:txbxContent>
                  </v:textbox>
                </v:roundrect>
                <v:roundrect id="Rectangle: Rounded Corners 1813738460" o:spid="_x0000_s1054" style="position:absolute;left:38471;top:8086;width:13716;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" fillcolor="#9d90a0 [3209]" strokecolor="#171418 [489]" strokeweight="1pt">
                  <v:stroke joinstyle="miter"/>
                  <v:textbox>
                    <w:txbxContent>
                      <w:p w14:paraId="11E35B3B" w14:textId="7A3E9014" w:rsidR="00594B55" w:rsidRDefault="002A704E" w:rsidP="00594B55">
                        <w:pPr>
                          <w:jc w:val="center"/>
                          <w:rPr>
                            <w:rFonts w:eastAsia="Times New Roman"/>
                          </w:rPr>
                        </w:pPr>
                        <w:r>
                          <w:rPr>
                            <w:rFonts w:eastAsia="Times New Roman"/>
                          </w:rPr>
                          <w:t>Final Model</w:t>
                        </w:r>
                      </w:p>
                    </w:txbxContent>
                  </v:textbox>
                </v:round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924365577" o:spid="_x0000_s1055" type="#_x0000_t88" style="position:absolute;left:18288;top:6286;width:2412;height:9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" adj="465" strokecolor="#7f8fa9 [3207]" strokeweight="1.5pt">
                  <v:stroke joinstyle="miter"/>
                </v:shape>
                <v:shape id="Arrow: Right 1413950471" o:spid="_x0000_s1056" type="#_x0000_t13" style="position:absolute;left:35909;top:9715;width:2267;height:2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" adj="10800" fillcolor="#5aa2ae [3208]" strokecolor="white [3201]" strokeweight="1.5pt"/>
                <v:shape id="Text Box 2128957145" o:spid="_x0000_s1057" type="#_x0000_t202" style="position:absolute;left:17621;top:1143;width:9525;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" fillcolor="white [3201]" stroked="f" strokeweight=".5pt">
                  <v:textbox>
                    <w:txbxContent>
                      <w:p w14:paraId="15E356B8" w14:textId="673B3F04" w:rsidR="004836E7" w:rsidRPr="004D5A23" w:rsidRDefault="004836E7">
                        <w:r w:rsidRPr="004D5A23">
                          <w:t xml:space="preserve">Inductive </w:t>
                        </w:r>
                        <w:r w:rsidR="004D5A23" w:rsidRPr="004D5A23">
                          <w:t>Reasoning</w:t>
                        </w:r>
                      </w:p>
                    </w:txbxContent>
                  </v:textbox>
                </v:shape>
                <v:shape id="_x0000_s1058" type="#_x0000_t202" style="position:absolute;left:17897;top:16182;width:9525;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" fillcolor="white [3201]" stroked="f" strokeweight=".5pt">
                  <v:textbox>
                    <w:txbxContent>
                      <w:p w14:paraId="17502999" w14:textId="3CD45F65" w:rsidR="009E5C96" w:rsidRDefault="009E5C96" w:rsidP="009E5C96">
                        <w:pPr>
                          <w:rPr>
                            <w:rFonts w:eastAsia="Times New Roman"/>
                          </w:rPr>
                        </w:pPr>
                        <w:r>
                          <w:rPr>
                            <w:rFonts w:eastAsia="Times New Roman"/>
                          </w:rPr>
                          <w:t>Deductive Reasoning</w:t>
                        </w:r>
                      </w:p>
                    </w:txbxContent>
                  </v:textbox>
                </v:shape>
                <v:shape id="_x0000_s1059" type="#_x0000_t202" style="position:absolute;left:31422;top:2752;width:18069;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" fillcolor="white [3201]" stroked="f" strokeweight=".5pt">
                  <v:textbox>
                    <w:txbxContent>
                      <w:p w14:paraId="58E92953" w14:textId="5230AF6D" w:rsidR="00577296" w:rsidRDefault="00F05664" w:rsidP="00F05664">
                        <w:pPr>
                          <w:rPr>
                            <w:rFonts w:eastAsia="Times New Roman"/>
                          </w:rPr>
                        </w:pPr>
                        <w:r>
                          <w:rPr>
                            <w:rFonts w:eastAsia="Times New Roman"/>
                          </w:rPr>
                          <w:t>Develop Premise</w:t>
                        </w:r>
                        <w:r w:rsidR="00577296">
                          <w:rPr>
                            <w:rFonts w:eastAsia="Times New Roman"/>
                          </w:rPr>
                          <w:br/>
                          <w:t>Specify Relationships</w:t>
                        </w:r>
                      </w:p>
                    </w:txbxContent>
                  </v:textbox>
                </v:shape>
                <w10:anchorlock/>
              </v:group>
            </w:pict>
          </mc:Fallback>
        </mc:AlternateContent>
      </w:r>
    </w:p>
    <w:p w14:paraId="5327D02F" w14:textId="6D87C15F" w:rsidR="00A626FE" w:rsidRPr="000E309B" w:rsidRDefault="00787AD4" w:rsidP="00787AD4">
      <w:pPr>
        <w:pStyle w:val="Heading3"/>
      </w:pPr>
      <w:bookmarkStart w:id="29" w:name="_Toc169156685"/>
      <w:r w:rsidRPr="000E309B">
        <w:t xml:space="preserve">Inductive </w:t>
      </w:r>
      <w:r w:rsidR="000D34B6" w:rsidRPr="000E309B">
        <w:t>or</w:t>
      </w:r>
      <w:r w:rsidRPr="000E309B">
        <w:t xml:space="preserve"> Deductive Approaches</w:t>
      </w:r>
      <w:bookmarkEnd w:id="29"/>
    </w:p>
    <w:p w14:paraId="1E464066" w14:textId="76BF9EA0" w:rsidR="00D73E3F" w:rsidRDefault="00D73E3F" w:rsidP="00D73E3F">
      <w:r>
        <w:t>Theories provide a framework for conducting research, while research helps to shape and refine theories. As researchers decide whether to use an inductive or deductive approach, the reciprocal relationship between theory and research becomes more apparent. In many cases, researchers find that relying on a single approach is not optimal, and research projects often involve multiple cycles of inductive and deductive reasoning.</w:t>
      </w:r>
    </w:p>
    <w:p w14:paraId="00EA9EC0" w14:textId="303546B4" w:rsidR="00D73E3F" w:rsidRDefault="00D73E3F" w:rsidP="00D73E3F">
      <w:r>
        <w:t>It is not uncommon for a researcher to begin with an inductive approach, where they collect and analyze data to identify patterns and generate a new theory (Johnson &amp; Christensen, 2019). Once a theory has been postulated, the researcher may switch to a deductive approach to test the theory's validity. This involves formulating hypotheses based on the theory and collecting data to support or refute those hypotheses.</w:t>
      </w:r>
    </w:p>
    <w:p w14:paraId="5327D030" w14:textId="501A6DAA" w:rsidR="00A626FE" w:rsidRPr="000E309B" w:rsidRDefault="00D73E3F" w:rsidP="00D73E3F">
      <w:r>
        <w:t xml:space="preserve">After testing the initial theory, the researcher may return to an inductive approach to further develop and refine the theory based on additional data and insights. This refined theory can then be </w:t>
      </w:r>
      <w:r>
        <w:lastRenderedPageBreak/>
        <w:t>subjected to another round of deductive testing to assess its strength and applicability. This iterative process of moving between inductive and deductive approaches allows researchers to continuously improve their theories and develop a more comprehensive understanding of the phenomena they are studying.</w:t>
      </w:r>
    </w:p>
    <w:p w14:paraId="76723757" w14:textId="5BA5D10C" w:rsidR="00791B0A" w:rsidRDefault="00791B0A" w:rsidP="00791B0A">
      <w:pPr>
        <w:pStyle w:val="Heading4"/>
      </w:pPr>
      <w:r>
        <w:t>Inductive Research</w:t>
      </w:r>
    </w:p>
    <w:p w14:paraId="16C1FD05" w14:textId="5254E0C7" w:rsidR="00791B0A" w:rsidRDefault="00691CD7" w:rsidP="00791B0A">
      <w:r>
        <w:rPr>
          <w:noProof/>
        </w:rPr>
        <w:drawing>
          <wp:anchor distT="0" distB="0" distL="114300" distR="114300" simplePos="0" relativeHeight="251887700" behindDoc="0" locked="0" layoutInCell="1" allowOverlap="1" wp14:anchorId="3C029DA4" wp14:editId="510EA083">
            <wp:simplePos x="0" y="0"/>
            <wp:positionH relativeFrom="column">
              <wp:align>center</wp:align>
            </wp:positionH>
            <wp:positionV relativeFrom="paragraph">
              <wp:posOffset>1130300</wp:posOffset>
            </wp:positionV>
            <wp:extent cx="4800600" cy="1371600"/>
            <wp:effectExtent l="0" t="0" r="19050" b="0"/>
            <wp:wrapTopAndBottom/>
            <wp:docPr id="421554388"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14:sizeRelH relativeFrom="margin">
              <wp14:pctWidth>0</wp14:pctWidth>
            </wp14:sizeRelH>
            <wp14:sizeRelV relativeFrom="margin">
              <wp14:pctHeight>0</wp14:pctHeight>
            </wp14:sizeRelV>
          </wp:anchor>
        </w:drawing>
      </w:r>
      <w:r w:rsidR="00791B0A">
        <w:t xml:space="preserve">In inductive research, a researcher begins by collecting data relevant to the topic of interest. Once the data is gathered, the researcher searches for patterns, trends, or relationships and then develops a theory to explain those observations. Thus, an inductive approach moves from data to theory or from specific instances to general explanations, often described as a "bottom-up" approach. </w:t>
      </w:r>
      <w:r w:rsidR="002102B4">
        <w:t>The following figure</w:t>
      </w:r>
      <w:r w:rsidR="00791B0A">
        <w:t xml:space="preserve"> illustrates the overall process of inductive research.</w:t>
      </w:r>
    </w:p>
    <w:p w14:paraId="0AFD0425" w14:textId="001F7840" w:rsidR="005331F9" w:rsidRDefault="005331F9" w:rsidP="00B40E1F">
      <w:pPr>
        <w:pStyle w:val="NoSpacing"/>
      </w:pPr>
    </w:p>
    <w:p w14:paraId="469001A5" w14:textId="77777777" w:rsidR="00791B0A" w:rsidRDefault="00791B0A" w:rsidP="00791B0A">
      <w:r>
        <w:t>Inductive methods are commonly used in qualitative research projects and are sometimes criticized for being too subjective. The main goal is usually to understand the dynamics of business practices and use that understanding to draw general conclusions that can be applied to other businesses. Many qualitative research projects generate grounded theory, where the researcher starts with no preconceived notions and develops a new theory based on the analysis of the collected data.</w:t>
      </w:r>
    </w:p>
    <w:p w14:paraId="7FFE5684" w14:textId="77777777" w:rsidR="00791B0A" w:rsidRDefault="00791B0A" w:rsidP="00791B0A">
      <w:r>
        <w:t>Here are three examples of inductive research studies:</w:t>
      </w:r>
    </w:p>
    <w:p w14:paraId="4430E361" w14:textId="30002C18" w:rsidR="00791B0A" w:rsidRDefault="00791B0A" w:rsidP="00791B0A">
      <w:pPr>
        <w:pStyle w:val="ListParagraph"/>
        <w:numPr>
          <w:ilvl w:val="0"/>
          <w:numId w:val="172"/>
        </w:numPr>
      </w:pPr>
      <w:r>
        <w:t>Bansal and Roth</w:t>
      </w:r>
      <w:r w:rsidR="00211A53">
        <w:t xml:space="preserve"> </w:t>
      </w:r>
      <w:r w:rsidR="006850D4">
        <w:fldChar w:fldCharType="begin"/>
      </w:r>
      <w:r w:rsidR="007C07B4">
        <w:instrText xml:space="preserve"> ADDIN ZOTERO_ITEM CSL_CITATION {"citationID":"a1rjvu2d9nm","properties":{"formattedCitation":"[17]","plainCitation":"[17]","noteIndex":0},"citationItems":[{"id":77,"uris":["http://zotero.org/users/5015692/items/XJVNM6IP"],"itemData":{"id":77,"type":"article-journal","container-title":"Academy of management journal","issue":"4","page":"717–736","title":"Why companies go green: A model of ecological responsiveness","volume":"43","author":[{"family":"Bansal","given":"Pratima"},{"family":"Roth","given":"Kendall"}],"issued":{"date-parts":[["2000"]]}}}],"schema":"https://github.com/citation-style-language/schema/raw/master/csl-citation.json"} </w:instrText>
      </w:r>
      <w:r w:rsidR="006850D4">
        <w:fldChar w:fldCharType="separate"/>
      </w:r>
      <w:r w:rsidR="007C07B4" w:rsidRPr="007C07B4">
        <w:t>[17]</w:t>
      </w:r>
      <w:r w:rsidR="006850D4">
        <w:fldChar w:fldCharType="end"/>
      </w:r>
      <w:r w:rsidR="00B40E1F">
        <w:t xml:space="preserve"> </w:t>
      </w:r>
      <w:r>
        <w:t>investigated why corporations "go green" by collecting and analyzing data from 53 companies in the United Kingdom and Japan to develop a theory.</w:t>
      </w:r>
    </w:p>
    <w:p w14:paraId="02AE2E74" w14:textId="45FBD0C5" w:rsidR="00791B0A" w:rsidRDefault="00791B0A" w:rsidP="00791B0A">
      <w:pPr>
        <w:pStyle w:val="ListParagraph"/>
        <w:numPr>
          <w:ilvl w:val="0"/>
          <w:numId w:val="172"/>
        </w:numPr>
      </w:pPr>
      <w:r>
        <w:t>Sharma</w:t>
      </w:r>
      <w:r w:rsidR="00320A4A">
        <w:t xml:space="preserve"> </w:t>
      </w:r>
      <w:r w:rsidR="00320A4A">
        <w:fldChar w:fldCharType="begin"/>
      </w:r>
      <w:r w:rsidR="007C07B4">
        <w:instrText xml:space="preserve"> ADDIN ZOTERO_ITEM CSL_CITATION {"citationID":"ada9etiaab","properties":{"formattedCitation":"[18]","plainCitation":"[18]","noteIndex":0},"citationItems":[{"id":67,"uris":["http://zotero.org/users/5015692/items/UMB5F7MW"],"itemData":{"id":67,"type":"article-journal","container-title":"Academy of Management journal","issue":"4","page":"681–697","title":"Managerial interpretations and organizational context as predictors of corporate choice of environmental strategy","volume":"43","author":[{"family":"Sharma","given":"Sanjay"}],"issued":{"date-parts":[["2000"]]}}}],"schema":"https://github.com/citation-style-language/schema/raw/master/csl-citation.json"} </w:instrText>
      </w:r>
      <w:r w:rsidR="00320A4A">
        <w:fldChar w:fldCharType="separate"/>
      </w:r>
      <w:r w:rsidR="007C07B4" w:rsidRPr="007C07B4">
        <w:t>[18]</w:t>
      </w:r>
      <w:r w:rsidR="00320A4A">
        <w:fldChar w:fldCharType="end"/>
      </w:r>
      <w:r>
        <w:t xml:space="preserve"> surveyed 3-5 senior managers from 110 Canadian oil and gas companies with annual sales over $20 million. The analysis of the survey responses led the researcher to conclude that managers must be encouraged to adopt environmental goals within the existing corporate structure.</w:t>
      </w:r>
    </w:p>
    <w:p w14:paraId="6E503BF2" w14:textId="32DB940D" w:rsidR="00791B0A" w:rsidRDefault="00791B0A" w:rsidP="00791B0A">
      <w:pPr>
        <w:pStyle w:val="ListParagraph"/>
        <w:numPr>
          <w:ilvl w:val="0"/>
          <w:numId w:val="172"/>
        </w:numPr>
      </w:pPr>
      <w:r>
        <w:t>Sia and Bhardwaj</w:t>
      </w:r>
      <w:r w:rsidR="00320A4A">
        <w:t xml:space="preserve"> </w:t>
      </w:r>
      <w:r w:rsidR="00320A4A">
        <w:fldChar w:fldCharType="begin"/>
      </w:r>
      <w:r w:rsidR="007C07B4">
        <w:instrText xml:space="preserve"> ADDIN ZOTERO_ITEM CSL_CITATION {"citationID":"a1gm0f6j3t6","properties":{"formattedCitation":"[19]","plainCitation":"[19]","noteIndex":0},"citationItems":[{"id":66,"uris":["http://zotero.org/users/5015692/items/L5YFI4S9"],"itemData":{"id":66,"type":"article-journal","container-title":"Journal of the Indian Academy of Applied Psychology","issue":"2","page":"305–312","title":"Employees’ perception of diversity climate: role of psychological contract","volume":"35","author":[{"family":"Sia","given":"Surendra Kumar"},{"family":"Bhardwaj","given":"Gopa"}],"issued":{"date-parts":[["2009"]]}}}],"schema":"https://github.com/citation-style-language/schema/raw/master/csl-citation.json"} </w:instrText>
      </w:r>
      <w:r w:rsidR="00320A4A">
        <w:fldChar w:fldCharType="separate"/>
      </w:r>
      <w:r w:rsidR="007C07B4" w:rsidRPr="007C07B4">
        <w:t>[19]</w:t>
      </w:r>
      <w:r w:rsidR="00320A4A">
        <w:fldChar w:fldCharType="end"/>
      </w:r>
      <w:r w:rsidR="00B40E1F">
        <w:t xml:space="preserve"> </w:t>
      </w:r>
      <w:r>
        <w:t>used an inductive approach to study how the "psychological contract" (what an employee believes they have agreed to, rather than what is in the employment contract) between a company and its employees affects diversity. Surveys administered to 207 managers of public sector units in Odisha, India, revealed that certain minority groups tended to protect each other during crises, while members of the dominant group did not, leading to feelings of non-inclusiveness.</w:t>
      </w:r>
    </w:p>
    <w:p w14:paraId="090A6FAA" w14:textId="040E5BBB" w:rsidR="00791B0A" w:rsidRDefault="00791B0A" w:rsidP="00791B0A">
      <w:r>
        <w:lastRenderedPageBreak/>
        <w:t>In addition to these studies, several journals have published articles encouraging the use of inductive methods, especially in case study analysis. For instance, Eisenhardt and Graebner</w:t>
      </w:r>
      <w:r w:rsidR="00141B8D">
        <w:t xml:space="preserve"> </w:t>
      </w:r>
      <w:r w:rsidR="00141B8D">
        <w:fldChar w:fldCharType="begin"/>
      </w:r>
      <w:r w:rsidR="007C07B4">
        <w:instrText xml:space="preserve"> ADDIN ZOTERO_ITEM CSL_CITATION {"citationID":"a2bbgpgtk5s","properties":{"formattedCitation":"[20]","plainCitation":"[20]","noteIndex":0},"citationItems":[{"id":69,"uris":["http://zotero.org/users/5015692/items/M3RP78I2"],"itemData":{"id":69,"type":"article-journal","container-title":"The Academy of Management Journal","issue":"1","page":"25–32","title":"Theory building from cases: Opportunities and challenges","volume":"50","author":[{"family":"Eisenhardt","given":"Kathleen M"},{"family":"Graebner","given":"Melissa E"}],"issued":{"date-parts":[["2007"]]}}}],"schema":"https://github.com/citation-style-language/schema/raw/master/csl-citation.json"} </w:instrText>
      </w:r>
      <w:r w:rsidR="00141B8D">
        <w:fldChar w:fldCharType="separate"/>
      </w:r>
      <w:r w:rsidR="007C07B4" w:rsidRPr="007C07B4">
        <w:t>[20]</w:t>
      </w:r>
      <w:r w:rsidR="00141B8D">
        <w:fldChar w:fldCharType="end"/>
      </w:r>
      <w:r w:rsidR="00B40E1F">
        <w:t xml:space="preserve"> </w:t>
      </w:r>
      <w:r>
        <w:t>suggested generating theory from multiple case studies and encouraged management researchers to consider the role of theory-generation in their work.</w:t>
      </w:r>
    </w:p>
    <w:p w14:paraId="57315160" w14:textId="3C13E8F7" w:rsidR="00162E8E" w:rsidRDefault="00162E8E" w:rsidP="00162E8E">
      <w:pPr>
        <w:pStyle w:val="Heading4"/>
      </w:pPr>
      <w:r>
        <w:t>Deductive Research</w:t>
      </w:r>
    </w:p>
    <w:p w14:paraId="53ECBC7F" w14:textId="58D02B8F" w:rsidR="00F3595B" w:rsidRDefault="00812B75" w:rsidP="00162E8E">
      <w:r>
        <w:rPr>
          <w:noProof/>
        </w:rPr>
        <w:drawing>
          <wp:anchor distT="0" distB="0" distL="114300" distR="114300" simplePos="0" relativeHeight="251889748" behindDoc="0" locked="0" layoutInCell="1" allowOverlap="1" wp14:anchorId="0F7FC227" wp14:editId="01AC5CFF">
            <wp:simplePos x="0" y="0"/>
            <wp:positionH relativeFrom="column">
              <wp:align>center</wp:align>
            </wp:positionH>
            <wp:positionV relativeFrom="paragraph">
              <wp:posOffset>1137920</wp:posOffset>
            </wp:positionV>
            <wp:extent cx="4800600" cy="1371600"/>
            <wp:effectExtent l="19050" t="0" r="19050" b="0"/>
            <wp:wrapTopAndBottom/>
            <wp:docPr id="76911896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14:sizeRelH relativeFrom="margin">
              <wp14:pctWidth>0</wp14:pctWidth>
            </wp14:sizeRelH>
            <wp14:sizeRelV relativeFrom="margin">
              <wp14:pctHeight>0</wp14:pctHeight>
            </wp14:sizeRelV>
          </wp:anchor>
        </w:drawing>
      </w:r>
      <w:r w:rsidR="00162E8E">
        <w:t xml:space="preserve">In deductive research, a researcher starts with a theory of interest and then collects data to test that theory. As a result, a deductive approach progresses from a general explanation of a phenomenon to specific instances that confirm or refute the explanation, often referred to as a "top-down" approach. </w:t>
      </w:r>
      <w:r w:rsidR="0065270F">
        <w:t>The following f</w:t>
      </w:r>
      <w:r w:rsidR="00162E8E">
        <w:t>igure provides a broad outline of the deductive research process.</w:t>
      </w:r>
    </w:p>
    <w:p w14:paraId="024A8A53" w14:textId="6D2710CE" w:rsidR="00162E8E" w:rsidRDefault="00162E8E" w:rsidP="00162E8E">
      <w:r>
        <w:t>Deductive methods are frequently used in quantitative research projects and are often considered the "gold standard" of methods, particularly among researchers in the natural sciences. The main goal is usually to test existing theories to determine if they are valid in cases that have not been previously examined. Here are a few examples of studies that employ a deductive approach:</w:t>
      </w:r>
    </w:p>
    <w:p w14:paraId="78E6C2E7" w14:textId="69669BB8" w:rsidR="00162E8E" w:rsidRDefault="00162E8E" w:rsidP="00162E8E">
      <w:r>
        <w:t>Parboteeah, Paik, and Cullen</w:t>
      </w:r>
      <w:r w:rsidR="00583FAC">
        <w:t xml:space="preserve"> </w:t>
      </w:r>
      <w:r w:rsidR="00583FAC">
        <w:fldChar w:fldCharType="begin"/>
      </w:r>
      <w:r w:rsidR="007C07B4">
        <w:instrText xml:space="preserve"> ADDIN ZOTERO_ITEM CSL_CITATION {"citationID":"a1uiesam3lp","properties":{"formattedCitation":"[21]","plainCitation":"[21]","noteIndex":0},"citationItems":[{"id":61,"uris":["http://zotero.org/users/5015692/items/VY2QK8R6"],"itemData":{"id":61,"type":"article-journal","container-title":"International Journal of Cross Cultural Management","issue":"1","page":"51–67","title":"Religious groups and work values: A focus on Buddhism, Christianity, Hinduism, and Islam","volume":"9","author":[{"family":"Parboteeah","given":"K Praveen"},{"family":"Paik","given":"Yongsun"},{"family":"Cullen","given":"John B"}],"issued":{"date-parts":[["2009"]]}}}],"schema":"https://github.com/citation-style-language/schema/raw/master/csl-citation.json"} </w:instrText>
      </w:r>
      <w:r w:rsidR="00583FAC">
        <w:fldChar w:fldCharType="separate"/>
      </w:r>
      <w:r w:rsidR="007C07B4" w:rsidRPr="007C07B4">
        <w:t>[21]</w:t>
      </w:r>
      <w:r w:rsidR="00583FAC">
        <w:fldChar w:fldCharType="end"/>
      </w:r>
      <w:r w:rsidR="004B1549">
        <w:t xml:space="preserve"> </w:t>
      </w:r>
      <w:r>
        <w:t>investigated the influence of religion on the workplace using data from more than 44,000 individuals in 39 countries. They tested whether Buddhism, Christianity, Hinduism, and Islam influenced extrinsic and intrinsic work values. The results generally supported their hypotheses, confirming that religion is positively related to work values. Because the study began with hypotheses and tested them against collected data, it follows a deductive methodology.</w:t>
      </w:r>
    </w:p>
    <w:p w14:paraId="119F3F0E" w14:textId="0776E4A1" w:rsidR="00162E8E" w:rsidRDefault="00162E8E" w:rsidP="00162E8E">
      <w:r>
        <w:t>Hackman and Oldham</w:t>
      </w:r>
      <w:r w:rsidR="00583FAC">
        <w:t xml:space="preserve"> </w:t>
      </w:r>
      <w:r w:rsidR="00583FAC">
        <w:fldChar w:fldCharType="begin"/>
      </w:r>
      <w:r w:rsidR="007C07B4">
        <w:instrText xml:space="preserve"> ADDIN ZOTERO_ITEM CSL_CITATION {"citationID":"aqik6upv1v","properties":{"formattedCitation":"[22]","plainCitation":"[22]","noteIndex":0},"citationItems":[{"id":68,"uris":["http://zotero.org/users/5015692/items/2HMY7IWM"],"itemData":{"id":68,"type":"article-journal","container-title":"Organizational behavior and human performance","issue":"2","page":"250–279","title":"Motivation through the design of work: Test of a theory","volume":"16","author":[{"family":"Hackman","given":"J Richard"},{"family":"Oldham","given":"Greg R"}],"issued":{"date-parts":[["1976"]]}}}],"schema":"https://github.com/citation-style-language/schema/raw/master/csl-citation.json"} </w:instrText>
      </w:r>
      <w:r w:rsidR="00583FAC">
        <w:fldChar w:fldCharType="separate"/>
      </w:r>
      <w:r w:rsidR="007C07B4" w:rsidRPr="007C07B4">
        <w:t>[22]</w:t>
      </w:r>
      <w:r w:rsidR="00583FAC">
        <w:fldChar w:fldCharType="end"/>
      </w:r>
      <w:r>
        <w:t xml:space="preserve"> used existing theory to develop a model predicting the conditions that motivate employees to perform effectively in their jobs. They tested the model on 658 employees working in 62 different jobs across seven organizations and found that the results supported the validity of their model.</w:t>
      </w:r>
    </w:p>
    <w:p w14:paraId="0C4182E0" w14:textId="28FC516C" w:rsidR="00162E8E" w:rsidRDefault="00162E8E" w:rsidP="00162E8E">
      <w:r>
        <w:t>Delaney and Huselid</w:t>
      </w:r>
      <w:r w:rsidR="00A6310E">
        <w:t xml:space="preserve"> </w:t>
      </w:r>
      <w:r w:rsidR="00A6310E">
        <w:fldChar w:fldCharType="begin"/>
      </w:r>
      <w:r w:rsidR="007C07B4">
        <w:instrText xml:space="preserve"> ADDIN ZOTERO_ITEM CSL_CITATION {"citationID":"a1kenp8s310","properties":{"formattedCitation":"[23]","plainCitation":"[23]","noteIndex":0},"citationItems":[{"id":70,"uris":["http://zotero.org/users/5015692/items/K3RAPD28"],"itemData":{"id":70,"type":"article-journal","container-title":"Academy of Management journal","issue":"4","page":"949–969","title":"The impact of human resource management practices on perceptions of organizational performance","volume":"39","author":[{"family":"Delaney","given":"John T"},{"family":"Huselid","given":"Mark A"}],"issued":{"date-parts":[["1996"]]}}}],"schema":"https://github.com/citation-style-language/schema/raw/master/csl-citation.json"} </w:instrText>
      </w:r>
      <w:r w:rsidR="00A6310E">
        <w:fldChar w:fldCharType="separate"/>
      </w:r>
      <w:r w:rsidR="007C07B4" w:rsidRPr="007C07B4">
        <w:t>[23]</w:t>
      </w:r>
      <w:r w:rsidR="00A6310E">
        <w:fldChar w:fldCharType="end"/>
      </w:r>
      <w:r w:rsidR="00E953AA">
        <w:t xml:space="preserve"> </w:t>
      </w:r>
      <w:r>
        <w:t>examined the relationship between human resource management and perceptions of organizational performance. They developed two hypotheses and then collected data to test them. The study concluded that positive human resources practices (such as training programs) have a positive correlation with the perception of organizational performance.</w:t>
      </w:r>
    </w:p>
    <w:p w14:paraId="514CBC16" w14:textId="77777777" w:rsidR="00162E8E" w:rsidRDefault="00162E8E" w:rsidP="00162E8E">
      <w:pPr>
        <w:pStyle w:val="Heading4"/>
      </w:pPr>
      <w:r>
        <w:lastRenderedPageBreak/>
        <w:t>Complementary Approaches</w:t>
      </w:r>
    </w:p>
    <w:p w14:paraId="07D86F5D" w14:textId="2FF67C9B" w:rsidR="00162E8E" w:rsidRDefault="00162E8E" w:rsidP="00F3595B">
      <w:r>
        <w:t xml:space="preserve">Although inductive and deductive approaches to research may seem quite different, they complement each other because one approach generates theories while the other tests them. </w:t>
      </w:r>
      <w:r w:rsidR="002C1DE5">
        <w:t xml:space="preserve"> </w:t>
      </w:r>
      <w:r>
        <w:t>In some cases, researchers design their projects to include both inductive and deductive phases. In other instances, a researcher might initially plan to conduct either inductive or deductive research but later discover that the other approach is necessary to develop a comprehensive understanding of the topic.</w:t>
      </w:r>
    </w:p>
    <w:p w14:paraId="2AA787B9" w14:textId="296E8EBD" w:rsidR="00162E8E" w:rsidRDefault="00162E8E" w:rsidP="00F3595B">
      <w:r>
        <w:t xml:space="preserve">One example of this is a research project conducted by Lawrence Sherman and Richard Berk </w:t>
      </w:r>
      <w:r w:rsidR="00A6310E">
        <w:fldChar w:fldCharType="begin"/>
      </w:r>
      <w:r w:rsidR="007C07B4">
        <w:instrText xml:space="preserve"> ADDIN ZOTERO_ITEM CSL_CITATION {"citationID":"a130pirlbmb","properties":{"formattedCitation":"[24]","plainCitation":"[24]","noteIndex":0},"citationItems":[{"id":60,"uris":["http://zotero.org/users/5015692/items/XQPMCZIE"],"itemData":{"id":60,"type":"article-journal","container-title":"American sociological review","page":"261–272","title":"The specific deterrent effects of arrest for domestic assault","author":[{"family":"Sherman","given":"Lawrence W"},{"family":"Berk","given":"Richard A"}],"issued":{"date-parts":[["1984"]]}}}],"schema":"https://github.com/citation-style-language/schema/raw/master/csl-citation.json"} </w:instrText>
      </w:r>
      <w:r w:rsidR="00A6310E">
        <w:fldChar w:fldCharType="separate"/>
      </w:r>
      <w:r w:rsidR="007C07B4" w:rsidRPr="007C07B4">
        <w:t>[24]</w:t>
      </w:r>
      <w:r w:rsidR="00A6310E">
        <w:fldChar w:fldCharType="end"/>
      </w:r>
      <w:r w:rsidR="002E26AA">
        <w:t xml:space="preserve"> </w:t>
      </w:r>
      <w:r>
        <w:t>that tested two competing theories on the effects of punishment in deterring domestic violence. They hypothesized that deterrence theory would better explain the effects of arresting accused batterers than labeling theory. Deterrence theory predicts that arrest will reduce future incidents of violence, while labeling theory predicts an increase in future incidents.</w:t>
      </w:r>
    </w:p>
    <w:p w14:paraId="603A2D6A" w14:textId="77777777" w:rsidR="00162E8E" w:rsidRDefault="00162E8E" w:rsidP="00F3595B">
      <w:r>
        <w:t>After experimenting with the help of local police in one city, Sherman and Berk found that arrest did deter future violence, supporting their hypothesis that deterrence theory would better predict the effect of the arrest. However, when they and other researchers conducted similar experiments in six additional cities, the results were mixed. In some cases, arrest deterred future violence, while in others, it did not. These new findings required an inductive approach to make sense of the latest empirical observations.</w:t>
      </w:r>
    </w:p>
    <w:p w14:paraId="5327D049" w14:textId="7E919190" w:rsidR="00A626FE" w:rsidRPr="000E309B" w:rsidRDefault="00162E8E" w:rsidP="00E064BB">
      <w:r>
        <w:t>The new studies revealed that arrest seemed to have a deterrent effect for married and employed individuals but led to increased offenses for unmarried and unemployed people. Ultimately, the researchers turned to control theory, predicting that having a stake in conformity through the social ties provided by marriage and employment would deter future violence. This research project exemplifies how a study can evolve through several iterations of induction and deduction.</w:t>
      </w:r>
    </w:p>
    <w:p w14:paraId="5327D04A" w14:textId="6388970F" w:rsidR="00A626FE" w:rsidRPr="000E309B" w:rsidRDefault="009F1AAA" w:rsidP="00787AD4">
      <w:pPr>
        <w:pStyle w:val="Heading3"/>
      </w:pPr>
      <w:bookmarkStart w:id="30" w:name="_Toc169156686"/>
      <w:r>
        <w:rPr>
          <w:noProof/>
        </w:rPr>
        <w:drawing>
          <wp:anchor distT="0" distB="0" distL="114300" distR="114300" simplePos="0" relativeHeight="251988052" behindDoc="0" locked="0" layoutInCell="1" allowOverlap="1" wp14:anchorId="0A18054D" wp14:editId="78E984EF">
            <wp:simplePos x="933450" y="1649067"/>
            <wp:positionH relativeFrom="margin">
              <wp:align>right</wp:align>
            </wp:positionH>
            <wp:positionV relativeFrom="paragraph">
              <wp:posOffset>0</wp:posOffset>
            </wp:positionV>
            <wp:extent cx="914400" cy="914400"/>
            <wp:effectExtent l="19050" t="19050" r="19050" b="19050"/>
            <wp:wrapSquare wrapText="bothSides"/>
            <wp:docPr id="672327545" name="Picture 2" descr="A drawing of a dra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27545" name="Picture 2" descr="A drawing of a draw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787AD4">
        <w:t>A</w:t>
      </w:r>
      <w:r w:rsidR="00D14B33" w:rsidRPr="000E309B">
        <w:t xml:space="preserve"> </w:t>
      </w:r>
      <w:r w:rsidR="00787AD4">
        <w:t>S</w:t>
      </w:r>
      <w:r w:rsidR="00D14B33" w:rsidRPr="000E309B">
        <w:t xml:space="preserve">ampling of </w:t>
      </w:r>
      <w:r w:rsidR="00787AD4">
        <w:t>R</w:t>
      </w:r>
      <w:r w:rsidR="00D14B33" w:rsidRPr="000E309B">
        <w:t>esearch</w:t>
      </w:r>
      <w:bookmarkEnd w:id="30"/>
    </w:p>
    <w:p w14:paraId="5327D04B" w14:textId="28BC59D2" w:rsidR="00A626FE" w:rsidRPr="000E309B" w:rsidRDefault="00D14B33" w:rsidP="00AF177F">
      <w:pPr>
        <w:pStyle w:val="Heading4"/>
      </w:pPr>
      <w:r w:rsidRPr="000E309B">
        <w:t>Thriving for Small Business Owners</w:t>
      </w:r>
    </w:p>
    <w:p w14:paraId="5327D04C" w14:textId="429CF21C" w:rsidR="00A626FE" w:rsidRPr="000E309B" w:rsidRDefault="00D14B33" w:rsidP="006045BC">
      <w:r w:rsidRPr="000E309B">
        <w:t>Jessica Macera investigated small businesses and used grounded theory techniques to determine what elements help them thrive</w:t>
      </w:r>
      <w:r w:rsidR="006045BC">
        <w:t xml:space="preserve"> </w:t>
      </w:r>
      <w:r w:rsidR="006045BC">
        <w:fldChar w:fldCharType="begin"/>
      </w:r>
      <w:r w:rsidR="007C07B4">
        <w:instrText xml:space="preserve"> ADDIN ZOTERO_ITEM CSL_CITATION {"citationID":"au8l3die9m","properties":{"formattedCitation":"[25]","plainCitation":"[25]","noteIndex":0},"citationItems":[{"id":64,"uris":["http://zotero.org/users/5015692/items/M54K6T76"],"itemData":{"id":64,"type":"thesis","genre":"PhD Thesis","publisher":"Capella University","title":"A theory of thriving for small business owners: A grounded theory study","author":[{"family":"Macera","given":"Jessica L"}],"issued":{"date-parts":[["2016"]]}}}],"schema":"https://github.com/citation-style-language/schema/raw/master/csl-citation.json"} </w:instrText>
      </w:r>
      <w:r w:rsidR="006045BC">
        <w:fldChar w:fldCharType="separate"/>
      </w:r>
      <w:r w:rsidR="007C07B4" w:rsidRPr="007C07B4">
        <w:t>[25]</w:t>
      </w:r>
      <w:r w:rsidR="006045BC">
        <w:fldChar w:fldCharType="end"/>
      </w:r>
      <w:r w:rsidR="006045BC">
        <w:t>.</w:t>
      </w:r>
      <w:r w:rsidRPr="000E309B">
        <w:t xml:space="preserve"> Macera conducted open-ended conversational interviews </w:t>
      </w:r>
      <w:r w:rsidR="00542D6C">
        <w:t>with</w:t>
      </w:r>
      <w:r w:rsidRPr="000E309B">
        <w:t xml:space="preserve"> 15 small business owners. After the first three interviews, she </w:t>
      </w:r>
      <w:r w:rsidR="00542D6C">
        <w:t>developed</w:t>
      </w:r>
      <w:r w:rsidRPr="000E309B">
        <w:t xml:space="preserve"> categories of elements that </w:t>
      </w:r>
      <w:r w:rsidR="00542D6C">
        <w:t>the owners identified</w:t>
      </w:r>
      <w:r w:rsidRPr="000E309B">
        <w:t xml:space="preserve"> as </w:t>
      </w:r>
      <w:r w:rsidR="00542D6C">
        <w:t>necessary</w:t>
      </w:r>
      <w:r w:rsidRPr="000E309B">
        <w:t xml:space="preserve"> for thriving. After eight interviews</w:t>
      </w:r>
      <w:r w:rsidR="00542D6C">
        <w:t>,</w:t>
      </w:r>
      <w:r w:rsidRPr="000E309B">
        <w:t xml:space="preserve"> “</w:t>
      </w:r>
      <w:r w:rsidR="00616122">
        <w:t>…</w:t>
      </w:r>
      <w:r w:rsidRPr="000E309B">
        <w:t>ideas were strongly developed</w:t>
      </w:r>
      <w:r w:rsidR="008C3CC9">
        <w:t>,</w:t>
      </w:r>
      <w:r w:rsidRPr="000E309B">
        <w:t xml:space="preserve">” and saturation, where no new information was formulated, was reached after 12 interviews. Her interviews were </w:t>
      </w:r>
      <w:r w:rsidR="00D622FA" w:rsidRPr="000E309B">
        <w:t>recorded,</w:t>
      </w:r>
      <w:r w:rsidRPr="000E309B">
        <w:t xml:space="preserve"> and she relied on both the recordings and her field notes to code the collected data into coherent results. She found the single most </w:t>
      </w:r>
      <w:r w:rsidR="008C3CC9">
        <w:t>crucial</w:t>
      </w:r>
      <w:r w:rsidRPr="000E309B">
        <w:t xml:space="preserve"> factor to explain small business owners thriving is </w:t>
      </w:r>
      <w:r w:rsidR="008C3CC9">
        <w:t xml:space="preserve">a </w:t>
      </w:r>
      <w:r w:rsidRPr="000E309B">
        <w:t>personal investment. However, she divided this factor into 21 characteristics like constantly moving to the next step, celebration, confidence, and goal setting. She next grouped these characteristics into four categories: mastery, motivators, personal characteristics, and the role of others. She eventually developed a theory of thriving which includes “</w:t>
      </w:r>
      <w:r w:rsidR="00616122">
        <w:t>…</w:t>
      </w:r>
      <w:r w:rsidRPr="000E309B">
        <w:t xml:space="preserve">alternating periods of </w:t>
      </w:r>
      <w:r w:rsidRPr="000E309B">
        <w:lastRenderedPageBreak/>
        <w:t>personal investment and capitalization on opportunities, leading to brief periods of intense thriving and subsequently higher levels of sustained thriving.”</w:t>
      </w:r>
      <w:r w:rsidR="008615AD" w:rsidRPr="008615AD">
        <w:rPr>
          <w:noProof/>
        </w:rPr>
        <w:t xml:space="preserve"> </w:t>
      </w:r>
    </w:p>
    <w:p w14:paraId="5327D04D" w14:textId="1A00E96D" w:rsidR="00A626FE" w:rsidRDefault="008615AD" w:rsidP="00787AD4">
      <w:pPr>
        <w:pStyle w:val="Heading3"/>
      </w:pPr>
      <w:bookmarkStart w:id="31" w:name="_Toc169156687"/>
      <w:r>
        <w:rPr>
          <w:noProof/>
        </w:rPr>
        <w:drawing>
          <wp:anchor distT="0" distB="0" distL="114300" distR="114300" simplePos="0" relativeHeight="251957332" behindDoc="0" locked="0" layoutInCell="1" allowOverlap="1" wp14:anchorId="08C387CA" wp14:editId="1AD80181">
            <wp:simplePos x="0" y="0"/>
            <wp:positionH relativeFrom="column">
              <wp:align>right</wp:align>
            </wp:positionH>
            <wp:positionV relativeFrom="paragraph">
              <wp:posOffset>0</wp:posOffset>
            </wp:positionV>
            <wp:extent cx="914400" cy="914400"/>
            <wp:effectExtent l="19050" t="19050" r="19050" b="19050"/>
            <wp:wrapSquare wrapText="bothSides"/>
            <wp:docPr id="1924474485"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9D3BA7">
        <w:t xml:space="preserve">Summary of </w:t>
      </w:r>
      <w:r w:rsidR="005C6F2B">
        <w:t>Chapter 2: Foundations</w:t>
      </w:r>
      <w:bookmarkEnd w:id="31"/>
      <w:r w:rsidR="005C6F2B">
        <w:t xml:space="preserve"> </w:t>
      </w:r>
    </w:p>
    <w:p w14:paraId="5B53450F" w14:textId="77777777" w:rsidR="0004051B" w:rsidRDefault="0004051B" w:rsidP="0004051B">
      <w:r>
        <w:t>In this chapter, we explored the foundational concepts that shape the research process. Here's a summary of the key points:</w:t>
      </w:r>
    </w:p>
    <w:p w14:paraId="581D5939" w14:textId="77777777" w:rsidR="0004051B" w:rsidRDefault="0004051B" w:rsidP="0004051B">
      <w:pPr>
        <w:pStyle w:val="ListParagraph"/>
        <w:numPr>
          <w:ilvl w:val="0"/>
          <w:numId w:val="256"/>
        </w:numPr>
      </w:pPr>
      <w:r>
        <w:t>Ontology and epistemology are the philosophical foundations that guide a researcher's approach to inquiry. Your ontological position (objectivism or constructivism) influences the types of questions you ask, while your epistemological approach (pragmatism, positivism, realism, or interpretivism) guides your choice of research methods.</w:t>
      </w:r>
    </w:p>
    <w:p w14:paraId="62E8DA37" w14:textId="77777777" w:rsidR="0004051B" w:rsidRDefault="0004051B" w:rsidP="0004051B">
      <w:pPr>
        <w:pStyle w:val="ListParagraph"/>
        <w:numPr>
          <w:ilvl w:val="0"/>
          <w:numId w:val="256"/>
        </w:numPr>
      </w:pPr>
      <w:r>
        <w:t>Burrell and Morgan proposed four research paradigms based on ontological and epistemological assumptions: functionalism, interpretivism, radical structuralism, and radical humanism. These paradigms provide frameworks for understanding and conducting research.</w:t>
      </w:r>
    </w:p>
    <w:p w14:paraId="4CF338B7" w14:textId="77777777" w:rsidR="0004051B" w:rsidRDefault="0004051B" w:rsidP="0004051B">
      <w:pPr>
        <w:pStyle w:val="ListParagraph"/>
        <w:numPr>
          <w:ilvl w:val="0"/>
          <w:numId w:val="256"/>
        </w:numPr>
      </w:pPr>
      <w:r>
        <w:t>Paradigms are overarching belief systems, while theories are targeted explanations of phenomena based on empirical evidence and reasoning. A good theory is logically consistent, has high explanatory power, is falsifiable, and is parsimonious.</w:t>
      </w:r>
    </w:p>
    <w:p w14:paraId="395E9F94" w14:textId="77777777" w:rsidR="0004051B" w:rsidRDefault="0004051B" w:rsidP="0004051B">
      <w:pPr>
        <w:pStyle w:val="ListParagraph"/>
        <w:numPr>
          <w:ilvl w:val="0"/>
          <w:numId w:val="256"/>
        </w:numPr>
      </w:pPr>
      <w:r>
        <w:t>Theories consist of constructs (the "what"), propositions (the "how"), logic (the "why"), and assumptions (the "who, when, and where"). Variables are measurable representations of abstract constructs and can be independent, dependent, moderating, mediating, or control variables.</w:t>
      </w:r>
    </w:p>
    <w:p w14:paraId="30AF7854" w14:textId="4D7B371F" w:rsidR="0004051B" w:rsidRDefault="0004051B" w:rsidP="0004051B">
      <w:pPr>
        <w:pStyle w:val="ListParagraph"/>
        <w:numPr>
          <w:ilvl w:val="0"/>
          <w:numId w:val="256"/>
        </w:numPr>
      </w:pPr>
      <w:r>
        <w:t>Researchers can build theories using inductive approaches (grounded theory and bottom-up conceptual analysis) or deductive approaches (extending existing theories and reasoning by analogy).</w:t>
      </w:r>
    </w:p>
    <w:p w14:paraId="04F3F827" w14:textId="77777777" w:rsidR="0004051B" w:rsidRDefault="0004051B" w:rsidP="0004051B">
      <w:r>
        <w:t>Understanding these concepts will help you develop a strong foundation for your research projects. By recognizing the philosophical assumptions underlying your work, selecting appropriate research paradigms and theories, and building well-constructed theories, you can conduct rigorous and meaningful research.</w:t>
      </w:r>
    </w:p>
    <w:p w14:paraId="39CB1264" w14:textId="77777777" w:rsidR="0004051B" w:rsidRDefault="0004051B" w:rsidP="0004051B">
      <w:r>
        <w:t>I encourage you to continue exploring these concepts beyond this class. As you engage with research in your field, consider how the philosophical foundations, paradigms, and theories shape the questions asked and the methods used. By critically examining these aspects of research, you can deepen your understanding of the subject matter and contribute to the advancement of knowledge.</w:t>
      </w:r>
    </w:p>
    <w:p w14:paraId="0214F1C0" w14:textId="51391D16" w:rsidR="005A1FFA" w:rsidRDefault="0004051B" w:rsidP="0004051B">
      <w:r>
        <w:t>Remember, research is a complex and iterative process. While this chapter provides a solid starting point, there is always more to learn. Embrace the opportunity to engage with these concepts further and apply them to your own research endeavors.</w:t>
      </w:r>
    </w:p>
    <w:p w14:paraId="1550B944" w14:textId="6A28A5E8" w:rsidR="00DF6737" w:rsidRDefault="00DF6737" w:rsidP="000E309B">
      <w:pPr>
        <w:spacing w:line="360" w:lineRule="auto"/>
        <w:sectPr w:rsidR="00DF6737" w:rsidSect="00FD08D0">
          <w:headerReference w:type="default" r:id="rId84"/>
          <w:headerReference w:type="first" r:id="rId85"/>
          <w:pgSz w:w="12240" w:h="15840"/>
          <w:pgMar w:top="1440" w:right="1440" w:bottom="1440" w:left="1440" w:header="720" w:footer="720" w:gutter="0"/>
          <w:cols w:space="720"/>
          <w:docGrid w:linePitch="299"/>
        </w:sectPr>
      </w:pPr>
    </w:p>
    <w:p w14:paraId="54F15670" w14:textId="6B75459A" w:rsidR="00BC0DD8" w:rsidRDefault="00BC0DD8" w:rsidP="00BC0DD8">
      <w:pPr>
        <w:pStyle w:val="Heading2"/>
      </w:pPr>
      <w:bookmarkStart w:id="32" w:name="_Toc169156688"/>
      <w:r>
        <w:lastRenderedPageBreak/>
        <w:t>3: Ethics in Research: Upholding the Integrity of Science</w:t>
      </w:r>
      <w:bookmarkEnd w:id="32"/>
    </w:p>
    <w:p w14:paraId="498DF295" w14:textId="0FBB9ED9" w:rsidR="00BC0DD8" w:rsidRDefault="00BC0DD8" w:rsidP="00BC0DD8">
      <w:pPr>
        <w:pStyle w:val="Heading3"/>
      </w:pPr>
      <w:bookmarkStart w:id="33" w:name="_Toc169156689"/>
      <w:r>
        <w:t>Introduction</w:t>
      </w:r>
      <w:bookmarkEnd w:id="33"/>
    </w:p>
    <w:p w14:paraId="65A02D8C" w14:textId="47CCACDC" w:rsidR="00BC0DD8" w:rsidRDefault="00191402" w:rsidP="00B37262">
      <w:r>
        <w:rPr>
          <w:noProof/>
        </w:rPr>
        <w:drawing>
          <wp:anchor distT="0" distB="0" distL="114300" distR="114300" simplePos="0" relativeHeight="251658273" behindDoc="0" locked="0" layoutInCell="1" allowOverlap="1" wp14:anchorId="6682210E" wp14:editId="2FB1A089">
            <wp:simplePos x="0" y="0"/>
            <wp:positionH relativeFrom="column">
              <wp:posOffset>4276725</wp:posOffset>
            </wp:positionH>
            <wp:positionV relativeFrom="paragraph">
              <wp:posOffset>0</wp:posOffset>
            </wp:positionV>
            <wp:extent cx="1664208" cy="1664208"/>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86" cstate="print">
                      <a:extLst>
                        <a:ext uri="{BEBA8EAE-BF5A-486C-A8C5-ECC9F3942E4B}">
                          <a14:imgProps xmlns:a14="http://schemas.microsoft.com/office/drawing/2010/main">
                            <a14:imgLayer r:embed="rId8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664208" cy="1664208"/>
                    </a:xfrm>
                    <a:prstGeom prst="rect">
                      <a:avLst/>
                    </a:prstGeom>
                  </pic:spPr>
                </pic:pic>
              </a:graphicData>
            </a:graphic>
            <wp14:sizeRelH relativeFrom="margin">
              <wp14:pctWidth>0</wp14:pctWidth>
            </wp14:sizeRelH>
            <wp14:sizeRelV relativeFrom="margin">
              <wp14:pctHeight>0</wp14:pctHeight>
            </wp14:sizeRelV>
          </wp:anchor>
        </w:drawing>
      </w:r>
      <w:r w:rsidR="00BC0DD8">
        <w:t>What does it mean to conduct research ethically? The Oxford Dictionary defines ethics as "moral principles that govern a person's behavior or the conducting of an activity"</w:t>
      </w:r>
      <w:r w:rsidR="00F51C57">
        <w:t xml:space="preserve"> </w:t>
      </w:r>
      <w:r w:rsidR="00F51C57">
        <w:fldChar w:fldCharType="begin"/>
      </w:r>
      <w:r w:rsidR="007C07B4">
        <w:instrText xml:space="preserve"> ADDIN ZOTERO_ITEM CSL_CITATION {"citationID":"a17ojh2gpt1","properties":{"formattedCitation":"[26]","plainCitation":"[26]","noteIndex":0},"citationItems":[{"id":39,"uris":["http://zotero.org/users/5015692/items/YIL7J6H5"],"itemData":{"id":39,"type":"webpage","title":"Definition of Ethics","URL":"https://en.oxforddictionaries.com/definition/ethics","author":[{"family":"Dictionaries","given":"Oxford Living"}],"accessed":{"date-parts":[["2018",12,18]]},"issued":{"date-parts":[["2018"]]}}}],"schema":"https://github.com/citation-style-language/schema/raw/master/csl-citation.json"} </w:instrText>
      </w:r>
      <w:r w:rsidR="00F51C57">
        <w:fldChar w:fldCharType="separate"/>
      </w:r>
      <w:r w:rsidR="007C07B4" w:rsidRPr="007C07B4">
        <w:t>[26]</w:t>
      </w:r>
      <w:r w:rsidR="00F51C57">
        <w:fldChar w:fldCharType="end"/>
      </w:r>
      <w:r w:rsidR="00BC0DD8">
        <w:t>. In the context of research, ethical principles are often codified in professional codes of conduct and enforced by institutional review boards (IRBs). These guidelines help ensure that researchers uphold the integrity of science by adhering to accepted standards for data collection, analysis, and interpretation.</w:t>
      </w:r>
    </w:p>
    <w:p w14:paraId="1B78971B" w14:textId="6BA7A5CC" w:rsidR="00BC0DD8" w:rsidRDefault="00BC0DD8" w:rsidP="00B37262">
      <w:r>
        <w:t>But why is research ethics so important? History offers cautionary tales of the consequences when scientists fail to uphold these principles. In the early 2000s, pharmaceutical giant Merck faced scandal over its handling of clinical trials for the drug Vioxx. The company was found to have misrepresented the drug's safety data, leading to thousands of patient deaths</w:t>
      </w:r>
      <w:r w:rsidR="00CD0B09">
        <w:t xml:space="preserve"> </w:t>
      </w:r>
      <w:r w:rsidR="00CD0B09">
        <w:fldChar w:fldCharType="begin"/>
      </w:r>
      <w:r w:rsidR="007C07B4">
        <w:instrText xml:space="preserve"> ADDIN ZOTERO_ITEM CSL_CITATION {"citationID":"a2fsso2brge","properties":{"formattedCitation":"[27]","plainCitation":"[27]","noteIndex":0},"citationItems":[{"id":52,"uris":["http://zotero.org/users/5015692/items/HFNJCRU6"],"itemData":{"id":52,"type":"article-journal","container-title":"Hofstra L. Rev.","page":"749","title":"Direct-to-consumer advertising and pharmaceutical ethics: The case of Vioxx","volume":"35","author":[{"family":"Green","given":"Ronald M"}],"issued":{"date-parts":[["2006"]]}}}],"schema":"https://github.com/citation-style-language/schema/raw/master/csl-citation.json"} </w:instrText>
      </w:r>
      <w:r w:rsidR="00CD0B09">
        <w:fldChar w:fldCharType="separate"/>
      </w:r>
      <w:r w:rsidR="007C07B4" w:rsidRPr="007C07B4">
        <w:t>[27]</w:t>
      </w:r>
      <w:r w:rsidR="00CD0B09">
        <w:fldChar w:fldCharType="end"/>
      </w:r>
      <w:r>
        <w:t>. Merck's unethical conduct not only harmed patients but also undermined public trust in scientific research.</w:t>
      </w:r>
    </w:p>
    <w:p w14:paraId="319EF270" w14:textId="77777777" w:rsidR="00BC0DD8" w:rsidRDefault="00BC0DD8" w:rsidP="00B37262">
      <w:r>
        <w:t>As aspiring researchers, it is crucial to understand that ethical conduct goes beyond legal compliance. Even if not explicitly illegal, practices such as manipulating data or failing to disclose conflicts of interest can lead to disciplinary action and damage one's professional reputation. While ethical norms may vary across societies, this book focuses on the standards upheld in Western research communities.</w:t>
      </w:r>
    </w:p>
    <w:p w14:paraId="5327D058" w14:textId="1518DDE5" w:rsidR="00A626FE" w:rsidRDefault="00BC0DD8" w:rsidP="00B37262">
      <w:r>
        <w:t xml:space="preserve">By committing to ethical research practices, we not only protect the rights and welfare of research participants but also safeguard the credibility of </w:t>
      </w:r>
      <w:r w:rsidR="00626C58">
        <w:t>science</w:t>
      </w:r>
      <w:r>
        <w:t>. As you embark on your own research journey, keep these principles at the forefront of your mind. In the following sections, we will delve deeper into specific ethical considerations for each stage of the research process.</w:t>
      </w:r>
    </w:p>
    <w:p w14:paraId="67A55DAA" w14:textId="6C5F9AF0" w:rsidR="00D12A83" w:rsidRDefault="00E0031F" w:rsidP="00D12A83">
      <w:pPr>
        <w:pStyle w:val="IntenseQuote"/>
      </w:pPr>
      <w:r>
        <w:rPr>
          <w:noProof/>
        </w:rPr>
        <w:drawing>
          <wp:anchor distT="0" distB="0" distL="114300" distR="114300" simplePos="0" relativeHeight="251927636" behindDoc="0" locked="0" layoutInCell="1" allowOverlap="1" wp14:anchorId="2AC7DA8E" wp14:editId="789320FD">
            <wp:simplePos x="0" y="0"/>
            <wp:positionH relativeFrom="column">
              <wp:align>right</wp:align>
            </wp:positionH>
            <wp:positionV relativeFrom="paragraph">
              <wp:posOffset>0</wp:posOffset>
            </wp:positionV>
            <wp:extent cx="914400" cy="914400"/>
            <wp:effectExtent l="19050" t="19050" r="19050" b="19050"/>
            <wp:wrapSquare wrapText="bothSides"/>
            <wp:docPr id="1228506689"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D12A83">
        <w:t>Objectives</w:t>
      </w:r>
    </w:p>
    <w:p w14:paraId="178493AF" w14:textId="06F4B69A" w:rsidR="003957EA" w:rsidRDefault="003957EA" w:rsidP="00885D01">
      <w:pPr>
        <w:pStyle w:val="Quote"/>
        <w:numPr>
          <w:ilvl w:val="0"/>
          <w:numId w:val="263"/>
        </w:numPr>
      </w:pPr>
      <w:r>
        <w:t>Articulate the importance of ethical conduct in research and the potential consequences of unethical practices, both for research participants and for the integrity of the scientific process itself, to appreciate the gravity of one's responsibilities as a researcher.</w:t>
      </w:r>
    </w:p>
    <w:p w14:paraId="54226F3F" w14:textId="750DED96" w:rsidR="003957EA" w:rsidRDefault="003957EA" w:rsidP="00885D01">
      <w:pPr>
        <w:pStyle w:val="Quote"/>
        <w:numPr>
          <w:ilvl w:val="0"/>
          <w:numId w:val="263"/>
        </w:numPr>
      </w:pPr>
      <w:r>
        <w:t>Identify and describe the key ethical principles that should guide the research process, including voluntary participation, informed consent, confidentiality, disclosure, and accurate reporting, so that you can uphold these standards in your own work.</w:t>
      </w:r>
    </w:p>
    <w:p w14:paraId="4812B973" w14:textId="326083D0" w:rsidR="003957EA" w:rsidRDefault="003957EA" w:rsidP="00885D01">
      <w:pPr>
        <w:pStyle w:val="Quote"/>
        <w:numPr>
          <w:ilvl w:val="0"/>
          <w:numId w:val="263"/>
        </w:numPr>
      </w:pPr>
      <w:r>
        <w:lastRenderedPageBreak/>
        <w:t>Explain the unique ethical considerations involved in conducting research with human subjects, such as minimizing risk of harm, ensuring privacy, and respecting autonomy, to be prepared to navigate these challenges thoughtfully and responsibly.</w:t>
      </w:r>
    </w:p>
    <w:p w14:paraId="11614A65" w14:textId="3BAD80D4" w:rsidR="003957EA" w:rsidRDefault="003957EA" w:rsidP="00885D01">
      <w:pPr>
        <w:pStyle w:val="Quote"/>
        <w:numPr>
          <w:ilvl w:val="0"/>
          <w:numId w:val="263"/>
        </w:numPr>
      </w:pPr>
      <w:r>
        <w:t>Understand the purpose and role of Institutional Review Boards (IRBs) in overseeing research involving human subjects, including the types of research that require IRB approval and the process for obtaining it, so you can successfully shepherd your own projects through institutional oversight.</w:t>
      </w:r>
    </w:p>
    <w:p w14:paraId="5C6FC175" w14:textId="0A341CAF" w:rsidR="003957EA" w:rsidRDefault="003957EA" w:rsidP="00885D01">
      <w:pPr>
        <w:pStyle w:val="Quote"/>
        <w:numPr>
          <w:ilvl w:val="0"/>
          <w:numId w:val="263"/>
        </w:numPr>
      </w:pPr>
      <w:r>
        <w:t>Analyze historical examples of unethical research practices, from the Tuskegee syphilis experiments to the obedience studies of Stanley Milgram, to learn from past mistakes and more fully grasp the evolution and necessity of today's ethical guidelines.</w:t>
      </w:r>
    </w:p>
    <w:p w14:paraId="465D8B42" w14:textId="0C3D2CFC" w:rsidR="003957EA" w:rsidRDefault="003957EA" w:rsidP="00885D01">
      <w:pPr>
        <w:pStyle w:val="Quote"/>
        <w:numPr>
          <w:ilvl w:val="0"/>
          <w:numId w:val="263"/>
        </w:numPr>
      </w:pPr>
      <w:r>
        <w:t>Differentiate between anonymity and confidentiality in collecting and managing research data and identify strategies for maximizing the protection of sensitive participant information, to avoid inadvertently breaching privacy.</w:t>
      </w:r>
    </w:p>
    <w:p w14:paraId="2CC2EDA7" w14:textId="0DB43015" w:rsidR="003957EA" w:rsidRPr="003957EA" w:rsidRDefault="003957EA" w:rsidP="003957EA">
      <w:r>
        <w:t>Critically evaluate the potential ethical pitfalls of a research project, from conflicts of interest to the temptation to manipulate data and develop an awareness of how even small compromises can snowball into serious misconduct, to hold yourself accountable.</w:t>
      </w:r>
    </w:p>
    <w:p w14:paraId="1445D333" w14:textId="0FB4932F" w:rsidR="00D12A83" w:rsidRPr="000E309B" w:rsidRDefault="00D12A83" w:rsidP="00D12A83">
      <w:r>
        <w:t>Reflect on how ethical considerations may vary across research methodologies, populations, and contexts, from covert field observations to studies of vulnerable groups, and appreciate the need for flexibility and sensitivity in applying ethical principles to real-world situations.</w:t>
      </w:r>
    </w:p>
    <w:p w14:paraId="43111013" w14:textId="77777777" w:rsidR="00E52B3B" w:rsidRDefault="00E52B3B" w:rsidP="00E52B3B">
      <w:pPr>
        <w:pStyle w:val="Heading3"/>
      </w:pPr>
      <w:bookmarkStart w:id="34" w:name="_Toc169156690"/>
      <w:r>
        <w:t>The Spectrum of Research Misconduct: From Fraud to Everyday Temptations</w:t>
      </w:r>
      <w:bookmarkEnd w:id="34"/>
    </w:p>
    <w:p w14:paraId="73034146" w14:textId="165CB528" w:rsidR="00E52B3B" w:rsidRDefault="00E52B3B" w:rsidP="00E52B3B">
      <w:r>
        <w:t>While most researchers strive to conduct valid, ethical studies, there have been notable cases of intentional fraud. In 2004, Woo-Suk Hwang published a fabricated paper on human stem cell research</w:t>
      </w:r>
      <w:r w:rsidR="00B7792B">
        <w:t xml:space="preserve"> </w:t>
      </w:r>
      <w:r w:rsidR="00B7792B">
        <w:fldChar w:fldCharType="begin"/>
      </w:r>
      <w:r w:rsidR="007C07B4">
        <w:instrText xml:space="preserve"> ADDIN ZOTERO_ITEM CSL_CITATION {"citationID":"a21auh3e8a8","properties":{"formattedCitation":"[28]","plainCitation":"[28]","noteIndex":0},"citationItems":[{"id":37,"uris":["http://zotero.org/users/5015692/items/AUKHRT8C"],"itemData":{"id":37,"type":"article-journal","container-title":"Netherlands Heart Journal","issue":"1","page":"25–29","title":"Fraud and misconduct in science: the stem cell seduction","volume":"17","author":[{"family":"Van der Heyden","given":"Martin AG"},{"family":"Derks Ven","given":"T","non-dropping-particle":"van de"},{"family":"Opthof","given":"T"}],"issued":{"date-parts":[["2009"]]}}}],"schema":"https://github.com/citation-style-language/schema/raw/master/csl-citation.json"} </w:instrText>
      </w:r>
      <w:r w:rsidR="00B7792B">
        <w:fldChar w:fldCharType="separate"/>
      </w:r>
      <w:r w:rsidR="007C07B4" w:rsidRPr="007C07B4">
        <w:t>[28]</w:t>
      </w:r>
      <w:r w:rsidR="00B7792B">
        <w:fldChar w:fldCharType="end"/>
      </w:r>
      <w:r>
        <w:t>. Other high-profile cases include Eric Poehlman's falsification of data on menopause and metabolism</w:t>
      </w:r>
      <w:r w:rsidR="001C6BD4">
        <w:t xml:space="preserve"> </w:t>
      </w:r>
      <w:r w:rsidR="001C6BD4">
        <w:fldChar w:fldCharType="begin"/>
      </w:r>
      <w:r w:rsidR="007C07B4">
        <w:instrText xml:space="preserve"> ADDIN ZOTERO_ITEM CSL_CITATION {"citationID":"a2k0tp654b5","properties":{"formattedCitation":"[29]","plainCitation":"[29]","noteIndex":0},"citationItems":[{"id":33,"uris":["http://zotero.org/users/5015692/items/EQ7ZHS5M"],"itemData":{"id":33,"type":"article-journal","container-title":"Cleveland Clinic journal of medicine","page":"S63","title":"Fraud, conflict of interest, and other enforcement issues in clinical research","volume":"74","author":[{"family":"Sheehan","given":"James G"}],"issued":{"date-parts":[["2007"]]}}}],"schema":"https://github.com/citation-style-language/schema/raw/master/csl-citation.json"} </w:instrText>
      </w:r>
      <w:r w:rsidR="001C6BD4">
        <w:fldChar w:fldCharType="separate"/>
      </w:r>
      <w:r w:rsidR="007C07B4" w:rsidRPr="007C07B4">
        <w:t>[29]</w:t>
      </w:r>
      <w:r w:rsidR="001C6BD4">
        <w:fldChar w:fldCharType="end"/>
      </w:r>
      <w:r w:rsidR="001B0FAF">
        <w:t xml:space="preserve"> </w:t>
      </w:r>
      <w:r>
        <w:t>and deadly conflicts of interest in poorly regulated drug trials</w:t>
      </w:r>
      <w:r w:rsidR="00C60DE4">
        <w:t xml:space="preserve"> </w:t>
      </w:r>
      <w:r w:rsidR="001C6BD4">
        <w:fldChar w:fldCharType="begin"/>
      </w:r>
      <w:r w:rsidR="007C07B4">
        <w:instrText xml:space="preserve"> ADDIN ZOTERO_ITEM CSL_CITATION {"citationID":"a1dluf2tag6","properties":{"formattedCitation":"[30]","plainCitation":"[30]","noteIndex":0},"citationItems":[{"id":51,"uris":["http://zotero.org/users/5015692/items/U9ZJ6HB6"],"itemData":{"id":51,"type":"article-journal","title":"SECRET","author":[{"family":"Evans","given":"David"},{"family":"Smith","given":"Michael"},{"family":"Willen","given":"Liz"}],"issued":{"date-parts":[["2005"]]}}}],"schema":"https://github.com/citation-style-language/schema/raw/master/csl-citation.json"} </w:instrText>
      </w:r>
      <w:r w:rsidR="001C6BD4">
        <w:fldChar w:fldCharType="separate"/>
      </w:r>
      <w:r w:rsidR="007C07B4" w:rsidRPr="007C07B4">
        <w:t>[30]</w:t>
      </w:r>
      <w:r w:rsidR="001C6BD4">
        <w:fldChar w:fldCharType="end"/>
      </w:r>
      <w:r>
        <w:t>.</w:t>
      </w:r>
    </w:p>
    <w:p w14:paraId="2137080A" w14:textId="0B100898" w:rsidR="00E52B3B" w:rsidRDefault="00E52B3B" w:rsidP="00E52B3B">
      <w:r>
        <w:t>However, as a student researcher, you should be aware that the most common ethical pitfalls are often more mundane.</w:t>
      </w:r>
      <w:r w:rsidR="002F73F0">
        <w:t xml:space="preserve"> De Vries</w:t>
      </w:r>
      <w:r w:rsidR="00ED1751">
        <w:t xml:space="preserve"> </w:t>
      </w:r>
      <w:r>
        <w:t>found that researchers are primarily concerned with everyday issues related to data integrity and publication pressure</w:t>
      </w:r>
      <w:r w:rsidR="00F13EA9">
        <w:t xml:space="preserve"> </w:t>
      </w:r>
      <w:r w:rsidR="00F13EA9">
        <w:fldChar w:fldCharType="begin"/>
      </w:r>
      <w:r w:rsidR="007C07B4">
        <w:instrText xml:space="preserve"> ADDIN ZOTERO_ITEM CSL_CITATION {"citationID":"a28ab7bmbdv","properties":{"formattedCitation":"[31]","plainCitation":"[31]","noteIndex":0},"citationItems":[{"id":55,"uris":["http://zotero.org/users/5015692/items/8FKQSXVV"],"itemData":{"id":55,"type":"article-journal","container-title":"Journal of Empirical Research on Human Research Ethics","issue":"1","page":"43–50","title":"Normal misbehavior: Scientists talk about the ethics of research","volume":"1","author":[{"family":"De Vries","given":"Raymond"},{"family":"Anderson","given":"Melissa S"},{"family":"Martinson","given":"Brian C"}],"issued":{"date-parts":[["2006"]]}}}],"schema":"https://github.com/citation-style-language/schema/raw/master/csl-citation.json"} </w:instrText>
      </w:r>
      <w:r w:rsidR="00F13EA9">
        <w:fldChar w:fldCharType="separate"/>
      </w:r>
      <w:r w:rsidR="007C07B4" w:rsidRPr="007C07B4">
        <w:t>[31]</w:t>
      </w:r>
      <w:r w:rsidR="00F13EA9">
        <w:fldChar w:fldCharType="end"/>
      </w:r>
      <w:r>
        <w:t>.</w:t>
      </w:r>
    </w:p>
    <w:p w14:paraId="3D0A77BE" w14:textId="47755A6A" w:rsidR="00E52B3B" w:rsidRDefault="00E52B3B" w:rsidP="00E52B3B">
      <w:r>
        <w:t>When working with data, the temptation to "cut corners" can be strong. Eliminating outliers or manipulating results to fit a desired outcome may seem harmless, but such practices undermine the integrity of the research process. Even renowned scientists like Sigmund Freud and Isaac Newton have been accused of data manipulation</w:t>
      </w:r>
      <w:r w:rsidR="00F13EA9">
        <w:t xml:space="preserve"> </w:t>
      </w:r>
      <w:r w:rsidR="00F13EA9">
        <w:fldChar w:fldCharType="begin"/>
      </w:r>
      <w:r w:rsidR="007C07B4">
        <w:instrText xml:space="preserve"> ADDIN ZOTERO_ITEM CSL_CITATION {"citationID":"a1ak3q8r1d8","properties":{"formattedCitation":"[29]","plainCitation":"[29]","noteIndex":0},"citationItems":[{"id":33,"uris":["http://zotero.org/users/5015692/items/EQ7ZHS5M"],"itemData":{"id":33,"type":"article-journal","container-title":"Cleveland Clinic journal of medicine","page":"S63","title":"Fraud, conflict of interest, and other enforcement issues in clinical research","volume":"74","author":[{"family":"Sheehan","given":"James G"}],"issued":{"date-parts":[["2007"]]}}}],"schema":"https://github.com/citation-style-language/schema/raw/master/csl-citation.json"} </w:instrText>
      </w:r>
      <w:r w:rsidR="00F13EA9">
        <w:fldChar w:fldCharType="separate"/>
      </w:r>
      <w:r w:rsidR="007C07B4" w:rsidRPr="007C07B4">
        <w:t>[29]</w:t>
      </w:r>
      <w:r w:rsidR="00F13EA9">
        <w:fldChar w:fldCharType="end"/>
      </w:r>
      <w:r>
        <w:t>.</w:t>
      </w:r>
    </w:p>
    <w:p w14:paraId="0AD6CFD1" w14:textId="77777777" w:rsidR="00E52B3B" w:rsidRDefault="00E52B3B" w:rsidP="00E52B3B">
      <w:r>
        <w:lastRenderedPageBreak/>
        <w:t>Another common challenge is the pressure to "publish or perish." In a competitive research environment, the need to consistently publish can lead to the production of studies with questionable value or rigor.</w:t>
      </w:r>
    </w:p>
    <w:p w14:paraId="0B7F0E2C" w14:textId="0365B287" w:rsidR="00E52B3B" w:rsidRDefault="00E52B3B" w:rsidP="00E52B3B">
      <w:r>
        <w:t>As</w:t>
      </w:r>
      <w:r w:rsidR="00DA58A0">
        <w:t xml:space="preserve"> Chubin</w:t>
      </w:r>
      <w:r>
        <w:t xml:space="preserve"> notes, a range of unethical behaviors—from serious offenses like plagiarism to lesser infractions like improper attribution—can slow scientific progress, erode trust, waste resources, and invite excessive regulation</w:t>
      </w:r>
      <w:r w:rsidR="003820BF">
        <w:t xml:space="preserve"> </w:t>
      </w:r>
      <w:r w:rsidR="003820BF">
        <w:fldChar w:fldCharType="begin"/>
      </w:r>
      <w:r w:rsidR="007C07B4">
        <w:instrText xml:space="preserve"> ADDIN ZOTERO_ITEM CSL_CITATION {"citationID":"a2ctcptisvj","properties":{"formattedCitation":"[32]","plainCitation":"[32]","noteIndex":0},"citationItems":[{"id":57,"uris":["http://zotero.org/users/5015692/items/MSXHI8J6"],"itemData":{"id":57,"type":"article-journal","container-title":"BioScience","issue":"2","page":"80–89","title":"Research malpractice","volume":"35","author":[{"family":"Chubin","given":"Daryl E"}],"issued":{"date-parts":[["1985"]]}}}],"schema":"https://github.com/citation-style-language/schema/raw/master/csl-citation.json"} </w:instrText>
      </w:r>
      <w:r w:rsidR="003820BF">
        <w:fldChar w:fldCharType="separate"/>
      </w:r>
      <w:r w:rsidR="007C07B4" w:rsidRPr="007C07B4">
        <w:t>[32]</w:t>
      </w:r>
      <w:r w:rsidR="003820BF">
        <w:fldChar w:fldCharType="end"/>
      </w:r>
      <w:r>
        <w:t>.</w:t>
      </w:r>
    </w:p>
    <w:p w14:paraId="5327D070" w14:textId="7572E37A" w:rsidR="00A626FE" w:rsidRDefault="00E52B3B" w:rsidP="007B16C8">
      <w:r>
        <w:t>By being aware of these pitfalls, you can take steps to maintain the highest standards of integrity in your own research. In the following sections, we will discuss strategies for handling data responsibly and navigating the pressures of academic publishing.</w:t>
      </w:r>
    </w:p>
    <w:p w14:paraId="7159ECFF" w14:textId="53BAF14F" w:rsidR="00E857A7" w:rsidRDefault="00E857A7" w:rsidP="00E857A7">
      <w:pPr>
        <w:pStyle w:val="Heading3"/>
      </w:pPr>
      <w:bookmarkStart w:id="35" w:name="_Toc169156691"/>
      <w:r>
        <w:t>Understanding Human and Nonhuman Research Subjects</w:t>
      </w:r>
      <w:bookmarkEnd w:id="35"/>
    </w:p>
    <w:p w14:paraId="0CA7DF08" w14:textId="45C84C39" w:rsidR="00E857A7" w:rsidRDefault="00D707EA" w:rsidP="00751FFB">
      <w:r>
        <w:rPr>
          <w:noProof/>
        </w:rPr>
        <w:drawing>
          <wp:anchor distT="0" distB="0" distL="114300" distR="114300" simplePos="0" relativeHeight="251658267" behindDoc="0" locked="0" layoutInCell="1" allowOverlap="1" wp14:anchorId="14A18171" wp14:editId="0CFBCA1A">
            <wp:simplePos x="0" y="0"/>
            <wp:positionH relativeFrom="column">
              <wp:posOffset>4562475</wp:posOffset>
            </wp:positionH>
            <wp:positionV relativeFrom="paragraph">
              <wp:posOffset>4445</wp:posOffset>
            </wp:positionV>
            <wp:extent cx="1380744" cy="1380744"/>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8" cstate="print">
                      <a:extLst>
                        <a:ext uri="{BEBA8EAE-BF5A-486C-A8C5-ECC9F3942E4B}">
                          <a14:imgProps xmlns:a14="http://schemas.microsoft.com/office/drawing/2010/main">
                            <a14:imgLayer r:embed="rId8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380744" cy="1380744"/>
                    </a:xfrm>
                    <a:prstGeom prst="rect">
                      <a:avLst/>
                    </a:prstGeom>
                  </pic:spPr>
                </pic:pic>
              </a:graphicData>
            </a:graphic>
            <wp14:sizeRelH relativeFrom="margin">
              <wp14:pctWidth>0</wp14:pctWidth>
            </wp14:sizeRelH>
            <wp14:sizeRelV relativeFrom="margin">
              <wp14:pctHeight>0</wp14:pctHeight>
            </wp14:sizeRelV>
          </wp:anchor>
        </w:drawing>
      </w:r>
      <w:r w:rsidR="00E857A7">
        <w:t>As a researcher, it is crucial to understand the distinction between human and nonhuman research subjects, as this classification has significant implications for the ethical and regulatory considerations in your study.</w:t>
      </w:r>
    </w:p>
    <w:p w14:paraId="41A8B029" w14:textId="6048EFE9" w:rsidR="00E857A7" w:rsidRDefault="00E857A7" w:rsidP="00751FFB">
      <w:r>
        <w:t>The U.S. Department of Health and Human Services defines a human subject as "a living individual about whom an investigator (whether professional or student) conducting research obtains, uses, studies, analyzes, or generates identifiable private information or biospecimens</w:t>
      </w:r>
      <w:r w:rsidR="005C4863">
        <w:t>.</w:t>
      </w:r>
      <w:r>
        <w:t>" In some jurisdictions, this definition extends to deceased individuals and human fetal materials.</w:t>
      </w:r>
    </w:p>
    <w:p w14:paraId="27F4ED30" w14:textId="77777777" w:rsidR="00E857A7" w:rsidRDefault="00E857A7" w:rsidP="00751FFB">
      <w:r>
        <w:t>On the other hand, nonhuman research subjects encompass a wide range of materials and entities that researchers may manipulate or analyze. In business research, examples might include:</w:t>
      </w:r>
    </w:p>
    <w:p w14:paraId="6FEC8D9A" w14:textId="6325A2B9" w:rsidR="00E857A7" w:rsidRDefault="00E857A7" w:rsidP="00751FFB">
      <w:pPr>
        <w:pStyle w:val="ListParagraph"/>
        <w:numPr>
          <w:ilvl w:val="0"/>
          <w:numId w:val="174"/>
        </w:numPr>
      </w:pPr>
      <w:r>
        <w:t>Archival documents such as newspapers, historical records, or advertisements</w:t>
      </w:r>
      <w:r w:rsidR="00A92880">
        <w:t>.</w:t>
      </w:r>
    </w:p>
    <w:p w14:paraId="61013744" w14:textId="00E912D3" w:rsidR="00E857A7" w:rsidRDefault="00E857A7" w:rsidP="00751FFB">
      <w:pPr>
        <w:pStyle w:val="ListParagraph"/>
        <w:numPr>
          <w:ilvl w:val="0"/>
          <w:numId w:val="174"/>
        </w:numPr>
      </w:pPr>
      <w:r>
        <w:t>Media content like television shows, films, or social media posts</w:t>
      </w:r>
      <w:r w:rsidR="00A92880">
        <w:t>.</w:t>
      </w:r>
    </w:p>
    <w:p w14:paraId="06B22252" w14:textId="0883D8AF" w:rsidR="00E857A7" w:rsidRDefault="00E857A7" w:rsidP="00751FFB">
      <w:pPr>
        <w:pStyle w:val="ListParagraph"/>
        <w:numPr>
          <w:ilvl w:val="0"/>
          <w:numId w:val="174"/>
        </w:numPr>
      </w:pPr>
      <w:r>
        <w:t>Physical structures and spaces, including buildings, public spaces, or retail environments</w:t>
      </w:r>
      <w:r w:rsidR="00A92880">
        <w:t>.</w:t>
      </w:r>
    </w:p>
    <w:p w14:paraId="7ADB4581" w14:textId="451C759C" w:rsidR="00E857A7" w:rsidRDefault="00E857A7" w:rsidP="00751FFB">
      <w:pPr>
        <w:pStyle w:val="ListParagraph"/>
        <w:numPr>
          <w:ilvl w:val="0"/>
          <w:numId w:val="174"/>
        </w:numPr>
      </w:pPr>
      <w:r>
        <w:t>Discarded materials, such as garbage or waste products</w:t>
      </w:r>
      <w:r w:rsidR="00A92880">
        <w:t>.</w:t>
      </w:r>
    </w:p>
    <w:p w14:paraId="49065C06" w14:textId="77777777" w:rsidR="00E857A7" w:rsidRDefault="00E857A7" w:rsidP="00E857A7">
      <w:r>
        <w:t>While research involving human subjects is subject to stringent regulations and ethical oversight, it is important to recognize that all research—regardless of the subject matter—carries ethical implications. Even when working with nonhuman subjects, researchers must consider issues such as privacy, intellectual property rights, and potential social or environmental impacts.</w:t>
      </w:r>
    </w:p>
    <w:p w14:paraId="2C1F2517" w14:textId="280BAFBF" w:rsidR="00E857A7" w:rsidRDefault="00E857A7" w:rsidP="00E857A7">
      <w:r>
        <w:t>As you develop your own research projects, take time to carefully consider the nature of your research subjects and the ethical obligations that come with studying them. In the following sections, we will delve deeper into the specific regulations and best practices for conducting research with human and nonhuman subjects alike.</w:t>
      </w:r>
    </w:p>
    <w:p w14:paraId="32EB9DEE" w14:textId="77777777" w:rsidR="00E801B9" w:rsidRDefault="00E801B9" w:rsidP="006118D6">
      <w:pPr>
        <w:pStyle w:val="Heading3"/>
      </w:pPr>
      <w:bookmarkStart w:id="36" w:name="_Toc169156692"/>
      <w:r>
        <w:t>The Evolution of Ethics in Human Subjects Research</w:t>
      </w:r>
      <w:bookmarkEnd w:id="36"/>
    </w:p>
    <w:p w14:paraId="3DED2F07" w14:textId="0F2D665C" w:rsidR="00E801B9" w:rsidRDefault="00E801B9" w:rsidP="00E801B9">
      <w:r>
        <w:t xml:space="preserve">Today, research involving human subjects is heavily regulated and subject to rigorous ethical oversight. However, this was not always the case. The history of </w:t>
      </w:r>
      <w:r w:rsidR="00EF6E3A">
        <w:t xml:space="preserve">research on </w:t>
      </w:r>
      <w:r>
        <w:t xml:space="preserve">human subjects is </w:t>
      </w:r>
      <w:r>
        <w:lastRenderedPageBreak/>
        <w:t>marked by a series of troubling studies that gradually led to the development of modern ethical guidelines.</w:t>
      </w:r>
    </w:p>
    <w:p w14:paraId="4AA93CBD" w14:textId="60E75F2C" w:rsidR="00E801B9" w:rsidRDefault="00E801B9" w:rsidP="00E801B9">
      <w:r>
        <w:t>One of the earliest documented cases of human experimentation is Edward Jenner's smallpox vaccine trial in the late 1700s, in which he exposed a young boy to the disease</w:t>
      </w:r>
      <w:r w:rsidR="005C4863">
        <w:t xml:space="preserve"> </w:t>
      </w:r>
      <w:r w:rsidR="005C4863">
        <w:fldChar w:fldCharType="begin"/>
      </w:r>
      <w:r w:rsidR="007C07B4">
        <w:instrText xml:space="preserve"> ADDIN ZOTERO_ITEM CSL_CITATION {"citationID":"a24ekcdku3v","properties":{"formattedCitation":"[33]","plainCitation":"[33]","noteIndex":0},"citationItems":[{"id":35,"uris":["http://zotero.org/users/5015692/items/YXVQ94T2"],"itemData":{"id":35,"type":"paper-conference","container-title":"Baylor University Medical Center Proceedings","page":"21–25","publisher":"Taylor &amp; Francis","title":"Edward Jenner and the history of smallpox and vaccination","volume":"18","author":[{"family":"Riedel","given":"Stefan"}],"issued":{"date-parts":[["2005"]]}}}],"schema":"https://github.com/citation-style-language/schema/raw/master/csl-citation.json"} </w:instrText>
      </w:r>
      <w:r w:rsidR="005C4863">
        <w:fldChar w:fldCharType="separate"/>
      </w:r>
      <w:r w:rsidR="007C07B4" w:rsidRPr="007C07B4">
        <w:t>[33]</w:t>
      </w:r>
      <w:r w:rsidR="005C4863">
        <w:fldChar w:fldCharType="end"/>
      </w:r>
      <w:r>
        <w:t>. While Jenner's work ultimately led to a groundbreaking medical advancement, it also raised questions about the use of vulnerable subjects in research.</w:t>
      </w:r>
    </w:p>
    <w:p w14:paraId="6BDA0060" w14:textId="45567AAC" w:rsidR="00E801B9" w:rsidRDefault="00E801B9" w:rsidP="00E801B9">
      <w:r>
        <w:t>The horrors of Nazi experimentation on concentration camp prisoners during World War II served as a stark reminder of the need for ethical boundaries in research</w:t>
      </w:r>
      <w:r w:rsidR="00E3760F">
        <w:t xml:space="preserve"> </w:t>
      </w:r>
      <w:r w:rsidR="00E3760F">
        <w:fldChar w:fldCharType="begin"/>
      </w:r>
      <w:r w:rsidR="007C07B4">
        <w:instrText xml:space="preserve"> ADDIN ZOTERO_ITEM CSL_CITATION {"citationID":"a1r4fh03265","properties":{"formattedCitation":"[34]","plainCitation":"[34]","noteIndex":0},"citationItems":[{"id":53,"uris":["http://zotero.org/users/5015692/items/4CV4LZDD"],"itemData":{"id":53,"type":"book","publisher":"Oxford University Press","title":"A history and theory of informed consent","author":[{"family":"Faden","given":"Ruth R"},{"family":"Beauchamp","given":"Tom L"}],"issued":{"date-parts":[["1986"]]}}}],"schema":"https://github.com/citation-style-language/schema/raw/master/csl-citation.json"} </w:instrText>
      </w:r>
      <w:r w:rsidR="00E3760F">
        <w:fldChar w:fldCharType="separate"/>
      </w:r>
      <w:r w:rsidR="007C07B4" w:rsidRPr="007C07B4">
        <w:t>[34]</w:t>
      </w:r>
      <w:r w:rsidR="00E3760F">
        <w:fldChar w:fldCharType="end"/>
      </w:r>
      <w:r>
        <w:t xml:space="preserve">. The resulting Nuremberg Code established key principles for </w:t>
      </w:r>
      <w:r w:rsidR="00EF6E3A">
        <w:t xml:space="preserve">research on </w:t>
      </w:r>
      <w:r>
        <w:t>human subjects that continue to guide scientists today.</w:t>
      </w:r>
    </w:p>
    <w:p w14:paraId="2066BB7D" w14:textId="390865A6" w:rsidR="00E801B9" w:rsidRDefault="00E801B9" w:rsidP="00E801B9">
      <w:r>
        <w:t xml:space="preserve">However, ethical breaches in </w:t>
      </w:r>
      <w:r w:rsidR="00EF6E3A">
        <w:t xml:space="preserve">research on </w:t>
      </w:r>
      <w:r>
        <w:t>human subjects were not limited to the medical field. In the 1960s, psychologist Stanley Milgram's obedience experiments and sociologist Laud Humphreys' study of the "tearoom trade" both raised concerns about the use of deception and the potential for harm to research participants</w:t>
      </w:r>
      <w:r w:rsidR="00F965C6">
        <w:t xml:space="preserve"> </w:t>
      </w:r>
      <w:r w:rsidR="00F965C6">
        <w:fldChar w:fldCharType="begin"/>
      </w:r>
      <w:r w:rsidR="007C07B4">
        <w:instrText xml:space="preserve"> ADDIN ZOTERO_ITEM CSL_CITATION {"citationID":"aat1o7029j","properties":{"formattedCitation":"[35]","plainCitation":"[35]","noteIndex":0},"citationItems":[{"id":45,"uris":["http://zotero.org/users/5015692/items/BMITNVPM"],"itemData":{"id":45,"type":"article-journal","container-title":"The Journal of abnormal and social psychology","issue":"4","page":"371","title":"Behavioral study of obedience.","volume":"67","author":[{"family":"Milgram","given":"Stanley"}],"issued":{"date-parts":[["1963"]]}}}],"schema":"https://github.com/citation-style-language/schema/raw/master/csl-citation.json"} </w:instrText>
      </w:r>
      <w:r w:rsidR="00F965C6">
        <w:fldChar w:fldCharType="separate"/>
      </w:r>
      <w:r w:rsidR="007C07B4" w:rsidRPr="007C07B4">
        <w:t>[35]</w:t>
      </w:r>
      <w:r w:rsidR="00F965C6">
        <w:fldChar w:fldCharType="end"/>
      </w:r>
      <w:r w:rsidR="00F965C6">
        <w:t xml:space="preserve"> </w:t>
      </w:r>
      <w:r w:rsidR="00F965C6">
        <w:fldChar w:fldCharType="begin"/>
      </w:r>
      <w:r w:rsidR="007C07B4">
        <w:instrText xml:space="preserve"> ADDIN ZOTERO_ITEM CSL_CITATION {"citationID":"a2d9hdiugf4","properties":{"formattedCitation":"[36]","plainCitation":"[36]","noteIndex":0},"citationItems":[{"id":48,"uris":["http://zotero.org/users/5015692/items/6MIZBMD5"],"itemData":{"id":48,"type":"article-journal","container-title":"Trans-action","issue":"3","page":"10–25","title":"Tearoom trade","volume":"7","author":[{"family":"Humphreys","given":"Laud"}],"issued":{"date-parts":[["1970"]]}}}],"schema":"https://github.com/citation-style-language/schema/raw/master/csl-citation.json"} </w:instrText>
      </w:r>
      <w:r w:rsidR="00F965C6">
        <w:fldChar w:fldCharType="separate"/>
      </w:r>
      <w:r w:rsidR="007C07B4" w:rsidRPr="007C07B4">
        <w:t>[36]</w:t>
      </w:r>
      <w:r w:rsidR="00F965C6">
        <w:fldChar w:fldCharType="end"/>
      </w:r>
      <w:r>
        <w:t>.</w:t>
      </w:r>
    </w:p>
    <w:p w14:paraId="6D35842E" w14:textId="64EF0781" w:rsidR="00E801B9" w:rsidRDefault="00E801B9" w:rsidP="00E801B9">
      <w:r>
        <w:t xml:space="preserve">These and other controversial studies led to increased public scrutiny and calls for stronger regulation of </w:t>
      </w:r>
      <w:r w:rsidR="00EF6E3A">
        <w:t xml:space="preserve">research on </w:t>
      </w:r>
      <w:r>
        <w:t xml:space="preserve">human subjects. The National Research Act of 1974 established the National Commission for the Protection of Human Subjects in Biomedical and Behavioral Research, which produced the landmark Belmont Report </w:t>
      </w:r>
      <w:sdt>
        <w:sdtPr>
          <w:id w:val="-1982453535"/>
          <w:citation/>
        </w:sdtPr>
        <w:sdtContent>
          <w:r w:rsidR="008F0EC6">
            <w:fldChar w:fldCharType="begin"/>
          </w:r>
          <w:r w:rsidR="008F0EC6">
            <w:instrText xml:space="preserve"> CITATION biomedical_belmont_1978 \l 1033 </w:instrText>
          </w:r>
          <w:r w:rsidR="008F0EC6">
            <w:fldChar w:fldCharType="separate"/>
          </w:r>
          <w:r w:rsidR="00980002">
            <w:rPr>
              <w:noProof/>
            </w:rPr>
            <w:t>(Biomedical &amp; Behavioral Research, 1978)</w:t>
          </w:r>
          <w:r w:rsidR="008F0EC6">
            <w:fldChar w:fldCharType="end"/>
          </w:r>
        </w:sdtContent>
      </w:sdt>
      <w:r>
        <w:t>. This document outlined core ethical principles—respect for persons, beneficence, and justice—that serve as the foundation for modern research ethics.</w:t>
      </w:r>
    </w:p>
    <w:p w14:paraId="1E003147" w14:textId="77777777" w:rsidR="00E801B9" w:rsidRDefault="00E801B9" w:rsidP="00E801B9">
      <w:r>
        <w:t>The Act also mandated the creation of Institutional Review Boards (IRBs) to oversee human subjects research at institutions receiving federal funding. Today, many organizations voluntarily establish IRBs to ensure that their research meets ethical standards.</w:t>
      </w:r>
    </w:p>
    <w:p w14:paraId="5327D07B" w14:textId="211CEC97" w:rsidR="00A626FE" w:rsidRDefault="00E801B9" w:rsidP="00EF6E3A">
      <w:r>
        <w:t>As student researchers, it is essential to understand this historical context and the ethical principles that have emerged from it. By learning from the mistakes and controversies of the past, we can design and conduct research that respects the rights and well-being of our human subjects.</w:t>
      </w:r>
    </w:p>
    <w:p w14:paraId="5A15A87C" w14:textId="77777777" w:rsidR="00663FB9" w:rsidRDefault="00663FB9" w:rsidP="00663FB9">
      <w:pPr>
        <w:pStyle w:val="Heading3"/>
      </w:pPr>
      <w:bookmarkStart w:id="37" w:name="_Toc169156693"/>
      <w:r>
        <w:lastRenderedPageBreak/>
        <w:t>Ethical Principles</w:t>
      </w:r>
      <w:bookmarkEnd w:id="37"/>
    </w:p>
    <w:p w14:paraId="30838DCD" w14:textId="21408560" w:rsidR="00663FB9" w:rsidRDefault="009D74AF" w:rsidP="00663FB9">
      <w:r>
        <w:rPr>
          <w:noProof/>
        </w:rPr>
        <w:drawing>
          <wp:anchor distT="0" distB="0" distL="114300" distR="114300" simplePos="0" relativeHeight="251891796" behindDoc="0" locked="0" layoutInCell="1" allowOverlap="1" wp14:anchorId="2B243B72" wp14:editId="6AB944E4">
            <wp:simplePos x="0" y="0"/>
            <wp:positionH relativeFrom="column">
              <wp:posOffset>990600</wp:posOffset>
            </wp:positionH>
            <wp:positionV relativeFrom="paragraph">
              <wp:posOffset>672465</wp:posOffset>
            </wp:positionV>
            <wp:extent cx="3959225" cy="2057400"/>
            <wp:effectExtent l="0" t="0" r="0" b="0"/>
            <wp:wrapTopAndBottom/>
            <wp:docPr id="111738847" name="Diagram 1117388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14:sizeRelH relativeFrom="margin">
              <wp14:pctWidth>0</wp14:pctWidth>
            </wp14:sizeRelH>
          </wp:anchor>
        </w:drawing>
      </w:r>
      <w:r w:rsidR="00663FB9">
        <w:t>Over the past several decades, certain ethical principles have gained widespread acceptance across research fields. While some disciplines, such as medicine, have specific ethical guidelines, the following five principles are generally accepted in all areas of research.</w:t>
      </w:r>
    </w:p>
    <w:p w14:paraId="41E3C0BF" w14:textId="3A4C6EB9" w:rsidR="00663FB9" w:rsidRDefault="00663FB9" w:rsidP="009D74AF">
      <w:pPr>
        <w:pStyle w:val="Heading4"/>
      </w:pPr>
      <w:r>
        <w:t>Voluntary Participation</w:t>
      </w:r>
    </w:p>
    <w:p w14:paraId="59663FF8" w14:textId="0408A40B" w:rsidR="00663FB9" w:rsidRDefault="00762BA0" w:rsidP="00663FB9">
      <w:r>
        <w:rPr>
          <w:noProof/>
        </w:rPr>
        <w:drawing>
          <wp:anchor distT="0" distB="0" distL="114300" distR="114300" simplePos="0" relativeHeight="251892820" behindDoc="0" locked="0" layoutInCell="1" allowOverlap="1" wp14:anchorId="5A89E348" wp14:editId="1795AF08">
            <wp:simplePos x="0" y="0"/>
            <wp:positionH relativeFrom="column">
              <wp:align>right</wp:align>
            </wp:positionH>
            <wp:positionV relativeFrom="paragraph">
              <wp:posOffset>0</wp:posOffset>
            </wp:positionV>
            <wp:extent cx="932688" cy="658368"/>
            <wp:effectExtent l="0" t="0" r="1270" b="8890"/>
            <wp:wrapSquare wrapText="bothSides"/>
            <wp:docPr id="597568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68239" name="Picture 59756823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32688" cy="658368"/>
                    </a:xfrm>
                    <a:prstGeom prst="rect">
                      <a:avLst/>
                    </a:prstGeom>
                  </pic:spPr>
                </pic:pic>
              </a:graphicData>
            </a:graphic>
            <wp14:sizeRelH relativeFrom="margin">
              <wp14:pctWidth>0</wp14:pctWidth>
            </wp14:sizeRelH>
            <wp14:sizeRelV relativeFrom="margin">
              <wp14:pctHeight>0</wp14:pctHeight>
            </wp14:sizeRelV>
          </wp:anchor>
        </w:drawing>
      </w:r>
      <w:r w:rsidR="00663FB9">
        <w:t>Participants in a research study must understand that their involvement is completely voluntary. They have the right to withdraw at any time without facing negative consequences or harm due to non-participation. One of the most egregious violations of this principle occurred during World War II, when Nazi researchers forced prisoners of war to participate in medical experiments, as revealed in the Nuremberg Trials. These experiments also led to the coining of the term "crimes against humanity."</w:t>
      </w:r>
    </w:p>
    <w:p w14:paraId="185E8793" w14:textId="319E5A61" w:rsidR="00663FB9" w:rsidRDefault="00663FB9" w:rsidP="00663FB9">
      <w:r>
        <w:t>Another example is the Tuskegee syphilis experiments conducted by the U.S. Public Health Service from 1932 to 1972</w:t>
      </w:r>
      <w:r w:rsidR="00F965C6">
        <w:t xml:space="preserve"> </w:t>
      </w:r>
      <w:r w:rsidR="00F965C6">
        <w:fldChar w:fldCharType="begin"/>
      </w:r>
      <w:r w:rsidR="007C07B4">
        <w:instrText xml:space="preserve"> ADDIN ZOTERO_ITEM CSL_CITATION {"citationID":"a1iedaqol2l","properties":{"formattedCitation":"[37]","plainCitation":"[37]","noteIndex":0},"citationItems":[{"id":36,"uris":["http://zotero.org/users/5015692/items/IS38J2C9"],"itemData":{"id":36,"type":"book","publisher":"Univ of North Carolina Press","title":"Examining Tuskegee: The infamous syphilis study and its legacy","author":[{"family":"Reverby","given":"Susan M"}],"issued":{"date-parts":[["2009"]]}}}],"schema":"https://github.com/citation-style-language/schema/raw/master/csl-citation.json"} </w:instrText>
      </w:r>
      <w:r w:rsidR="00F965C6">
        <w:fldChar w:fldCharType="separate"/>
      </w:r>
      <w:r w:rsidR="007C07B4" w:rsidRPr="007C07B4">
        <w:t>[37]</w:t>
      </w:r>
      <w:r w:rsidR="00F965C6">
        <w:fldChar w:fldCharType="end"/>
      </w:r>
      <w:r>
        <w:t xml:space="preserve">. In this study, nearly 400 impoverished </w:t>
      </w:r>
      <w:r w:rsidR="009D74AF">
        <w:t>African American</w:t>
      </w:r>
      <w:r>
        <w:t xml:space="preserve"> men with syphilis were denied treatment even after penicillin became the accepted cure. The subjects were misled with false treatments like spinal taps.</w:t>
      </w:r>
    </w:p>
    <w:p w14:paraId="469B1442" w14:textId="0861FE00" w:rsidR="00663FB9" w:rsidRDefault="00663FB9" w:rsidP="00663FB9">
      <w:r>
        <w:t xml:space="preserve">Participants should not have to endure personal agony due to their involvement in a study. In 1971, psychologist Philip Zimbardo's Stanford Prison Experiment randomly assigned student participants to roles as prisoners or guards. The study was halted when it became clear that the "prisoners" were suffering psychological </w:t>
      </w:r>
      <w:r w:rsidR="00171CFF">
        <w:t>harm,</w:t>
      </w:r>
      <w:r>
        <w:t xml:space="preserve"> and the "guards" were exhibiting sadistic behavior</w:t>
      </w:r>
      <w:r w:rsidR="00BE3A19">
        <w:t xml:space="preserve"> </w:t>
      </w:r>
      <w:r w:rsidR="00BE3A19">
        <w:fldChar w:fldCharType="begin"/>
      </w:r>
      <w:r w:rsidR="007C07B4">
        <w:instrText xml:space="preserve"> ADDIN ZOTERO_ITEM CSL_CITATION {"citationID":"a1majs5ic12","properties":{"formattedCitation":"[38]","plainCitation":"[38]","noteIndex":0},"citationItems":[{"id":32,"uris":["http://zotero.org/users/5015692/items/G4C5VY9Q"],"itemData":{"id":32,"type":"article-journal","container-title":"Obedience to authority: Current perspectives on the Milgram paradigm","page":"193–237","title":"Reflections on the Stanford prison experiment: Genesis, transformations, consequences","author":[{"family":"Zimbardo","given":"Philip G"},{"family":"Maslach","given":"Christina"},{"family":"Haney","given":"Craig"}],"issued":{"date-parts":[["2000"]]}}}],"schema":"https://github.com/citation-style-language/schema/raw/master/csl-citation.json"} </w:instrText>
      </w:r>
      <w:r w:rsidR="00BE3A19">
        <w:fldChar w:fldCharType="separate"/>
      </w:r>
      <w:r w:rsidR="007C07B4" w:rsidRPr="007C07B4">
        <w:t>[38]</w:t>
      </w:r>
      <w:r w:rsidR="00BE3A19">
        <w:fldChar w:fldCharType="end"/>
      </w:r>
      <w:r>
        <w:t>.</w:t>
      </w:r>
    </w:p>
    <w:p w14:paraId="2DBE2CAF" w14:textId="77777777" w:rsidR="00663FB9" w:rsidRDefault="00663FB9" w:rsidP="00663FB9">
      <w:r>
        <w:t>Even in less extreme cases, such as when instructors ask students to complete a questionnaire, it is crucial to ensure that non-participation does not negatively impact grades. Providing bonus points only to participants creates an unfair disadvantage for non-participants. To avoid this, instructors can offer an alternative task for the same bonus points or give bonus points to everyone regardless of participation.</w:t>
      </w:r>
    </w:p>
    <w:p w14:paraId="66BCCBE8" w14:textId="77777777" w:rsidR="00663FB9" w:rsidRDefault="00663FB9" w:rsidP="00171CFF">
      <w:pPr>
        <w:pStyle w:val="Heading4"/>
      </w:pPr>
      <w:r>
        <w:lastRenderedPageBreak/>
        <w:t>Informed Consent</w:t>
      </w:r>
    </w:p>
    <w:p w14:paraId="73E7704D" w14:textId="1E14594C" w:rsidR="00663FB9" w:rsidRDefault="001A7E58" w:rsidP="00663FB9">
      <w:r>
        <w:rPr>
          <w:noProof/>
        </w:rPr>
        <w:drawing>
          <wp:anchor distT="0" distB="0" distL="114300" distR="114300" simplePos="0" relativeHeight="251893844" behindDoc="0" locked="0" layoutInCell="1" allowOverlap="1" wp14:anchorId="0DB2881D" wp14:editId="4083C736">
            <wp:simplePos x="0" y="0"/>
            <wp:positionH relativeFrom="column">
              <wp:align>right</wp:align>
            </wp:positionH>
            <wp:positionV relativeFrom="paragraph">
              <wp:posOffset>0</wp:posOffset>
            </wp:positionV>
            <wp:extent cx="932688" cy="658368"/>
            <wp:effectExtent l="0" t="0" r="1270" b="8890"/>
            <wp:wrapSquare wrapText="bothSides"/>
            <wp:docPr id="2134264058" name="Picture 2" descr="A blue and black circle with a letter 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64058" name="Picture 2" descr="A blue and black circle with a letter i&#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32688" cy="658368"/>
                    </a:xfrm>
                    <a:prstGeom prst="rect">
                      <a:avLst/>
                    </a:prstGeom>
                  </pic:spPr>
                </pic:pic>
              </a:graphicData>
            </a:graphic>
            <wp14:sizeRelH relativeFrom="margin">
              <wp14:pctWidth>0</wp14:pctWidth>
            </wp14:sizeRelH>
            <wp14:sizeRelV relativeFrom="margin">
              <wp14:pctHeight>0</wp14:pctHeight>
            </wp14:sizeRelV>
          </wp:anchor>
        </w:drawing>
      </w:r>
      <w:r w:rsidR="00663FB9">
        <w:t>All study participants must receive and sign an informed consent form that clearly outlines their rights, including the right to not participate and to withdraw. For medical studies, the form must also detail any potential risks. Participants under 18 require a parent or legal guardian's signature. Researchers must keep these forms for a specified period (usually three years) after data collection to adhere to scientific conduct standards.</w:t>
      </w:r>
    </w:p>
    <w:p w14:paraId="01C77161" w14:textId="77777777" w:rsidR="00663FB9" w:rsidRDefault="00663FB9" w:rsidP="00663FB9">
      <w:r>
        <w:t>The consent form must not waive or appear to waive any of the participant's legal rights, and participants cannot release researchers or institutions from legal liability. While sociological research may not typically involve physical risks, it can pose other types of risks. For example, accidentally revealing the identity of subjects who admit to unusual sexual behavior could jeopardize their social standing, marriage, custody rights, or employment.</w:t>
      </w:r>
    </w:p>
    <w:p w14:paraId="6F730040" w14:textId="77777777" w:rsidR="00663FB9" w:rsidRDefault="00663FB9" w:rsidP="00663FB9">
      <w:r>
        <w:t>Researchers must ensure that participants have read and understood the consent form before proceeding with data collection. Some studies require a physical signature, while others provide a copy of the form.</w:t>
      </w:r>
    </w:p>
    <w:p w14:paraId="33A39EED" w14:textId="77777777" w:rsidR="00663FB9" w:rsidRDefault="00663FB9" w:rsidP="00663FB9">
      <w:r>
        <w:t>It's important to note that not all potential research subjects are considered equally competent or legally allowed to consent, such as members of vulnerable populations who may be at risk of undue influence or coercion. Minors, prisoners, and parolees are examples of vulnerable populations. While obtaining consent from these groups can be challenging, excluding them silences their voices. Researchers must be aware of the potential concerns and find appropriate solutions for each case.</w:t>
      </w:r>
    </w:p>
    <w:p w14:paraId="5FBF619D" w14:textId="77777777" w:rsidR="00663FB9" w:rsidRDefault="00663FB9" w:rsidP="00171CFF">
      <w:pPr>
        <w:pStyle w:val="Heading4"/>
      </w:pPr>
      <w:r>
        <w:t>Confidentiality</w:t>
      </w:r>
    </w:p>
    <w:p w14:paraId="4C109ED9" w14:textId="485556D3" w:rsidR="00663FB9" w:rsidRDefault="001A7E58" w:rsidP="00663FB9">
      <w:r>
        <w:rPr>
          <w:noProof/>
        </w:rPr>
        <w:drawing>
          <wp:anchor distT="0" distB="0" distL="114300" distR="114300" simplePos="0" relativeHeight="251894868" behindDoc="0" locked="0" layoutInCell="1" allowOverlap="1" wp14:anchorId="0CF0B778" wp14:editId="2A4AEDE8">
            <wp:simplePos x="0" y="0"/>
            <wp:positionH relativeFrom="column">
              <wp:align>right</wp:align>
            </wp:positionH>
            <wp:positionV relativeFrom="paragraph">
              <wp:posOffset>1270</wp:posOffset>
            </wp:positionV>
            <wp:extent cx="932688" cy="658368"/>
            <wp:effectExtent l="0" t="0" r="1270" b="8890"/>
            <wp:wrapSquare wrapText="bothSides"/>
            <wp:docPr id="291413348" name="Picture 3" descr="A blue line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13348" name="Picture 3" descr="A blue line drawing of a person&#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32688" cy="658368"/>
                    </a:xfrm>
                    <a:prstGeom prst="rect">
                      <a:avLst/>
                    </a:prstGeom>
                  </pic:spPr>
                </pic:pic>
              </a:graphicData>
            </a:graphic>
            <wp14:sizeRelH relativeFrom="margin">
              <wp14:pctWidth>0</wp14:pctWidth>
            </wp14:sizeRelH>
            <wp14:sizeRelV relativeFrom="margin">
              <wp14:pctHeight>0</wp14:pctHeight>
            </wp14:sizeRelV>
          </wp:anchor>
        </w:drawing>
      </w:r>
      <w:r w:rsidR="00663FB9">
        <w:t>Researchers must protect participants' identities using the principles of anonymity and confidentiality. Anonymity means that neither the researcher nor readers of the final report can link a specific response to an individual participant. For example, a mail survey without identification numbers ensures anonymity. In studies involving deviant or undesirable behaviors, like illegal drug use or music downloading, anonymity is crucial for obtaining truthful responses and protecting participants from authorities.</w:t>
      </w:r>
    </w:p>
    <w:p w14:paraId="17224255" w14:textId="77777777" w:rsidR="00663FB9" w:rsidRDefault="00663FB9" w:rsidP="00663FB9">
      <w:r>
        <w:t>In some research designs, such as face-to-face interviews or longitudinal field surveys, anonymity is not possible or desirable. In these cases, confidentiality is used. The researcher can identify a person's responses but promises not to reveal their identity in any report, paper, or public forum. Confidentiality is a weaker form of protection than anonymity, and social research data do not have "privileged communication" status in U.S. courts like communication with priests or lawyers.</w:t>
      </w:r>
    </w:p>
    <w:p w14:paraId="6B95425E" w14:textId="507565FD" w:rsidR="00663FB9" w:rsidRDefault="00663FB9" w:rsidP="00663FB9">
      <w:r>
        <w:t xml:space="preserve">One example of the limits of confidentiality is the Exxon Valdez oil spill case. When affected households were surveyed about increased psychological problems, respondents were assured of confidentiality. However, when the evidence was presented in court, Exxon successfully petitioned </w:t>
      </w:r>
      <w:r>
        <w:lastRenderedPageBreak/>
        <w:t>to subpoena the original questionnaires with identifying information. Although the case was settled before victims had to testify, the potential for similar breaches of confidentiality persists</w:t>
      </w:r>
      <w:r w:rsidR="00BE3A19">
        <w:t xml:space="preserve"> </w:t>
      </w:r>
      <w:r w:rsidR="00BE3A19">
        <w:fldChar w:fldCharType="begin"/>
      </w:r>
      <w:r w:rsidR="007C07B4">
        <w:instrText xml:space="preserve"> ADDIN ZOTERO_ITEM CSL_CITATION {"citationID":"a2jdk5n5ei8","properties":{"formattedCitation":"[39]","plainCitation":"[39]","noteIndex":0},"citationItems":[{"id":377,"uris":["http://zotero.org/users/5015692/items/ITG8L9KI"],"itemData":{"id":377,"type":"book","abstract":"This is the first book to introduce the new statistics - effect sizes, confidence intervals, and meta-analysis - in an accessible way. It is chock full of practical examples and tips on how to analyze and report research results using these techniques. The book is invaluable to readers interested in meeting the new APA Publication Manual guidelines by adopting the new statistics - which are more informative than null hypothesis significance testing, and becoming widely used in many disciplines.\n\nAccompanying the book is the Exploratory Software for Confidence Intervals (ESCI) package, free software that runs under Excel and is accessible at www.thenewstatistics.com. The book’s exercises use ESCI's simulations, which are highly visual and interactive, to engage users and encourage exploration. Working with the simulations strengthens understanding of key statistical ideas. There are also many examples, and detailed guidance to show readers how to analyze their own data using the new statistics, and practical strategies for interpreting the results. A particular strength of the book is its explanation of meta-analysis, using simple diagrams and examples. Understanding meta-analysis is increasingly important, even at undergraduate levels, because medicine, psychology and many other disciplines now use meta-analysis to assemble the evidence needed for evidence-based practice.\n\nThe book’s pedagogical program, built on cognitive science principles, reinforces learning:\n\nBoxes provide \"evidence-based\" advice on the most effective statistical techniques.\nNumerous examples reinforce learning, and show that many disciplines are using the new statistics.\nGraphs are tied in with ESCI to make important concepts vividly clear and memorable.\nOpening overviews and end of chapter take-home messages summarize key points.\nExercises encourage exploration, deep understanding, and practical applications.\nThis highly accessible book is intended as the core text for any course that emphasizes the new statistics, or as a supplementary text for graduate and/or advanced undergraduate courses in statistics and research methods in departments of psychology, education, human development , nursing, and natural, social, and life sciences. Researchers and practitioners interested in understanding the new statistics, and future published research, will also appreciate this book. A basic familiarity with introductory statistics is assumed.","edition":"1","publisher":"Routledge","title":"Understanding The New Statistics","URL":"https://doi.org/10.4324/9780203807002","author":[{"family":"Cumming","given":"Geoff"}],"issued":{"date-parts":[["2013"]]}}}],"schema":"https://github.com/citation-style-language/schema/raw/master/csl-citation.json"} </w:instrText>
      </w:r>
      <w:r w:rsidR="00BE3A19">
        <w:fldChar w:fldCharType="separate"/>
      </w:r>
      <w:r w:rsidR="007C07B4" w:rsidRPr="007C07B4">
        <w:t>[39]</w:t>
      </w:r>
      <w:r w:rsidR="00BE3A19">
        <w:fldChar w:fldCharType="end"/>
      </w:r>
      <w:r>
        <w:t>.</w:t>
      </w:r>
    </w:p>
    <w:p w14:paraId="5F263534" w14:textId="77777777" w:rsidR="00663FB9" w:rsidRDefault="00663FB9" w:rsidP="00663FB9">
      <w:r>
        <w:t>To protect themselves and participants, researchers should remove identifying information from documents and data files as soon as they are no longer needed. In some cases, a "Certificate of Confidentiality" from the U.S. Department of Health and Human Services can protect participants from authorities, but not all projects qualify for this protection.</w:t>
      </w:r>
    </w:p>
    <w:p w14:paraId="7791238F" w14:textId="77777777" w:rsidR="00663FB9" w:rsidRDefault="00663FB9" w:rsidP="00171CFF">
      <w:pPr>
        <w:pStyle w:val="Heading4"/>
      </w:pPr>
      <w:r>
        <w:t>Disclosure</w:t>
      </w:r>
    </w:p>
    <w:p w14:paraId="160E1D70" w14:textId="32FA7811" w:rsidR="00663FB9" w:rsidRDefault="001A7E58" w:rsidP="00663FB9">
      <w:r>
        <w:rPr>
          <w:noProof/>
        </w:rPr>
        <w:drawing>
          <wp:anchor distT="0" distB="0" distL="114300" distR="114300" simplePos="0" relativeHeight="251895892" behindDoc="0" locked="0" layoutInCell="1" allowOverlap="1" wp14:anchorId="4DDCF27A" wp14:editId="1A7E357E">
            <wp:simplePos x="0" y="0"/>
            <wp:positionH relativeFrom="column">
              <wp:align>right</wp:align>
            </wp:positionH>
            <wp:positionV relativeFrom="paragraph">
              <wp:posOffset>0</wp:posOffset>
            </wp:positionV>
            <wp:extent cx="932688" cy="658368"/>
            <wp:effectExtent l="0" t="0" r="1270" b="8890"/>
            <wp:wrapSquare wrapText="bothSides"/>
            <wp:docPr id="1997307607" name="Picture 4" descr="A blue and black mega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07607" name="Picture 4" descr="A blue and black megaphon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32688" cy="658368"/>
                    </a:xfrm>
                    <a:prstGeom prst="rect">
                      <a:avLst/>
                    </a:prstGeom>
                  </pic:spPr>
                </pic:pic>
              </a:graphicData>
            </a:graphic>
            <wp14:sizeRelH relativeFrom="margin">
              <wp14:pctWidth>0</wp14:pctWidth>
            </wp14:sizeRelH>
            <wp14:sizeRelV relativeFrom="margin">
              <wp14:pctHeight>0</wp14:pctHeight>
            </wp14:sizeRelV>
          </wp:anchor>
        </w:drawing>
      </w:r>
      <w:r w:rsidR="00663FB9">
        <w:t>Researchers must usually provide certain information about their study to potential participants before data collection, such as who is conducting the study, its purpose, expected outcomes, and who will benefit from the results. However, in some cases, disclosing this information could bias participants' responses. For example, in a study examining conformity to "groupthink," revealing the purpose beforehand might influence the subjects' behavior. In such cases, while the purpose cannot be disclosed upfront, it should be revealed in a debriefing session immediately after data collection, along with any potential risks or harm to the participant.</w:t>
      </w:r>
    </w:p>
    <w:p w14:paraId="3521E8C2" w14:textId="77777777" w:rsidR="00663FB9" w:rsidRDefault="00663FB9" w:rsidP="00171CFF">
      <w:pPr>
        <w:pStyle w:val="Heading4"/>
      </w:pPr>
      <w:r>
        <w:t>Reporting</w:t>
      </w:r>
    </w:p>
    <w:p w14:paraId="70EB2879" w14:textId="3B298BF8" w:rsidR="00663FB9" w:rsidRDefault="001A7E58" w:rsidP="00663FB9">
      <w:r>
        <w:rPr>
          <w:noProof/>
        </w:rPr>
        <w:drawing>
          <wp:anchor distT="0" distB="0" distL="114300" distR="114300" simplePos="0" relativeHeight="251896916" behindDoc="0" locked="0" layoutInCell="1" allowOverlap="1" wp14:anchorId="43EB7585" wp14:editId="76D6D233">
            <wp:simplePos x="0" y="0"/>
            <wp:positionH relativeFrom="column">
              <wp:align>right</wp:align>
            </wp:positionH>
            <wp:positionV relativeFrom="paragraph">
              <wp:posOffset>0</wp:posOffset>
            </wp:positionV>
            <wp:extent cx="932688" cy="658368"/>
            <wp:effectExtent l="0" t="0" r="1270" b="8890"/>
            <wp:wrapSquare wrapText="bothSides"/>
            <wp:docPr id="1740106260" name="Picture 5" descr="A blu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06260" name="Picture 5" descr="A blue line on a black backgroun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32688" cy="658368"/>
                    </a:xfrm>
                    <a:prstGeom prst="rect">
                      <a:avLst/>
                    </a:prstGeom>
                  </pic:spPr>
                </pic:pic>
              </a:graphicData>
            </a:graphic>
            <wp14:sizeRelH relativeFrom="margin">
              <wp14:pctWidth>0</wp14:pctWidth>
            </wp14:sizeRelH>
            <wp14:sizeRelV relativeFrom="margin">
              <wp14:pctHeight>0</wp14:pctHeight>
            </wp14:sizeRelV>
          </wp:anchor>
        </w:drawing>
      </w:r>
      <w:r w:rsidR="00663FB9">
        <w:t>Researchers have ethical obligations to the scientific community regarding data analysis and reporting. Unexpected or negative findings should be fully disclosed, even if they raise questions about the research design or results. Interesting relationships discovered by chance or data mining after the study should not be presented as the product of deliberate design. In positivist research, hypotheses should be developed before data analysis, as the role of data is to test hypotheses, not build them.</w:t>
      </w:r>
    </w:p>
    <w:p w14:paraId="3E7A7F6E" w14:textId="321A12BF" w:rsidR="006A2B19" w:rsidRDefault="00663FB9" w:rsidP="00663FB9">
      <w:r>
        <w:t>It is unethical to divide data into different segments to prove or disprove hypotheses of interest or generate multiple papers claiming different data sets. Misrepresenting questionable claims as valid based on partial, incomplete, or improper data analysis is also dishonest. Science advances through openness and honesty, and researchers best serve the scientific community by fully disclosing problems with their research to help others avoid similar issues.</w:t>
      </w:r>
    </w:p>
    <w:p w14:paraId="012A37C3" w14:textId="77777777" w:rsidR="00495B3A" w:rsidRDefault="00495B3A" w:rsidP="00495B3A">
      <w:pPr>
        <w:pStyle w:val="Heading3"/>
      </w:pPr>
      <w:bookmarkStart w:id="38" w:name="_Toc169156694"/>
      <w:r>
        <w:t>Institutional Review Board (IRB)</w:t>
      </w:r>
      <w:bookmarkEnd w:id="38"/>
    </w:p>
    <w:p w14:paraId="4BA9E07F" w14:textId="2A171B76" w:rsidR="00495B3A" w:rsidRDefault="006679AC" w:rsidP="00495B3A">
      <w:r>
        <w:rPr>
          <w:noProof/>
        </w:rPr>
        <w:drawing>
          <wp:anchor distT="0" distB="0" distL="114300" distR="114300" simplePos="0" relativeHeight="251658269" behindDoc="0" locked="0" layoutInCell="1" allowOverlap="1" wp14:anchorId="5E221B6B" wp14:editId="1E063848">
            <wp:simplePos x="0" y="0"/>
            <wp:positionH relativeFrom="column">
              <wp:align>right</wp:align>
            </wp:positionH>
            <wp:positionV relativeFrom="paragraph">
              <wp:posOffset>0</wp:posOffset>
            </wp:positionV>
            <wp:extent cx="1682496" cy="1682496"/>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0" cstate="print">
                      <a:extLst>
                        <a:ext uri="{BEBA8EAE-BF5A-486C-A8C5-ECC9F3942E4B}">
                          <a14:imgProps xmlns:a14="http://schemas.microsoft.com/office/drawing/2010/main">
                            <a14:imgLayer r:embed="rId10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682496" cy="1682496"/>
                    </a:xfrm>
                    <a:prstGeom prst="rect">
                      <a:avLst/>
                    </a:prstGeom>
                  </pic:spPr>
                </pic:pic>
              </a:graphicData>
            </a:graphic>
            <wp14:sizeRelH relativeFrom="margin">
              <wp14:pctWidth>0</wp14:pctWidth>
            </wp14:sizeRelH>
            <wp14:sizeRelV relativeFrom="margin">
              <wp14:pctHeight>0</wp14:pctHeight>
            </wp14:sizeRelV>
          </wp:anchor>
        </w:drawing>
      </w:r>
      <w:r w:rsidR="00495B3A">
        <w:t xml:space="preserve">Institutional Review Boards (IRBs) are responsible for ensuring that the rights and welfare of human research subjects are protected at all institutions that receive federal research support, including universities, hospitals, and nonprofit research institutions. IRBs are typically composed of members from various disciplines, such as sociology, economics, education, social work, and communications, as well as representatives from the local community, such as prisons, hospitals, or treatment centers. This diverse membership helps ensure that a knowledgeable and experienced panel will </w:t>
      </w:r>
      <w:r w:rsidR="00495B3A">
        <w:lastRenderedPageBreak/>
        <w:t>consider the complex ethical issues that may arise when conducting research with human subjects.</w:t>
      </w:r>
    </w:p>
    <w:p w14:paraId="25695FE3" w14:textId="7ABFC5E0" w:rsidR="00495B3A" w:rsidRDefault="00495B3A" w:rsidP="00495B3A">
      <w:r>
        <w:t>Before beginning a project, researchers must submit proposals to the IRB for review and approval. The IRB approval process may vary slightly between institutions but generally requires completing an application that provides detailed information about the research project, the principal investigators, and how subjects' rights will be protected. Additional documentation, such as an informed consent form, research questionnaire, and interview protocol, may also be required. Researchers must also demonstrate their familiarity with ethical research principles by providing certification of their participation in a research ethics course. Data collection can only begin after the IRB review committee approves the project.</w:t>
      </w:r>
    </w:p>
    <w:p w14:paraId="79A47984" w14:textId="77777777" w:rsidR="00495B3A" w:rsidRDefault="00495B3A" w:rsidP="00495B3A">
      <w:r>
        <w:t>Even student researchers who conduct studies involving human subjects must have their proposed work reviewed and approved by an IRB before starting their research. However, some universities may allow exceptions for low-risk student projects, such as in-class surveys that will not be shared outside the classroom and pose no danger to participants.</w:t>
      </w:r>
    </w:p>
    <w:p w14:paraId="0A31D88F" w14:textId="0C582132" w:rsidR="00495B3A" w:rsidRDefault="00495B3A" w:rsidP="00495B3A">
      <w:r>
        <w:t>While IRBs play a crucial role in protecting human subjects, they are not always popular among researchers. In some cases, IRBs may have expertise in biomedical or experimental research but lack experience in business or social science projects. This can be problematic because business research is often open-ended, and IRBs typically require detailed information in advance, such as who will be observed, where, when, and for how long; how subjects will be approached; what questions will be asked; and what predictions the researchers have for their findings. Providing this level of detail for a long-term participant observation study, such as a year-long project involving an activist group with over 200 members, would be incredibly challenging and potentially impossible for the researcher.</w:t>
      </w:r>
    </w:p>
    <w:p w14:paraId="7F9BBE64" w14:textId="77777777" w:rsidR="00495B3A" w:rsidRDefault="00495B3A" w:rsidP="00495B3A">
      <w:r>
        <w:t>It is important to note that IRBs do not intend to discourage researchers from studying controversial topics or using specific, methodologically sound data collection techniques. However, the requirements set by IRBs can sometimes result in researchers avoiding such studies. The solution is not to eliminate review boards, as they serve a necessary and essential function, but rather to educate IRB members about the various research methods and topics covered by business, sociology, and other social science disciplines.</w:t>
      </w:r>
    </w:p>
    <w:p w14:paraId="3FD35CB3" w14:textId="1DF64627" w:rsidR="005C4F35" w:rsidRDefault="00495B3A" w:rsidP="00495B3A">
      <w:r>
        <w:t>For example, a sociology student planning to study the experiences of homeless individuals in their local community would need to submit a detailed proposal to the IRB. This proposal would outline the research questions, methodology, potential risks and benefits to participants, and measures to ensure confidentiality and informed consent. The IRB would review the proposal to ensure that the study is ethically sound and that the rights and welfare of the homeless participants are protected. By working closely with the IRB and addressing any concerns or questions they may have, the student researcher can conduct their study while upholding essential ethical principles.</w:t>
      </w:r>
    </w:p>
    <w:p w14:paraId="5327D097" w14:textId="48A39EA0" w:rsidR="00A626FE" w:rsidRPr="000E309B" w:rsidRDefault="007407F4" w:rsidP="007407F4">
      <w:pPr>
        <w:pStyle w:val="Heading3"/>
      </w:pPr>
      <w:bookmarkStart w:id="39" w:name="_Toc169156695"/>
      <w:r>
        <w:lastRenderedPageBreak/>
        <w:t>P</w:t>
      </w:r>
      <w:r w:rsidR="00D14B33" w:rsidRPr="000E309B">
        <w:t xml:space="preserve">rofessional </w:t>
      </w:r>
      <w:r>
        <w:t>C</w:t>
      </w:r>
      <w:r w:rsidR="00D14B33" w:rsidRPr="000E309B">
        <w:t xml:space="preserve">odes of </w:t>
      </w:r>
      <w:r>
        <w:t>E</w:t>
      </w:r>
      <w:r w:rsidR="00D14B33" w:rsidRPr="000E309B">
        <w:t>thics</w:t>
      </w:r>
      <w:bookmarkEnd w:id="39"/>
    </w:p>
    <w:p w14:paraId="5327D098" w14:textId="5E49F6C3" w:rsidR="00A626FE" w:rsidRPr="000E309B" w:rsidRDefault="00D14B33" w:rsidP="00B03845">
      <w:r w:rsidRPr="000E309B">
        <w:t>Most professional associations have established and published formal codes of conduct describing what constitute</w:t>
      </w:r>
      <w:r w:rsidR="00662FD0">
        <w:t>s</w:t>
      </w:r>
      <w:r w:rsidRPr="000E309B">
        <w:t xml:space="preserve"> acceptable and unacceptable professional behavior of their member researchers. The following codes are examples for researchers engaging in business</w:t>
      </w:r>
      <w:r w:rsidR="00BC0A7B">
        <w:t xml:space="preserve"> and marketing</w:t>
      </w:r>
      <w:r w:rsidRPr="000E309B">
        <w:t xml:space="preserve"> research.</w:t>
      </w:r>
    </w:p>
    <w:p w14:paraId="5449A4EA" w14:textId="2F304CCB" w:rsidR="00AE7743" w:rsidRDefault="00AE7743" w:rsidP="008017BE">
      <w:pPr>
        <w:pStyle w:val="ListParagraph"/>
        <w:numPr>
          <w:ilvl w:val="0"/>
          <w:numId w:val="17"/>
        </w:numPr>
        <w:spacing w:line="360" w:lineRule="auto"/>
      </w:pPr>
      <w:r>
        <w:t xml:space="preserve">Academy of Management </w:t>
      </w:r>
      <w:hyperlink r:id="rId102" w:history="1">
        <w:r w:rsidR="00D305D1" w:rsidRPr="00D305D1">
          <w:rPr>
            <w:rStyle w:val="Hyperlink"/>
          </w:rPr>
          <w:t>https://aom.org/about-aom/governance/ethics/code-of-ethics</w:t>
        </w:r>
      </w:hyperlink>
    </w:p>
    <w:p w14:paraId="586EF8E0" w14:textId="4F072A54" w:rsidR="00027299" w:rsidRDefault="00027299" w:rsidP="008017BE">
      <w:pPr>
        <w:pStyle w:val="ListParagraph"/>
        <w:numPr>
          <w:ilvl w:val="0"/>
          <w:numId w:val="17"/>
        </w:numPr>
        <w:spacing w:line="360" w:lineRule="auto"/>
      </w:pPr>
      <w:r>
        <w:t>Insights Association</w:t>
      </w:r>
      <w:r w:rsidR="00EB1A89">
        <w:t xml:space="preserve"> </w:t>
      </w:r>
      <w:hyperlink r:id="rId103" w:history="1">
        <w:r w:rsidR="00EB1A89" w:rsidRPr="00EB1A89">
          <w:rPr>
            <w:rStyle w:val="Hyperlink"/>
          </w:rPr>
          <w:t>https://www.insightsassociation.org/issues-policies/insights-association-code-standards-and-ethics-market-research-and-data-analytics-0</w:t>
        </w:r>
      </w:hyperlink>
    </w:p>
    <w:p w14:paraId="5327D09B" w14:textId="665AE193" w:rsidR="00A626FE" w:rsidRPr="000E309B" w:rsidRDefault="00D14B33" w:rsidP="008017BE">
      <w:pPr>
        <w:pStyle w:val="ListParagraph"/>
        <w:numPr>
          <w:ilvl w:val="0"/>
          <w:numId w:val="17"/>
        </w:numPr>
        <w:spacing w:line="360" w:lineRule="auto"/>
      </w:pPr>
      <w:r w:rsidRPr="000E309B">
        <w:t xml:space="preserve">Association of Business Schools </w:t>
      </w:r>
      <w:hyperlink r:id="rId104" w:history="1">
        <w:r w:rsidR="00F63343" w:rsidRPr="00F63343">
          <w:rPr>
            <w:rStyle w:val="Hyperlink"/>
          </w:rPr>
          <w:t>https://charteredabs.org/wp-content/uploads/2015/02/abs_ethics_guide_-_2012.pdf</w:t>
        </w:r>
      </w:hyperlink>
    </w:p>
    <w:p w14:paraId="5327D09C" w14:textId="7AA4EAEA" w:rsidR="00A626FE" w:rsidRPr="000E309B" w:rsidRDefault="00D14B33" w:rsidP="008017BE">
      <w:pPr>
        <w:pStyle w:val="ListParagraph"/>
        <w:numPr>
          <w:ilvl w:val="0"/>
          <w:numId w:val="17"/>
        </w:numPr>
        <w:spacing w:line="360" w:lineRule="auto"/>
      </w:pPr>
      <w:r w:rsidRPr="000E309B">
        <w:t xml:space="preserve">Market Research Society </w:t>
      </w:r>
      <w:hyperlink r:id="rId105" w:history="1">
        <w:r w:rsidR="00A90E6A" w:rsidRPr="00A90E6A">
          <w:rPr>
            <w:rStyle w:val="Hyperlink"/>
          </w:rPr>
          <w:t>https://www.mrs.org.uk/standards/code%20of%20conduct</w:t>
        </w:r>
      </w:hyperlink>
    </w:p>
    <w:p w14:paraId="5327D09D" w14:textId="596CB518" w:rsidR="00A626FE" w:rsidRPr="000E309B" w:rsidRDefault="00D14B33" w:rsidP="00FB6204">
      <w:pPr>
        <w:spacing w:line="360" w:lineRule="auto"/>
      </w:pPr>
      <w:r w:rsidRPr="000E309B">
        <w:t xml:space="preserve">It may also be </w:t>
      </w:r>
      <w:r w:rsidR="00810A67">
        <w:t>help</w:t>
      </w:r>
      <w:r w:rsidRPr="000E309B">
        <w:t>ful to consider the codes developed by social science researchers.</w:t>
      </w:r>
    </w:p>
    <w:p w14:paraId="5327D09E" w14:textId="3E4F2762" w:rsidR="00A626FE" w:rsidRPr="000E309B" w:rsidRDefault="00D14B33" w:rsidP="008017BE">
      <w:pPr>
        <w:pStyle w:val="ListParagraph"/>
        <w:numPr>
          <w:ilvl w:val="0"/>
          <w:numId w:val="17"/>
        </w:numPr>
        <w:spacing w:line="360" w:lineRule="auto"/>
      </w:pPr>
      <w:r w:rsidRPr="000E309B">
        <w:t xml:space="preserve">Social Research Association (SRA) </w:t>
      </w:r>
      <w:hyperlink r:id="rId106" w:history="1">
        <w:r w:rsidR="00285643" w:rsidRPr="00285643">
          <w:rPr>
            <w:rStyle w:val="Hyperlink"/>
          </w:rPr>
          <w:t>https://the-sra.org.uk/research-ethics/ethics-guidelines/</w:t>
        </w:r>
      </w:hyperlink>
    </w:p>
    <w:p w14:paraId="5327D09F" w14:textId="01117175" w:rsidR="00A626FE" w:rsidRPr="000E309B" w:rsidRDefault="00D14B33" w:rsidP="008017BE">
      <w:pPr>
        <w:pStyle w:val="ListParagraph"/>
        <w:numPr>
          <w:ilvl w:val="0"/>
          <w:numId w:val="17"/>
        </w:numPr>
        <w:spacing w:line="360" w:lineRule="auto"/>
      </w:pPr>
      <w:r w:rsidRPr="000E309B">
        <w:t xml:space="preserve">American Sociological Association (ASA) </w:t>
      </w:r>
      <w:hyperlink r:id="rId107" w:history="1">
        <w:r w:rsidR="002E5777" w:rsidRPr="002E5777">
          <w:rPr>
            <w:rStyle w:val="Hyperlink"/>
          </w:rPr>
          <w:t>https://www.asanet.org/about/governance-and-leadership/code-ethics</w:t>
        </w:r>
      </w:hyperlink>
    </w:p>
    <w:p w14:paraId="5327D0A0" w14:textId="77F797E3" w:rsidR="00A626FE" w:rsidRPr="000E309B" w:rsidRDefault="00D14B33" w:rsidP="008017BE">
      <w:pPr>
        <w:pStyle w:val="ListParagraph"/>
        <w:numPr>
          <w:ilvl w:val="0"/>
          <w:numId w:val="17"/>
        </w:numPr>
        <w:spacing w:line="360" w:lineRule="auto"/>
      </w:pPr>
      <w:r w:rsidRPr="000E309B">
        <w:t xml:space="preserve">American Psychological Association (APA) </w:t>
      </w:r>
      <w:hyperlink r:id="rId108" w:history="1">
        <w:r w:rsidR="00E32824" w:rsidRPr="00E32824">
          <w:rPr>
            <w:rStyle w:val="Hyperlink"/>
          </w:rPr>
          <w:t>https://www.apa.org/ethics/code/index</w:t>
        </w:r>
      </w:hyperlink>
    </w:p>
    <w:p w14:paraId="5327D0A2" w14:textId="5CFA1590" w:rsidR="00A626FE" w:rsidRPr="000E309B" w:rsidRDefault="00D14B33" w:rsidP="00126010">
      <w:r w:rsidRPr="000E309B">
        <w:t xml:space="preserve">As an example, </w:t>
      </w:r>
      <w:r w:rsidR="00810A67">
        <w:t xml:space="preserve">the </w:t>
      </w:r>
      <w:r w:rsidRPr="000E309B">
        <w:t>following is the summarized Marketing Research</w:t>
      </w:r>
      <w:r w:rsidR="00E32824">
        <w:t xml:space="preserve"> </w:t>
      </w:r>
      <w:r w:rsidRPr="000E309B">
        <w:t>Association’s (MRA) “Code of Marketing Research Standards”</w:t>
      </w:r>
      <w:r w:rsidR="002C0D51">
        <w:t xml:space="preserve"> </w:t>
      </w:r>
      <w:r w:rsidR="002C0D51">
        <w:fldChar w:fldCharType="begin"/>
      </w:r>
      <w:r w:rsidR="007C07B4">
        <w:instrText xml:space="preserve"> ADDIN ZOTERO_ITEM CSL_CITATION {"citationID":"a2nh9fqjfh0","properties":{"formattedCitation":"[40]","plainCitation":"[40]","noteIndex":0},"citationItems":[{"id":386,"uris":["http://zotero.org/users/5015692/items/3T47KEMP"],"itemData":{"id":386,"type":"article-journal","container-title":"Jane Clapp, Professional Ethics and Insignia","journalAbbreviation":"Jane Clapp, Professional Ethics and Insignia","page":"48-9","title":"Principles of professional responsibility","author":[{"literal":"American Anthropological Association"}],"issued":{"date-parts":[["2012"]]}}}],"schema":"https://github.com/citation-style-language/schema/raw/master/csl-citation.json"} </w:instrText>
      </w:r>
      <w:r w:rsidR="002C0D51">
        <w:fldChar w:fldCharType="separate"/>
      </w:r>
      <w:r w:rsidR="007C07B4" w:rsidRPr="007C07B4">
        <w:t>[40]</w:t>
      </w:r>
      <w:r w:rsidR="002C0D51">
        <w:fldChar w:fldCharType="end"/>
      </w:r>
      <w:r w:rsidRPr="000E309B">
        <w:t xml:space="preserve">. The code is a </w:t>
      </w:r>
      <w:r w:rsidR="002C45F1" w:rsidRPr="000E309B">
        <w:t>20-page</w:t>
      </w:r>
      <w:r w:rsidRPr="000E309B">
        <w:t xml:space="preserve"> document that includes 42 principles divided into three articles, an enforcement FAQ, and two appendices.</w:t>
      </w:r>
    </w:p>
    <w:p w14:paraId="5327D0A3" w14:textId="77777777" w:rsidR="00A626FE" w:rsidRPr="000E309B" w:rsidRDefault="00D14B33" w:rsidP="00126010">
      <w:pPr>
        <w:pStyle w:val="ListParagraph"/>
        <w:numPr>
          <w:ilvl w:val="0"/>
          <w:numId w:val="175"/>
        </w:numPr>
      </w:pPr>
      <w:r w:rsidRPr="000E309B">
        <w:t>Article I: Responsibility to Respondents and Prospective Respondents.</w:t>
      </w:r>
    </w:p>
    <w:p w14:paraId="5327D0A4" w14:textId="325FF7DF" w:rsidR="00A626FE" w:rsidRPr="000E309B" w:rsidRDefault="00D14B33" w:rsidP="00126010">
      <w:pPr>
        <w:pStyle w:val="ListParagraph"/>
        <w:numPr>
          <w:ilvl w:val="1"/>
          <w:numId w:val="175"/>
        </w:numPr>
      </w:pPr>
      <w:r w:rsidRPr="000E309B">
        <w:t xml:space="preserve">General Conduct. This article focuses on how to treat the respondents in a research project. It includes requirements like </w:t>
      </w:r>
      <w:r w:rsidR="00BE5376" w:rsidRPr="000E309B">
        <w:t>protecting</w:t>
      </w:r>
      <w:r w:rsidRPr="000E309B">
        <w:t xml:space="preserve"> their right to drop out of a research project and their right to privacy.</w:t>
      </w:r>
    </w:p>
    <w:p w14:paraId="5327D0A5" w14:textId="77777777" w:rsidR="00A626FE" w:rsidRPr="000E309B" w:rsidRDefault="00D14B33" w:rsidP="003B3F52">
      <w:pPr>
        <w:pStyle w:val="ListParagraph"/>
        <w:numPr>
          <w:ilvl w:val="1"/>
          <w:numId w:val="175"/>
        </w:numPr>
      </w:pPr>
      <w:r w:rsidRPr="000E309B">
        <w:t>Purpose of Use. This article requires researchers to obtain a consent form and protect respondent information from improper use, like solicitations.</w:t>
      </w:r>
    </w:p>
    <w:p w14:paraId="5327D0A6" w14:textId="15D205F0" w:rsidR="00A626FE" w:rsidRPr="000E309B" w:rsidRDefault="00CA5921" w:rsidP="003B3F52">
      <w:pPr>
        <w:pStyle w:val="ListParagraph"/>
        <w:numPr>
          <w:ilvl w:val="1"/>
          <w:numId w:val="175"/>
        </w:numPr>
      </w:pPr>
      <w:r w:rsidRPr="000E309B">
        <w:t>Transparency</w:t>
      </w:r>
      <w:r w:rsidR="00D14B33" w:rsidRPr="000E309B">
        <w:t xml:space="preserve">. This article requires researchers to be honest with respondents and make the research method </w:t>
      </w:r>
      <w:r w:rsidRPr="000E309B">
        <w:t>transparent</w:t>
      </w:r>
      <w:r w:rsidR="00D14B33" w:rsidRPr="000E309B">
        <w:t>. It includes not collecting information without the respondent’s knowledge and keeping an internal “do not call” list so respondents can opt</w:t>
      </w:r>
      <w:r w:rsidR="00A64F20">
        <w:t>-</w:t>
      </w:r>
      <w:r w:rsidR="00D14B33" w:rsidRPr="000E309B">
        <w:t>out of future contacts.</w:t>
      </w:r>
    </w:p>
    <w:p w14:paraId="5327D0A7" w14:textId="77777777" w:rsidR="00A626FE" w:rsidRPr="000E309B" w:rsidRDefault="00D14B33" w:rsidP="003B3F52">
      <w:pPr>
        <w:pStyle w:val="ListParagraph"/>
        <w:numPr>
          <w:ilvl w:val="1"/>
          <w:numId w:val="175"/>
        </w:numPr>
      </w:pPr>
      <w:r w:rsidRPr="000E309B">
        <w:t>Technical Compliance. This article focuses on legal and other matters, like adhering to all state laws for projects that cross state borders and being especially careful with vulnerable populations, like children.</w:t>
      </w:r>
    </w:p>
    <w:p w14:paraId="5327D0A8" w14:textId="77777777" w:rsidR="00A626FE" w:rsidRPr="000E309B" w:rsidRDefault="00D14B33" w:rsidP="00126010">
      <w:pPr>
        <w:pStyle w:val="ListParagraph"/>
        <w:numPr>
          <w:ilvl w:val="0"/>
          <w:numId w:val="175"/>
        </w:numPr>
      </w:pPr>
      <w:r w:rsidRPr="000E309B">
        <w:lastRenderedPageBreak/>
        <w:t>Article II: Responsibilities to Clients and Vendors. This article requires researchers to maintain a trusted relationship with clients and vendors and refrain from engaging in unacceptable practices with any research partner.</w:t>
      </w:r>
    </w:p>
    <w:p w14:paraId="5327D0A9" w14:textId="77777777" w:rsidR="00A626FE" w:rsidRPr="000E309B" w:rsidRDefault="00D14B33" w:rsidP="00126010">
      <w:pPr>
        <w:pStyle w:val="ListParagraph"/>
        <w:numPr>
          <w:ilvl w:val="0"/>
          <w:numId w:val="175"/>
        </w:numPr>
      </w:pPr>
      <w:r w:rsidRPr="000E309B">
        <w:t>Article III: Professional Responsibilities. Researchers are required to report research results accurately and honestly and not falsify or omit data.</w:t>
      </w:r>
    </w:p>
    <w:p w14:paraId="5327D0AA" w14:textId="68F45DF2" w:rsidR="00A626FE" w:rsidRPr="000E309B" w:rsidRDefault="00CA023D" w:rsidP="00CA023D">
      <w:pPr>
        <w:pStyle w:val="Heading3"/>
      </w:pPr>
      <w:bookmarkStart w:id="40" w:name="_Toc169156696"/>
      <w:r>
        <w:t>E</w:t>
      </w:r>
      <w:r w:rsidR="00D14B33" w:rsidRPr="000E309B">
        <w:t xml:space="preserve">thical </w:t>
      </w:r>
      <w:r>
        <w:t>I</w:t>
      </w:r>
      <w:r w:rsidR="00D14B33" w:rsidRPr="000E309B">
        <w:t xml:space="preserve">ssues in </w:t>
      </w:r>
      <w:r>
        <w:t>R</w:t>
      </w:r>
      <w:r w:rsidR="00D14B33" w:rsidRPr="000E309B">
        <w:t>esearch</w:t>
      </w:r>
      <w:bookmarkEnd w:id="40"/>
    </w:p>
    <w:p w14:paraId="5327D0AB" w14:textId="77777777" w:rsidR="00A626FE" w:rsidRPr="000E309B" w:rsidRDefault="00D14B33" w:rsidP="00206171">
      <w:pPr>
        <w:pStyle w:val="Heading4"/>
      </w:pPr>
      <w:r w:rsidRPr="000E309B">
        <w:t>Introduction</w:t>
      </w:r>
    </w:p>
    <w:p w14:paraId="31B8B7AA" w14:textId="3274F9E8" w:rsidR="00DE075B" w:rsidRDefault="00DE075B" w:rsidP="00DE075B">
      <w:r>
        <w:t>When applied to social research, ethics is concerned with creating a trusting relationship between the researcher and those being researched. To ensure that trust is established, communication must be carefully planned and managed, risks minimized, and benefits maximized. Researchers adhere to several ethical principles to develop a trusting relationship.</w:t>
      </w:r>
      <w:r w:rsidR="005658E0">
        <w:t xml:space="preserve"> The following figure </w:t>
      </w:r>
      <w:r w:rsidR="0035329C">
        <w:t>summarizes the six ethical principles</w:t>
      </w:r>
      <w:r w:rsidR="00B53BB9">
        <w:rPr>
          <w:rStyle w:val="FootnoteReference"/>
        </w:rPr>
        <w:footnoteReference w:id="2"/>
      </w:r>
      <w:r w:rsidR="0035329C">
        <w:t>.</w:t>
      </w:r>
    </w:p>
    <w:p w14:paraId="1923052A" w14:textId="325E7C2F" w:rsidR="00DE075B" w:rsidRDefault="00DE075B" w:rsidP="0035329C">
      <w:pPr>
        <w:pStyle w:val="Heading4"/>
      </w:pPr>
      <w:r>
        <w:rPr>
          <w:noProof/>
        </w:rPr>
        <w:drawing>
          <wp:anchor distT="0" distB="0" distL="114300" distR="114300" simplePos="0" relativeHeight="251897940" behindDoc="0" locked="0" layoutInCell="1" allowOverlap="1" wp14:anchorId="3943B79E" wp14:editId="13907BC6">
            <wp:simplePos x="0" y="0"/>
            <wp:positionH relativeFrom="column">
              <wp:align>center</wp:align>
            </wp:positionH>
            <wp:positionV relativeFrom="paragraph">
              <wp:posOffset>635</wp:posOffset>
            </wp:positionV>
            <wp:extent cx="5623560" cy="1371600"/>
            <wp:effectExtent l="0" t="0" r="0" b="0"/>
            <wp:wrapTopAndBottom/>
            <wp:docPr id="1431405670" name="Diagram 14314056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14:sizeRelH relativeFrom="margin">
              <wp14:pctWidth>0</wp14:pctWidth>
            </wp14:sizeRelH>
          </wp:anchor>
        </w:drawing>
      </w:r>
      <w:r>
        <w:t>Beneficence (Doing Good)</w:t>
      </w:r>
    </w:p>
    <w:p w14:paraId="6F89D773" w14:textId="77777777" w:rsidR="00DE075B" w:rsidRDefault="00DE075B" w:rsidP="0035329C">
      <w:r>
        <w:t>Research should only be carried out if a benefit can be derived, such as contributing to the general body of knowledge or improving a service or treatment. Researchers should always consider whether a project is worth undertaking. If no benefit can be derived, then the project is unethical. For example, a study on the effects of a new teaching method should aim to improve educational outcomes for students.</w:t>
      </w:r>
    </w:p>
    <w:p w14:paraId="2EFF0E4C" w14:textId="77777777" w:rsidR="00DE075B" w:rsidRDefault="00DE075B" w:rsidP="0035329C">
      <w:pPr>
        <w:pStyle w:val="Heading4"/>
      </w:pPr>
      <w:r>
        <w:t>Autonomy (Self-Rule)</w:t>
      </w:r>
    </w:p>
    <w:p w14:paraId="09D44F08" w14:textId="77777777" w:rsidR="00DE075B" w:rsidRDefault="00DE075B" w:rsidP="0035329C">
      <w:r>
        <w:t>Researchers should disclose information at a level that participants can understand, allowing them to intelligently agree or refuse to participate. Autonomy is concerned with the concept of informed consent, whereby people who agree to take part in a study know what they are agreeing to and authorize the researcher to collect information without any form of coercion. For instance, participants in a medical study should be fully informed about the potential risks and benefits before consenting to participate.</w:t>
      </w:r>
    </w:p>
    <w:p w14:paraId="66B8919E" w14:textId="77777777" w:rsidR="00DE075B" w:rsidRDefault="00DE075B" w:rsidP="0035329C">
      <w:pPr>
        <w:pStyle w:val="Heading4"/>
      </w:pPr>
      <w:r>
        <w:t>Nonmaleficence (No Harm)</w:t>
      </w:r>
    </w:p>
    <w:p w14:paraId="51B738E2" w14:textId="77777777" w:rsidR="00DE075B" w:rsidRDefault="00DE075B" w:rsidP="0035329C">
      <w:r>
        <w:t xml:space="preserve">The principle of nonmaleficence obliges researchers to not harm others or expose people to unnecessary risks. Harm can come in many forms, such as blows to self-esteem, "looking bad" to </w:t>
      </w:r>
      <w:r>
        <w:lastRenderedPageBreak/>
        <w:t>others, losing funding or earnings, boredom, frustration, time-wasting, or even physical harm in extreme cases. Researchers should assume that every project may potentially involve some form of harm and consider how to best address it. For example, a study on sensitive topics like mental health should ensure that participants have access to support services if needed.</w:t>
      </w:r>
    </w:p>
    <w:p w14:paraId="1FCE3EFE" w14:textId="77777777" w:rsidR="00DE075B" w:rsidRDefault="00DE075B" w:rsidP="0035329C">
      <w:pPr>
        <w:pStyle w:val="Heading4"/>
      </w:pPr>
      <w:r>
        <w:t>Justice (Fairness)</w:t>
      </w:r>
    </w:p>
    <w:p w14:paraId="46535570" w14:textId="77777777" w:rsidR="00DE075B" w:rsidRDefault="00DE075B" w:rsidP="0035329C">
      <w:r>
        <w:t>This principle implies that everyone should be treated fairly and equally. Researchers should be careful to treat all subjects impartially and without favoritism. While some research projects may intentionally offer treatment to one group and not the other to measure its effectiveness, discrimination among subjects should be minimized as much as possible. For instance, a study on the effectiveness of a new drug should ensure that all participants have equal access to the treatment, regardless of their background.</w:t>
      </w:r>
    </w:p>
    <w:p w14:paraId="03D4BB92" w14:textId="77777777" w:rsidR="00DE075B" w:rsidRDefault="00DE075B" w:rsidP="0035329C">
      <w:pPr>
        <w:pStyle w:val="Heading4"/>
      </w:pPr>
      <w:r>
        <w:t>Veracity (Truth-Telling)</w:t>
      </w:r>
    </w:p>
    <w:p w14:paraId="132C8BFC" w14:textId="77777777" w:rsidR="00DE075B" w:rsidRDefault="00DE075B" w:rsidP="0035329C">
      <w:r>
        <w:t>Veracity is about telling the truth, whereby the researcher must provide comprehensive and accurate information that enhances understanding. For example, if the researcher says a questionnaire will take ten minutes to complete, it should take ten minutes, not twenty. Researchers should always be honest with participants and keep all promises made. This principle builds trust and ensures that participants are not misled or deceived.</w:t>
      </w:r>
    </w:p>
    <w:p w14:paraId="21710129" w14:textId="77777777" w:rsidR="00DE075B" w:rsidRDefault="00DE075B" w:rsidP="0035329C">
      <w:pPr>
        <w:pStyle w:val="Heading4"/>
      </w:pPr>
      <w:r>
        <w:t>Privacy</w:t>
      </w:r>
    </w:p>
    <w:p w14:paraId="07465418" w14:textId="77777777" w:rsidR="00DE075B" w:rsidRDefault="00DE075B" w:rsidP="0035329C">
      <w:r>
        <w:t>Privacy concerns the respect for limited access to another person, be it physically, emotionally, or cognitively. Participants may grant access to their thoughts when they agree to participate in an interview, but they do not agree to unlimited access. They always have the right to decline to talk about certain issues or answer specific questions. Researchers must respect these boundaries and ensure that participants' privacy is protected.</w:t>
      </w:r>
    </w:p>
    <w:p w14:paraId="2B022EA3" w14:textId="77777777" w:rsidR="00DE075B" w:rsidRDefault="00DE075B" w:rsidP="0035329C">
      <w:pPr>
        <w:pStyle w:val="Heading4"/>
      </w:pPr>
      <w:r>
        <w:t>Confidentiality</w:t>
      </w:r>
    </w:p>
    <w:p w14:paraId="2BC13E79" w14:textId="0DC3F198" w:rsidR="00DE075B" w:rsidRDefault="00DE075B" w:rsidP="0035329C">
      <w:r>
        <w:t>Confidentiality is an extension of privacy that relates specifically to the agreement between the researcher and participants about what can and cannot be done with the information collected throughout a project. Even in the absence of legal constraints, information gathered should be protected. For example, if a researcher collects sensitive data about participants' personal lives, they must ensure that this information is kept confidential and not shared with unauthorized parties.</w:t>
      </w:r>
    </w:p>
    <w:p w14:paraId="5327D0BC" w14:textId="77777777" w:rsidR="00A626FE" w:rsidRPr="000E309B" w:rsidRDefault="00D14B33" w:rsidP="00601E03">
      <w:pPr>
        <w:pStyle w:val="Heading4"/>
      </w:pPr>
      <w:r w:rsidRPr="000E309B">
        <w:t>Frequently asked questions</w:t>
      </w:r>
    </w:p>
    <w:p w14:paraId="5CCE2924" w14:textId="77777777" w:rsidR="00F06EF0" w:rsidRPr="00F06EF0" w:rsidRDefault="00F06EF0" w:rsidP="00F06EF0">
      <w:pPr>
        <w:rPr>
          <w:i/>
          <w:iCs/>
        </w:rPr>
      </w:pPr>
      <w:r w:rsidRPr="00F06EF0">
        <w:rPr>
          <w:i/>
          <w:iCs/>
        </w:rPr>
        <w:t>What is meant by informed consent?</w:t>
      </w:r>
    </w:p>
    <w:p w14:paraId="6C0D3B71" w14:textId="77777777" w:rsidR="00F06EF0" w:rsidRDefault="00F06EF0" w:rsidP="00BE1E1D">
      <w:pPr>
        <w:ind w:left="720"/>
      </w:pPr>
      <w:r>
        <w:t xml:space="preserve">Informed consent means that participants are told everything that might occur during a study in a way they can understand. Giving consent implies that a) the agreement to participate is voluntary, free from coercion and undue influence, and b) the person providing the consent is competent to make a rational and mature judgment about taking </w:t>
      </w:r>
      <w:r>
        <w:lastRenderedPageBreak/>
        <w:t>part. If the criteria of being informed and giving consent are met, informed consent is given. For example, if a researcher is conducting a study on the effects of a new drug, they must inform participants about the potential side effects and risks before obtaining their consent.</w:t>
      </w:r>
    </w:p>
    <w:p w14:paraId="055D210F" w14:textId="77777777" w:rsidR="00F06EF0" w:rsidRPr="00BE1E1D" w:rsidRDefault="00F06EF0" w:rsidP="00F06EF0">
      <w:pPr>
        <w:rPr>
          <w:i/>
          <w:iCs/>
        </w:rPr>
      </w:pPr>
      <w:r w:rsidRPr="00BE1E1D">
        <w:rPr>
          <w:i/>
          <w:iCs/>
        </w:rPr>
        <w:t>Does consent have to be in writing?</w:t>
      </w:r>
    </w:p>
    <w:p w14:paraId="60C9E6DB" w14:textId="77777777" w:rsidR="00F06EF0" w:rsidRDefault="00F06EF0" w:rsidP="00BE1E1D">
      <w:pPr>
        <w:ind w:left="720"/>
      </w:pPr>
      <w:r>
        <w:t>It is an excellent practice to have consent in writing, and many Institutional Review Boards (IRBs) will require written consent forms. However, this is not always possible in practice, especially when conducting focus groups or field observations. In such cases, the convention is to go through the consent procedure with the group and video record any objections. For field research, informed consent should be the goal as much as practical. Consent forms with personally identifiable information attached should be stored in a locked container away from other project information to prevent breaches of confidentiality.</w:t>
      </w:r>
    </w:p>
    <w:p w14:paraId="6E0EDA2F" w14:textId="77777777" w:rsidR="00F06EF0" w:rsidRPr="00BE1E1D" w:rsidRDefault="00F06EF0" w:rsidP="00F06EF0">
      <w:pPr>
        <w:rPr>
          <w:i/>
          <w:iCs/>
        </w:rPr>
      </w:pPr>
      <w:r w:rsidRPr="00BE1E1D">
        <w:rPr>
          <w:i/>
          <w:iCs/>
        </w:rPr>
        <w:t>What information should be included on a consent form?</w:t>
      </w:r>
    </w:p>
    <w:p w14:paraId="4AD52AB2" w14:textId="77777777" w:rsidR="00F06EF0" w:rsidRDefault="00F06EF0" w:rsidP="002B553D">
      <w:pPr>
        <w:ind w:left="720"/>
      </w:pPr>
      <w:r>
        <w:t>While there are no strict rules, the following items should generally be included on a consent form:</w:t>
      </w:r>
    </w:p>
    <w:p w14:paraId="4C445F9B" w14:textId="2ED5DD4E" w:rsidR="00F06EF0" w:rsidRDefault="00F06EF0" w:rsidP="002B553D">
      <w:pPr>
        <w:pStyle w:val="ListParagraph"/>
        <w:numPr>
          <w:ilvl w:val="0"/>
          <w:numId w:val="176"/>
        </w:numPr>
      </w:pPr>
      <w:r>
        <w:t>A heading with the title, organization carrying out the research, and the researcher's name</w:t>
      </w:r>
      <w:r w:rsidR="00A92D61">
        <w:t>.</w:t>
      </w:r>
    </w:p>
    <w:p w14:paraId="76149DBD" w14:textId="5D97B281" w:rsidR="00F06EF0" w:rsidRDefault="00F06EF0" w:rsidP="002B553D">
      <w:pPr>
        <w:pStyle w:val="ListParagraph"/>
        <w:numPr>
          <w:ilvl w:val="0"/>
          <w:numId w:val="176"/>
        </w:numPr>
      </w:pPr>
      <w:r>
        <w:t>A statement of agreement to participate</w:t>
      </w:r>
      <w:r w:rsidR="00A92D61">
        <w:t>.</w:t>
      </w:r>
    </w:p>
    <w:p w14:paraId="0FF45319" w14:textId="1FA7EF68" w:rsidR="00F06EF0" w:rsidRDefault="00F06EF0" w:rsidP="002B553D">
      <w:pPr>
        <w:pStyle w:val="ListParagraph"/>
        <w:numPr>
          <w:ilvl w:val="0"/>
          <w:numId w:val="176"/>
        </w:numPr>
      </w:pPr>
      <w:r>
        <w:t>A statement indicating the length of time an activity is likely to take</w:t>
      </w:r>
      <w:r w:rsidR="00A92D61">
        <w:t>.</w:t>
      </w:r>
    </w:p>
    <w:p w14:paraId="2B24AE3D" w14:textId="08983BE1" w:rsidR="00F06EF0" w:rsidRDefault="00F06EF0" w:rsidP="002B553D">
      <w:pPr>
        <w:pStyle w:val="ListParagraph"/>
        <w:numPr>
          <w:ilvl w:val="0"/>
          <w:numId w:val="176"/>
        </w:numPr>
      </w:pPr>
      <w:r>
        <w:t>A statement indicating what will happen to the information collected</w:t>
      </w:r>
      <w:r w:rsidR="00A92D61">
        <w:t>.</w:t>
      </w:r>
    </w:p>
    <w:p w14:paraId="393D30EE" w14:textId="533DEB12" w:rsidR="00F06EF0" w:rsidRDefault="00F06EF0" w:rsidP="002B553D">
      <w:pPr>
        <w:pStyle w:val="ListParagraph"/>
        <w:numPr>
          <w:ilvl w:val="0"/>
          <w:numId w:val="176"/>
        </w:numPr>
      </w:pPr>
      <w:r>
        <w:t>A statement about confidentiality and anonymity</w:t>
      </w:r>
      <w:r w:rsidR="00A92D61">
        <w:t>.</w:t>
      </w:r>
    </w:p>
    <w:p w14:paraId="7B8ADAF9" w14:textId="0970048F" w:rsidR="00F06EF0" w:rsidRDefault="00F06EF0" w:rsidP="002B553D">
      <w:pPr>
        <w:pStyle w:val="ListParagraph"/>
        <w:numPr>
          <w:ilvl w:val="0"/>
          <w:numId w:val="176"/>
        </w:numPr>
      </w:pPr>
      <w:r>
        <w:t>Confirmation that there is no obligation to take part and that participants have the right to withdraw at any time or not answer questions</w:t>
      </w:r>
      <w:r w:rsidR="00A92D61">
        <w:t>.</w:t>
      </w:r>
    </w:p>
    <w:p w14:paraId="18FF6B5C" w14:textId="296B8E75" w:rsidR="00F06EF0" w:rsidRDefault="00F06EF0" w:rsidP="002B553D">
      <w:pPr>
        <w:pStyle w:val="ListParagraph"/>
        <w:numPr>
          <w:ilvl w:val="0"/>
          <w:numId w:val="176"/>
        </w:numPr>
      </w:pPr>
      <w:r>
        <w:t>Signatures and date</w:t>
      </w:r>
      <w:r w:rsidR="00A92D61">
        <w:t>.</w:t>
      </w:r>
    </w:p>
    <w:p w14:paraId="19C6674A" w14:textId="77777777" w:rsidR="00F06EF0" w:rsidRDefault="00F06EF0" w:rsidP="002B553D">
      <w:pPr>
        <w:ind w:left="720"/>
      </w:pPr>
      <w:r>
        <w:t>Optional statements that may be included:</w:t>
      </w:r>
    </w:p>
    <w:p w14:paraId="0CD461D8" w14:textId="1E44F44D" w:rsidR="00F06EF0" w:rsidRDefault="00F06EF0" w:rsidP="002B553D">
      <w:pPr>
        <w:pStyle w:val="ListParagraph"/>
        <w:numPr>
          <w:ilvl w:val="0"/>
          <w:numId w:val="177"/>
        </w:numPr>
      </w:pPr>
      <w:r>
        <w:t>A statement that the use of recording equipment has been explained</w:t>
      </w:r>
      <w:r w:rsidR="00A92D61">
        <w:t>.</w:t>
      </w:r>
    </w:p>
    <w:p w14:paraId="4ABA55FD" w14:textId="565CE0A0" w:rsidR="00F06EF0" w:rsidRDefault="00F06EF0" w:rsidP="002B553D">
      <w:pPr>
        <w:pStyle w:val="ListParagraph"/>
        <w:numPr>
          <w:ilvl w:val="0"/>
          <w:numId w:val="177"/>
        </w:numPr>
      </w:pPr>
      <w:r>
        <w:t>A statement that a leaflet has been provided and that the information has been read and understood</w:t>
      </w:r>
      <w:r w:rsidR="00A92D61">
        <w:t>.</w:t>
      </w:r>
    </w:p>
    <w:p w14:paraId="69819F6D" w14:textId="44222BDF" w:rsidR="00F06EF0" w:rsidRDefault="00F06EF0" w:rsidP="002B553D">
      <w:pPr>
        <w:pStyle w:val="ListParagraph"/>
        <w:numPr>
          <w:ilvl w:val="0"/>
          <w:numId w:val="177"/>
        </w:numPr>
      </w:pPr>
      <w:r>
        <w:t>A statement that permission has been granted to contact participants in the future if necessary</w:t>
      </w:r>
      <w:r w:rsidR="00A92D61">
        <w:t>.</w:t>
      </w:r>
    </w:p>
    <w:p w14:paraId="2CCE149B" w14:textId="56D0BB4D" w:rsidR="00F06EF0" w:rsidRDefault="00F06EF0" w:rsidP="002B553D">
      <w:pPr>
        <w:pStyle w:val="ListParagraph"/>
        <w:numPr>
          <w:ilvl w:val="0"/>
          <w:numId w:val="177"/>
        </w:numPr>
      </w:pPr>
      <w:r>
        <w:t>A statement indicating whether permission has been granted for participants' names and contact information to be added to a database</w:t>
      </w:r>
      <w:r w:rsidR="00E36DF1">
        <w:t>.</w:t>
      </w:r>
    </w:p>
    <w:p w14:paraId="5327D0D0" w14:textId="65AE6EE1" w:rsidR="00A626FE" w:rsidRDefault="00F06EF0" w:rsidP="00AB772A">
      <w:pPr>
        <w:ind w:left="720"/>
      </w:pPr>
      <w:r>
        <w:t xml:space="preserve">For instance, a consent form for a study on the experiences of college students during the COVID-19 pandemic might include the study's title, the university conducting the research, </w:t>
      </w:r>
      <w:r>
        <w:lastRenderedPageBreak/>
        <w:t>the researcher's name, a statement agreeing to participate in a 60-minute interview, information about how the data will be used and stored, assurances of confidentiality, and a reminder that participation is voluntary and can be withdrawn at any time.</w:t>
      </w:r>
    </w:p>
    <w:p w14:paraId="00625E29" w14:textId="77777777" w:rsidR="00B33B87" w:rsidRPr="000E309B" w:rsidRDefault="00B33B87" w:rsidP="00B33B87">
      <w:pPr>
        <w:pStyle w:val="Heading3"/>
      </w:pPr>
      <w:bookmarkStart w:id="41" w:name="_Toc169156697"/>
      <w:r>
        <w:t>R</w:t>
      </w:r>
      <w:r w:rsidRPr="000E309B">
        <w:t xml:space="preserve">esearch with </w:t>
      </w:r>
      <w:r>
        <w:t>C</w:t>
      </w:r>
      <w:r w:rsidRPr="000E309B">
        <w:t xml:space="preserve">hildren and </w:t>
      </w:r>
      <w:r>
        <w:t>Y</w:t>
      </w:r>
      <w:r w:rsidRPr="000E309B">
        <w:t xml:space="preserve">oung </w:t>
      </w:r>
      <w:r>
        <w:t>P</w:t>
      </w:r>
      <w:r w:rsidRPr="000E309B">
        <w:t>eople</w:t>
      </w:r>
      <w:bookmarkEnd w:id="41"/>
    </w:p>
    <w:p w14:paraId="58C30663" w14:textId="5A33E4A4" w:rsidR="00B33B87" w:rsidRPr="000E309B" w:rsidRDefault="00B558DD" w:rsidP="00B33B87">
      <w:pPr>
        <w:pStyle w:val="Heading4"/>
      </w:pPr>
      <w:r>
        <w:rPr>
          <w:noProof/>
        </w:rPr>
        <w:drawing>
          <wp:anchor distT="0" distB="0" distL="114300" distR="114300" simplePos="0" relativeHeight="251658270" behindDoc="0" locked="0" layoutInCell="1" allowOverlap="1" wp14:anchorId="2AEB0853" wp14:editId="1CDD8FF3">
            <wp:simplePos x="0" y="0"/>
            <wp:positionH relativeFrom="column">
              <wp:align>right</wp:align>
            </wp:positionH>
            <wp:positionV relativeFrom="paragraph">
              <wp:posOffset>0</wp:posOffset>
            </wp:positionV>
            <wp:extent cx="1737360" cy="173736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37360" cy="1737360"/>
                    </a:xfrm>
                    <a:prstGeom prst="rect">
                      <a:avLst/>
                    </a:prstGeom>
                  </pic:spPr>
                </pic:pic>
              </a:graphicData>
            </a:graphic>
            <wp14:sizeRelH relativeFrom="margin">
              <wp14:pctWidth>0</wp14:pctWidth>
            </wp14:sizeRelH>
            <wp14:sizeRelV relativeFrom="margin">
              <wp14:pctHeight>0</wp14:pctHeight>
            </wp14:sizeRelV>
          </wp:anchor>
        </w:drawing>
      </w:r>
      <w:r w:rsidR="00B33B87" w:rsidRPr="000E309B">
        <w:t>Introduction</w:t>
      </w:r>
    </w:p>
    <w:p w14:paraId="2B5CD56F" w14:textId="324C83EB" w:rsidR="00364DCE" w:rsidRPr="00364DCE" w:rsidRDefault="00364DCE" w:rsidP="00364DCE">
      <w:r w:rsidRPr="00364DCE">
        <w:t>When a research project involves children and young people, more time, consideration, and planning are required compared to adult respondents. This section provides a brief overview of some of the specific issues that need to be considered</w:t>
      </w:r>
      <w:r w:rsidR="009D4DC4">
        <w:rPr>
          <w:rStyle w:val="FootnoteReference"/>
        </w:rPr>
        <w:footnoteReference w:id="3"/>
      </w:r>
      <w:r w:rsidRPr="00364DCE">
        <w:t>.</w:t>
      </w:r>
    </w:p>
    <w:p w14:paraId="4684CF15" w14:textId="77777777" w:rsidR="00E40762" w:rsidRDefault="00E40762" w:rsidP="002E19FE">
      <w:pPr>
        <w:pStyle w:val="Heading4"/>
      </w:pPr>
      <w:r>
        <w:t>Defining Children and Young People</w:t>
      </w:r>
    </w:p>
    <w:p w14:paraId="70093311" w14:textId="48EC0FCC" w:rsidR="00E40762" w:rsidRDefault="00E40762" w:rsidP="00E40762">
      <w:r>
        <w:t>The Office for Human Research Protections of the US Department of Health &amp; Human Services defines children as "persons who have not attained the legal age for consent to treatments or procedures involved in the research, under the applicable law of the jurisdiction in which the research will be conducted. Generally, the law considers any person under 18 years old to be a child."</w:t>
      </w:r>
      <w:r w:rsidR="00952629">
        <w:t xml:space="preserve"> </w:t>
      </w:r>
      <w:r w:rsidR="00952629">
        <w:fldChar w:fldCharType="begin"/>
      </w:r>
      <w:r w:rsidR="007C07B4">
        <w:instrText xml:space="preserve"> ADDIN ZOTERO_ITEM CSL_CITATION {"citationID":"a2an53d008n","properties":{"formattedCitation":"[41]","plainCitation":"[41]","noteIndex":0},"citationItems":[{"id":49,"uris":["http://zotero.org/users/5015692/items/GFYUIR46"],"itemData":{"id":49,"type":"webpage","title":"Protection of Human Subjects","URL":"https://www.ecfr.gov/cgi-bin/retrieveECFR?gp=&amp;SID=83cd09e1c0f5c6937cd9d7513160fc3f&amp;pitd=20180719&amp;n=pt45.1.46&amp;r=PART&amp;ty=HTML","author":[{"family":"Human","given":"U. S. Government Department","dropping-particle":"of"},{"family":"Services","given":"Health"}],"accessed":{"date-parts":[["2018",12,18]]},"issued":{"date-parts":[["2018"]]}}}],"schema":"https://github.com/citation-style-language/schema/raw/master/csl-citation.json"} </w:instrText>
      </w:r>
      <w:r w:rsidR="00952629">
        <w:fldChar w:fldCharType="separate"/>
      </w:r>
      <w:r w:rsidR="007C07B4" w:rsidRPr="007C07B4">
        <w:t>[41]</w:t>
      </w:r>
      <w:r w:rsidR="00952629">
        <w:fldChar w:fldCharType="end"/>
      </w:r>
    </w:p>
    <w:p w14:paraId="090B145F" w14:textId="77777777" w:rsidR="00E40762" w:rsidRDefault="00E40762" w:rsidP="008C736B">
      <w:pPr>
        <w:pStyle w:val="Heading4"/>
      </w:pPr>
      <w:r>
        <w:t>Is There a Minimum Age for Conducting Research?</w:t>
      </w:r>
    </w:p>
    <w:p w14:paraId="09193950" w14:textId="77777777" w:rsidR="00E40762" w:rsidRDefault="00E40762" w:rsidP="00E40762">
      <w:r>
        <w:t>While the US Department of Health &amp; Human Services does not specify a minimum age, researching with very young children should be avoided and should not be undertaken by a non-specialist.</w:t>
      </w:r>
    </w:p>
    <w:p w14:paraId="664A85C1" w14:textId="77777777" w:rsidR="00E40762" w:rsidRDefault="00E40762" w:rsidP="008C736B">
      <w:pPr>
        <w:pStyle w:val="Heading4"/>
      </w:pPr>
      <w:r>
        <w:t>Recruiting Children and Young People for Research</w:t>
      </w:r>
    </w:p>
    <w:p w14:paraId="53FA25F0" w14:textId="77777777" w:rsidR="00E40762" w:rsidRDefault="00E40762" w:rsidP="00E40762">
      <w:r>
        <w:t>Recruitment of children and young people to participate in research almost always needs to be done via a "gatekeeper," usually a responsible adult who is responsible for protecting the child/young person's safety and welfare at the time of the research. Gatekeepers can vary in different contexts but may include parents, teachers, caregivers, or youth workers. It is crucial to consult and involve gatekeepers during the planning stages of any research project, as they will usually be the ones who provide the initial consent to approach children/young people to take part.</w:t>
      </w:r>
    </w:p>
    <w:p w14:paraId="73317095" w14:textId="77777777" w:rsidR="00E40762" w:rsidRDefault="00E40762" w:rsidP="00730E53">
      <w:pPr>
        <w:pStyle w:val="Heading4"/>
      </w:pPr>
      <w:r>
        <w:t>Gaining Consent</w:t>
      </w:r>
    </w:p>
    <w:p w14:paraId="4AB8F6EB" w14:textId="77777777" w:rsidR="00E40762" w:rsidRDefault="00E40762" w:rsidP="00E40762">
      <w:r>
        <w:t>In general, children under 18 must not be consulted without a parent, guardian, or responsible adult. If the research is being conducted within a school environment, it is suggested that consent is sought from both parents/guardians and a teacher or other responsible adult at the school.</w:t>
      </w:r>
    </w:p>
    <w:p w14:paraId="627AAA2E" w14:textId="77777777" w:rsidR="00E40762" w:rsidRDefault="00E40762" w:rsidP="00730E53">
      <w:r>
        <w:t>Consent is a two-stage process:</w:t>
      </w:r>
    </w:p>
    <w:p w14:paraId="1CC8740B" w14:textId="77777777" w:rsidR="00E40762" w:rsidRDefault="00E40762" w:rsidP="00F20F83">
      <w:pPr>
        <w:pStyle w:val="ListParagraph"/>
        <w:numPr>
          <w:ilvl w:val="0"/>
          <w:numId w:val="178"/>
        </w:numPr>
      </w:pPr>
      <w:r>
        <w:t>The responsible adult must consent to approach potential participants.</w:t>
      </w:r>
    </w:p>
    <w:p w14:paraId="51189B71" w14:textId="77777777" w:rsidR="00E40762" w:rsidRDefault="00E40762" w:rsidP="00F20F83">
      <w:pPr>
        <w:pStyle w:val="ListParagraph"/>
        <w:numPr>
          <w:ilvl w:val="0"/>
          <w:numId w:val="178"/>
        </w:numPr>
      </w:pPr>
      <w:r>
        <w:lastRenderedPageBreak/>
        <w:t>The child/young person must consent to participate in the research and have the right to decline if they wish.</w:t>
      </w:r>
    </w:p>
    <w:p w14:paraId="381028E6" w14:textId="77777777" w:rsidR="00E40762" w:rsidRDefault="00E40762" w:rsidP="00F20F83">
      <w:pPr>
        <w:pStyle w:val="Heading4"/>
      </w:pPr>
      <w:r>
        <w:t>Informed Consent</w:t>
      </w:r>
    </w:p>
    <w:p w14:paraId="5EFDDA24" w14:textId="45324FD0" w:rsidR="00E40762" w:rsidRDefault="00E40762" w:rsidP="00E40762">
      <w:r>
        <w:t xml:space="preserve">It is essential to introduce the purpose and aims of the research clearly to ensure that both responsible adults and children/young people can give their informed consent to take part. This introductory information should be in writing wherever </w:t>
      </w:r>
      <w:r w:rsidR="00F20F83">
        <w:t>possible and</w:t>
      </w:r>
      <w:r>
        <w:t xml:space="preserve"> contact details for the person undertaking the research should always be provided.</w:t>
      </w:r>
    </w:p>
    <w:p w14:paraId="4EBEF115" w14:textId="77777777" w:rsidR="00E40762" w:rsidRDefault="00E40762" w:rsidP="00E40762">
      <w:r>
        <w:t>While written consent is not always essential, it is often advisable to create an audit trail, especially if the subject matter is potentially sensitive. The name, relationship, and role (e.g., parent) of the responsible adult giving consent should always be recorded in writing.</w:t>
      </w:r>
    </w:p>
    <w:p w14:paraId="6972D6D8" w14:textId="77777777" w:rsidR="00E40762" w:rsidRDefault="00E40762" w:rsidP="00F20F83">
      <w:pPr>
        <w:pStyle w:val="Heading4"/>
      </w:pPr>
      <w:r>
        <w:t>Different Scenarios</w:t>
      </w:r>
    </w:p>
    <w:p w14:paraId="6F87D4A7" w14:textId="77777777" w:rsidR="00E40762" w:rsidRDefault="00E40762" w:rsidP="00246D36">
      <w:pPr>
        <w:pStyle w:val="ListParagraph"/>
        <w:numPr>
          <w:ilvl w:val="0"/>
          <w:numId w:val="179"/>
        </w:numPr>
      </w:pPr>
      <w:r>
        <w:t>Postal questionnaires: These should be sent to the responsible adult first, not the child. Space should be provided for the responsible adult to sign that they have given their consent for the child to complete the questionnaire.</w:t>
      </w:r>
    </w:p>
    <w:p w14:paraId="48F5EEFF" w14:textId="77777777" w:rsidR="00E40762" w:rsidRDefault="00E40762" w:rsidP="00246D36">
      <w:pPr>
        <w:pStyle w:val="ListParagraph"/>
        <w:numPr>
          <w:ilvl w:val="0"/>
          <w:numId w:val="179"/>
        </w:numPr>
      </w:pPr>
      <w:r>
        <w:t>Telephone interviews: The responsible adult's consent may be obtained verbally, but a written record should be retained and sent to the responsible adult upon request.</w:t>
      </w:r>
    </w:p>
    <w:p w14:paraId="1DDE8EDF" w14:textId="77777777" w:rsidR="00E40762" w:rsidRDefault="00E40762" w:rsidP="00246D36">
      <w:pPr>
        <w:pStyle w:val="ListParagraph"/>
        <w:numPr>
          <w:ilvl w:val="0"/>
          <w:numId w:val="179"/>
        </w:numPr>
      </w:pPr>
      <w:r>
        <w:t>Qualitative research: Written consent forms should be issued to parents/guardians at the recruitment stage, asking permission to invite their children to participate.</w:t>
      </w:r>
    </w:p>
    <w:p w14:paraId="7E1BB981" w14:textId="77777777" w:rsidR="00E40762" w:rsidRDefault="00E40762" w:rsidP="00246D36">
      <w:pPr>
        <w:pStyle w:val="ListParagraph"/>
        <w:numPr>
          <w:ilvl w:val="0"/>
          <w:numId w:val="179"/>
        </w:numPr>
      </w:pPr>
      <w:r>
        <w:t>Online research: A notice explaining that consent is required must be posted along with the procedure for obtaining consent. Consent should be verified by letter or phone if provided via email. Respondents should be asked to give their age before providing any other personal information. If the age given is under 18, they must be excluded from providing further information until appropriate consent has been obtained.</w:t>
      </w:r>
    </w:p>
    <w:p w14:paraId="08A8886C" w14:textId="77777777" w:rsidR="00E40762" w:rsidRDefault="00E40762" w:rsidP="00246D36">
      <w:pPr>
        <w:pStyle w:val="Heading4"/>
      </w:pPr>
      <w:r>
        <w:t>Additional Considerations</w:t>
      </w:r>
    </w:p>
    <w:p w14:paraId="6DBC477F" w14:textId="77777777" w:rsidR="00E40762" w:rsidRDefault="00E40762" w:rsidP="00246D36">
      <w:pPr>
        <w:pStyle w:val="ListParagraph"/>
        <w:numPr>
          <w:ilvl w:val="0"/>
          <w:numId w:val="180"/>
        </w:numPr>
      </w:pPr>
      <w:r>
        <w:t>Subject matter: Extra care must be taken when consulting over sensitive or potentially contentious topics, such as race, religion, or alcohol/drug use.</w:t>
      </w:r>
    </w:p>
    <w:p w14:paraId="6B0FBB5C" w14:textId="77777777" w:rsidR="00E40762" w:rsidRDefault="00E40762" w:rsidP="00246D36">
      <w:pPr>
        <w:pStyle w:val="ListParagraph"/>
        <w:numPr>
          <w:ilvl w:val="0"/>
          <w:numId w:val="180"/>
        </w:numPr>
      </w:pPr>
      <w:r>
        <w:t>Questionnaire design: The content should be appropriate to the age of respondents and relevant to their experience. The language used should be easy to understand but not patronizing.</w:t>
      </w:r>
    </w:p>
    <w:p w14:paraId="5593ABBC" w14:textId="77777777" w:rsidR="00E40762" w:rsidRDefault="00E40762" w:rsidP="00246D36">
      <w:pPr>
        <w:pStyle w:val="ListParagraph"/>
        <w:numPr>
          <w:ilvl w:val="0"/>
          <w:numId w:val="180"/>
        </w:numPr>
      </w:pPr>
      <w:r>
        <w:t>Qualitative methods: Group-based activities can encourage participation and promote discussion, and the presence of peers may put people at ease. One-to-one interviews are not recommended for young children but can work well with teenagers. "Friendship pair" interviews can be another helpful technique.</w:t>
      </w:r>
    </w:p>
    <w:p w14:paraId="1D303A1E" w14:textId="77777777" w:rsidR="00E40762" w:rsidRDefault="00E40762" w:rsidP="00246D36">
      <w:pPr>
        <w:pStyle w:val="ListParagraph"/>
        <w:numPr>
          <w:ilvl w:val="0"/>
          <w:numId w:val="180"/>
        </w:numPr>
      </w:pPr>
      <w:r>
        <w:t>Venue: Research should only be conducted in safe and appropriate environments where children/young people feel comfortable.</w:t>
      </w:r>
    </w:p>
    <w:p w14:paraId="5E325D2D" w14:textId="77777777" w:rsidR="00E40762" w:rsidRDefault="00E40762" w:rsidP="00246D36">
      <w:pPr>
        <w:pStyle w:val="ListParagraph"/>
        <w:numPr>
          <w:ilvl w:val="0"/>
          <w:numId w:val="180"/>
        </w:numPr>
      </w:pPr>
      <w:r>
        <w:lastRenderedPageBreak/>
        <w:t>Personal safety: Precautions must be taken to ensure that research does not harm or adversely affect participants. To protect children, interviewers who will contact them should be checked against information held by law authorities.</w:t>
      </w:r>
    </w:p>
    <w:p w14:paraId="4D2D5DBD" w14:textId="77777777" w:rsidR="00E40762" w:rsidRDefault="00E40762" w:rsidP="00246D36">
      <w:pPr>
        <w:pStyle w:val="ListParagraph"/>
        <w:numPr>
          <w:ilvl w:val="0"/>
          <w:numId w:val="180"/>
        </w:numPr>
      </w:pPr>
      <w:r>
        <w:t>Incentives: Any incentives used should be suitable for the age of the child/young person and appropriate to the task required.</w:t>
      </w:r>
    </w:p>
    <w:p w14:paraId="6072060F" w14:textId="77777777" w:rsidR="00E40762" w:rsidRDefault="00E40762" w:rsidP="00246D36">
      <w:pPr>
        <w:pStyle w:val="ListParagraph"/>
        <w:numPr>
          <w:ilvl w:val="0"/>
          <w:numId w:val="180"/>
        </w:numPr>
      </w:pPr>
      <w:r>
        <w:t>Feedback: As with all research, the results must be fed back to participants. Asking for feedback on the findings and their experience of being consulted might also help improve engaging children/young people in the future.</w:t>
      </w:r>
    </w:p>
    <w:p w14:paraId="115F4498" w14:textId="77777777" w:rsidR="00E40762" w:rsidRDefault="00E40762" w:rsidP="00246D36">
      <w:pPr>
        <w:pStyle w:val="Heading4"/>
      </w:pPr>
      <w:r>
        <w:t>Commissioning a Specialist</w:t>
      </w:r>
    </w:p>
    <w:p w14:paraId="0ED73837" w14:textId="77777777" w:rsidR="00E40762" w:rsidRDefault="00E40762" w:rsidP="00E40762">
      <w:r>
        <w:t>Since research with children and young people requires specialized approaches, it is often advisable to commission someone with the appropriate expertise in this area to carry out the work.</w:t>
      </w:r>
    </w:p>
    <w:p w14:paraId="5FFE28BF" w14:textId="77777777" w:rsidR="00E40762" w:rsidRDefault="00E40762" w:rsidP="0040159D">
      <w:pPr>
        <w:pStyle w:val="Heading4"/>
      </w:pPr>
      <w:r>
        <w:t>Involving Children/Young People</w:t>
      </w:r>
    </w:p>
    <w:p w14:paraId="346DFED4" w14:textId="77777777" w:rsidR="00E40762" w:rsidRDefault="00E40762" w:rsidP="00E40762">
      <w:r>
        <w:t>Experts on involving children/young people in research projects offer these recommendations:</w:t>
      </w:r>
    </w:p>
    <w:p w14:paraId="7A9418E9" w14:textId="77777777" w:rsidR="00E40762" w:rsidRDefault="00E40762" w:rsidP="0040159D">
      <w:pPr>
        <w:pStyle w:val="ListParagraph"/>
        <w:numPr>
          <w:ilvl w:val="0"/>
          <w:numId w:val="181"/>
        </w:numPr>
      </w:pPr>
      <w:r>
        <w:t>Work with a wide range of approaches.</w:t>
      </w:r>
    </w:p>
    <w:p w14:paraId="1E8C8B52" w14:textId="77777777" w:rsidR="00E40762" w:rsidRDefault="00E40762" w:rsidP="0040159D">
      <w:pPr>
        <w:pStyle w:val="ListParagraph"/>
        <w:numPr>
          <w:ilvl w:val="0"/>
          <w:numId w:val="181"/>
        </w:numPr>
      </w:pPr>
      <w:r>
        <w:t>Avoid creating an "elite" group who are assumed to represent children/young people on every issue.</w:t>
      </w:r>
    </w:p>
    <w:p w14:paraId="10C99931" w14:textId="77777777" w:rsidR="00E40762" w:rsidRDefault="00E40762" w:rsidP="0040159D">
      <w:pPr>
        <w:pStyle w:val="ListParagraph"/>
        <w:numPr>
          <w:ilvl w:val="0"/>
          <w:numId w:val="181"/>
        </w:numPr>
      </w:pPr>
      <w:r>
        <w:t>Meet children/young people on their territory, at times they choose, and in ways that make sense to them.</w:t>
      </w:r>
    </w:p>
    <w:p w14:paraId="21069C75" w14:textId="77777777" w:rsidR="00E40762" w:rsidRDefault="00E40762" w:rsidP="0040159D">
      <w:pPr>
        <w:pStyle w:val="ListParagraph"/>
        <w:numPr>
          <w:ilvl w:val="0"/>
          <w:numId w:val="181"/>
        </w:numPr>
      </w:pPr>
      <w:r>
        <w:t>Give children/young people the chance to influence both the answers and the questions.</w:t>
      </w:r>
    </w:p>
    <w:p w14:paraId="15ACFC10" w14:textId="77777777" w:rsidR="00E40762" w:rsidRDefault="00E40762" w:rsidP="0040159D">
      <w:pPr>
        <w:pStyle w:val="ListParagraph"/>
        <w:numPr>
          <w:ilvl w:val="0"/>
          <w:numId w:val="181"/>
        </w:numPr>
      </w:pPr>
      <w:r>
        <w:t>Understand that children/young people are the experts on involving themselves and take their evaluation seriously.</w:t>
      </w:r>
    </w:p>
    <w:p w14:paraId="284EB733" w14:textId="77777777" w:rsidR="00E40762" w:rsidRDefault="00E40762" w:rsidP="0040159D">
      <w:pPr>
        <w:pStyle w:val="ListParagraph"/>
        <w:numPr>
          <w:ilvl w:val="0"/>
          <w:numId w:val="181"/>
        </w:numPr>
      </w:pPr>
      <w:r>
        <w:t>Provide opportunities for enjoyment and the chance to build relationships.</w:t>
      </w:r>
    </w:p>
    <w:p w14:paraId="6ED6DAA5" w14:textId="77777777" w:rsidR="00E40762" w:rsidRDefault="00E40762" w:rsidP="0040159D">
      <w:pPr>
        <w:pStyle w:val="ListParagraph"/>
        <w:numPr>
          <w:ilvl w:val="0"/>
          <w:numId w:val="181"/>
        </w:numPr>
      </w:pPr>
      <w:r>
        <w:t>Guarantee a feedback loop.</w:t>
      </w:r>
    </w:p>
    <w:p w14:paraId="56427F93" w14:textId="1EF16F6B" w:rsidR="00D714B2" w:rsidRDefault="00E40762" w:rsidP="00E40762">
      <w:r>
        <w:t xml:space="preserve">For example, if a researcher wants to study the impact of social media on the mental health of teenagers, they </w:t>
      </w:r>
      <w:r w:rsidR="0040159D">
        <w:t>will</w:t>
      </w:r>
      <w:r>
        <w:t xml:space="preserve"> need to obtain consent from both the teenagers and their parents or guardians. The researcher should work with the teenagers to design the study in a way that is engaging and meaningful to them, such as using social media platforms they are familiar with. The researcher should also ensure that the study is conducted in a safe and comfortable environment and that the teenagers are provided with resources and support if needed.</w:t>
      </w:r>
    </w:p>
    <w:p w14:paraId="3FC50D3C" w14:textId="2C8BD753" w:rsidR="00D13EB5" w:rsidRDefault="00D13EB5" w:rsidP="00D13EB5">
      <w:pPr>
        <w:pStyle w:val="Heading3"/>
      </w:pPr>
      <w:bookmarkStart w:id="42" w:name="_Toc169156698"/>
      <w:r>
        <w:t>Research with Vulnerable Populations</w:t>
      </w:r>
      <w:bookmarkEnd w:id="42"/>
    </w:p>
    <w:p w14:paraId="0AA81F1C" w14:textId="77777777" w:rsidR="001D598C" w:rsidRDefault="001D598C" w:rsidP="001D598C">
      <w:r>
        <w:t>Research involving vulnerable populations requires special ethical considerations to ensure that these individuals are protected from exploitation, coercion, or harm. Vulnerable populations are those who may be more susceptible to undue influence or pressure to participate in research due to their age, disability, socioeconomic status, or other factors that may limit their autonomy or decision-making capacity. Examples of vulnerable populations include children, prisoners, individuals with mental illness or cognitive impairments, and economically or educationally disadvantaged persons.</w:t>
      </w:r>
    </w:p>
    <w:p w14:paraId="6EBE3A67" w14:textId="77777777" w:rsidR="001D598C" w:rsidRDefault="001D598C" w:rsidP="001D598C">
      <w:r>
        <w:lastRenderedPageBreak/>
        <w:t>One of the primary ethical considerations in research with vulnerable populations is ensuring that their participation is truly voluntary and informed. Researchers must take extra care to ensure that vulnerable individuals understand the research process, its risks and benefits, and their right to refuse participation or withdraw at any time without penalty. This may require using simple language, visual aids, or other accommodations to ensure that informed consent is meaningful and accessible. Researchers must also be vigilant about the potential for coercion or undue influence, such as when research participation is tied to access to needed services or benefits.</w:t>
      </w:r>
    </w:p>
    <w:p w14:paraId="12D37B54" w14:textId="77777777" w:rsidR="001D598C" w:rsidRDefault="001D598C" w:rsidP="001D598C">
      <w:r>
        <w:t>Another ethical consideration is minimizing the risks and maximizing the benefits of research participation for vulnerable populations. Researchers must carefully weigh the potential harms and benefits of their study and ensure that the risks are justified by the expected benefits to society or to the participants themselves. This may require using alternative research designs or methods that are less invasive or burdensome, or providing additional safeguards or supports to protect participants' well-being. Researchers must also be prepared to respond promptly and appropriately to any signs of distress or adverse effects among participants.</w:t>
      </w:r>
    </w:p>
    <w:p w14:paraId="562F0D5F" w14:textId="77777777" w:rsidR="001D598C" w:rsidRDefault="001D598C" w:rsidP="001D598C">
      <w:r>
        <w:t>A third ethical consideration is ensuring that research with vulnerable populations is conducted in a way that is respectful and sensitive to their unique needs and perspectives. Researchers must be aware of and responsive to the cultural, social, and historical contexts that shape vulnerable individuals' experiences and identities. This may require collaborating with community partners or advocates, involving participants in the research process, or adapting research methods to be more culturally relevant or appropriate. Researchers must also be mindful of the power dynamics inherent in research relationships and take steps to minimize the potential for exploitation or abuse.</w:t>
      </w:r>
    </w:p>
    <w:p w14:paraId="6620D6C4" w14:textId="77777777" w:rsidR="001D598C" w:rsidRDefault="001D598C" w:rsidP="001D598C">
      <w:r>
        <w:t>For example, consider a researcher who wants to study the experiences of homeless individuals with mental illness. To conduct this research ethically, the researcher would need to take extra care to ensure that participants understand the study's purpose and their rights as research subjects, perhaps by using visual aids or having a trusted community member present during the informed consent process. The researcher would also need to minimize the risks of participation, such as by conducting interviews in a safe and private location and providing referrals to mental health services as needed. The researcher would need to be sensitive to the unique challenges and stigma faced by homeless individuals with mental illness and take steps to build trust and rapport with participants. Finally, the researcher would need to ensure that the study's findings are used to benefit the population studied, such as by advocating for improved services or policies to address their needs.</w:t>
      </w:r>
    </w:p>
    <w:p w14:paraId="14DC1491" w14:textId="77777777" w:rsidR="001D598C" w:rsidRDefault="001D598C" w:rsidP="001D598C">
      <w:r>
        <w:t xml:space="preserve">Another example of research with vulnerable populations is research involving children. Children are considered a vulnerable population because they may not fully understand the risks and benefits of research participation and may be more susceptible to pressure from parents, teachers, or other authority figures. To conduct research with children ethically, researchers must obtain informed consent from both the child and their parent or guardian, using age-appropriate </w:t>
      </w:r>
      <w:r>
        <w:lastRenderedPageBreak/>
        <w:t>language and methods. Researchers must also minimize the risks of participation, such as by using non-invasive methods or providing appropriate supervision and support. Researchers must be sensitive to children's developmental needs and abilities and ensure that their participation is voluntary and not unduly disruptive to their daily lives. Finally, researchers must ensure that the study's findings are used to benefit children and their families, such as by informing policies or practices that promote child health and well-being.</w:t>
      </w:r>
    </w:p>
    <w:p w14:paraId="71112A16" w14:textId="5A0DBFB6" w:rsidR="007B7140" w:rsidRDefault="001D598C" w:rsidP="001D598C">
      <w:r>
        <w:t>In conclusion, research with vulnerable populations requires a heightened level of ethical consideration and responsibility. By ensuring that participation is voluntary and informed, minimizing risks and maximizing benefits, and conducting research in a respectful and sensitive manner, researchers can help to protect the rights and well-being of vulnerable individuals while still advancing scientific knowledge and understanding. As aspiring researchers, it is our duty to prioritize the ethical conduct of research with all populations, but especially those who may be most vulnerable to harm or exploitation.</w:t>
      </w:r>
      <w:r w:rsidR="007B7140">
        <w:t xml:space="preserve"> </w:t>
      </w:r>
    </w:p>
    <w:p w14:paraId="6E8A4199" w14:textId="5090B5B8" w:rsidR="00904DBC" w:rsidRDefault="00904DBC" w:rsidP="00904DBC">
      <w:pPr>
        <w:pStyle w:val="Heading3"/>
      </w:pPr>
      <w:bookmarkStart w:id="43" w:name="_Toc169156699"/>
      <w:r>
        <w:t>Ethical Considerations in Online Research</w:t>
      </w:r>
      <w:bookmarkEnd w:id="43"/>
    </w:p>
    <w:p w14:paraId="5554FEE1" w14:textId="77777777" w:rsidR="001A6C45" w:rsidRDefault="001A6C45" w:rsidP="001A6C45">
      <w:r>
        <w:t>In recent years, the internet has become an increasingly important tool for conducting research. Online platforms, such as social media, forums, and virtual communities, offer researchers access to vast amounts of data and the ability to reach diverse populations quickly and easily. However, this new frontier of research also presents unique ethical challenges that researchers must navigate carefully to ensure the protection of participants' rights and the integrity of their research.</w:t>
      </w:r>
    </w:p>
    <w:p w14:paraId="38C2CEF6" w14:textId="77777777" w:rsidR="001A6C45" w:rsidRDefault="001A6C45" w:rsidP="001A6C45">
      <w:r>
        <w:t>One of the primary ethical considerations in online research is ensuring informed consent. In traditional research settings, obtaining informed consent typically involves providing participants with a written document that outlines the study's purpose, procedures, risks, and benefits, and obtaining their signature as proof of their voluntary agreement to participate. However, in online research, obtaining informed consent can be more challenging. Participants may be less likely to read lengthy consent forms online, and there may be no way to verify their identity or age. Researchers must find ways to present informed consent information clearly and concisely and may need to use alternative methods, such as click-through agreements or video consent, to ensure that participants fully understand and agree to the study's terms.</w:t>
      </w:r>
    </w:p>
    <w:p w14:paraId="248A8950" w14:textId="77777777" w:rsidR="001A6C45" w:rsidRDefault="001A6C45" w:rsidP="001A6C45">
      <w:r>
        <w:t>Another ethical challenge in online research is protecting participants' privacy and confidentiality. Online data, such as social media posts or forum discussions, may be publicly available, but that does not necessarily mean that individuals have consented to have their data used for research purposes. Researchers must carefully consider the expectations of privacy in different online contexts and take steps to protect participants' identities and personal information. This may involve using pseudonyms or aggregating data to avoid identifying individuals, as well as securely storing and disposing of data to prevent unauthorized access or use.</w:t>
      </w:r>
    </w:p>
    <w:p w14:paraId="71C282A6" w14:textId="77777777" w:rsidR="001A6C45" w:rsidRDefault="001A6C45" w:rsidP="001A6C45">
      <w:r>
        <w:t xml:space="preserve">Online research also raises ethical questions about the potential for harm or exploitation. For example, researchers studying online communities may inadvertently disrupt or damage those </w:t>
      </w:r>
      <w:r>
        <w:lastRenderedPageBreak/>
        <w:t>communities by their presence or actions. Researchers studying sensitive topics, such as mental health or substance abuse, may encounter individuals in crisis who require immediate intervention or referral to professional help. Researchers must be prepared to respond ethically and responsibly to these situations and have clear protocols in place for minimizing harm and ensuring participant safety.</w:t>
      </w:r>
    </w:p>
    <w:p w14:paraId="4E1B0A2C" w14:textId="77777777" w:rsidR="001A6C45" w:rsidRDefault="001A6C45" w:rsidP="001A6C45">
      <w:r>
        <w:t>Another ethical consideration in online research is the potential for deception or misrepresentation. In some cases, researchers may use deception as part of their study design, such as creating fake social media profiles or posting misleading information to observe participants' reactions. While deception may be justified in some cases, researchers must carefully weigh the risks and benefits and ensure that any deception is minimized and that participants are fully debriefed afterward. Researchers must also be transparent about their identity and affiliation to avoid misrepresenting themselves or their research.</w:t>
      </w:r>
    </w:p>
    <w:p w14:paraId="7E621B2A" w14:textId="77777777" w:rsidR="001A6C45" w:rsidRDefault="001A6C45" w:rsidP="001A6C45">
      <w:r>
        <w:t>Finally, online research raises important questions about data ownership and use. In many cases, online data is owned by the platforms or companies that host it, and researchers may need to obtain permission or licenses to use it for research purposes. Researchers must also consider the potential for their data to be used or misused by others, such as advertisers or government agencies, and take steps to protect participants' rights and interests.</w:t>
      </w:r>
    </w:p>
    <w:p w14:paraId="14B90AA7" w14:textId="77777777" w:rsidR="001A6C45" w:rsidRDefault="001A6C45" w:rsidP="001A6C45">
      <w:r>
        <w:t>As an example, consider a researcher who wants to study the online behavior of teenagers on a popular social media platform. To conduct this research ethically, the researcher would need to obtain informed consent from both the teenagers and their parents, ensuring that they fully understand the study's purpose and any potential risks or benefits. The researcher would also need to take steps to protect the teenagers' privacy and confidentiality, such as using pseudonyms and securing their data. The researcher would need to be prepared to respond ethically to any signs of distress or crisis among the participants and have clear protocols for referring them to appropriate help. Finally, the researcher would need to be transparent about their identity and research goals and obtain any necessary permissions from the social media platform to use its data.</w:t>
      </w:r>
    </w:p>
    <w:p w14:paraId="587A557D" w14:textId="19DA6DD4" w:rsidR="00904DBC" w:rsidRDefault="001A6C45" w:rsidP="001A6C45">
      <w:r>
        <w:t>In conclusion, online research presents both opportunities and challenges for ethical research conduct. By carefully considering issues of informed consent, privacy, harm, deception, and data ownership, researchers can navigate this new frontier responsibly and ensure that their research is both scientifically rigorous and ethically sound. As aspiring researchers, it is our responsibility to stay informed about the evolving landscape of online research ethics and to prioritize the rights and well-being of our participants in all aspects of our work.</w:t>
      </w:r>
    </w:p>
    <w:p w14:paraId="5E9FFE2E" w14:textId="020E9F3C" w:rsidR="00E752F1" w:rsidRDefault="00E752F1" w:rsidP="00E752F1">
      <w:pPr>
        <w:pStyle w:val="Heading3"/>
      </w:pPr>
      <w:bookmarkStart w:id="44" w:name="_Toc169156700"/>
      <w:r>
        <w:t>Cultural Sensitivity in Research</w:t>
      </w:r>
      <w:bookmarkEnd w:id="44"/>
    </w:p>
    <w:p w14:paraId="298D01E0" w14:textId="77777777" w:rsidR="00CA5758" w:rsidRDefault="00CA5758" w:rsidP="00CA5758">
      <w:r>
        <w:t xml:space="preserve">In an increasingly diverse and interconnected world, researchers must be acutely aware of the role that culture plays in shaping individuals' experiences, beliefs, and behaviors. Cultural sensitivity refers to the ability to recognize, understand, and respect the cultural differences that may exist between researchers and the populations they study. This sensitivity is critical for conducting </w:t>
      </w:r>
      <w:r>
        <w:lastRenderedPageBreak/>
        <w:t>ethical, valid, and meaningful research that benefits both the academic community and the individuals and groups being studied.</w:t>
      </w:r>
    </w:p>
    <w:p w14:paraId="218DC093" w14:textId="77777777" w:rsidR="00CA5758" w:rsidRDefault="00CA5758" w:rsidP="00CA5758">
      <w:r>
        <w:t>Cultural sensitivity is not just a matter of political correctness or social etiquette; it is a fundamental principle of ethical research. When researchers fail to account for cultural differences, they risk causing unintentional harm or offense to participants, compromising the validity of their data, and perpetuating power imbalances and cultural biases. For example, a study on mental health that uses Western diagnostic criteria may not accurately capture the experiences of individuals from non-Western cultures who may have different ways of understanding and expressing psychological distress.</w:t>
      </w:r>
    </w:p>
    <w:p w14:paraId="562184D8" w14:textId="77777777" w:rsidR="00CA5758" w:rsidRDefault="00CA5758" w:rsidP="00CA5758">
      <w:r>
        <w:t>To practice cultural sensitivity, researchers must first acknowledge their own cultural background and biases. This self-awareness is crucial for recognizing how one's own cultural lens may influence the research process, from the questions asked to the interpretations made. Researchers should also strive to educate themselves about the cultural context of the populations they are studying, including their history, values, customs, and social norms. This cultural knowledge can help researchers design studies that are more culturally appropriate and relevant to participants' lived experiences.</w:t>
      </w:r>
    </w:p>
    <w:p w14:paraId="5EF22A35" w14:textId="77777777" w:rsidR="00CA5758" w:rsidRDefault="00CA5758" w:rsidP="00CA5758">
      <w:r>
        <w:t>Cultural sensitivity should be integrated into every stage of the research process. When developing research questions and methods, researchers should consider whether they are culturally appropriate and meaningful to the population being studied. For example, a survey on sexual behavior that asks explicit questions may be considered taboo or offensive in some cultures, requiring a more indirect or sensitive approach. Similarly, informed consent procedures may need to be adapted to ensure that participants fully understand the research process and feel comfortable participating. In some cultures, the concept of individual consent may be less relevant than community or family consent, requiring researchers to seek permission from multiple stakeholders.</w:t>
      </w:r>
    </w:p>
    <w:p w14:paraId="0B4A27FF" w14:textId="77777777" w:rsidR="00CA5758" w:rsidRDefault="00CA5758" w:rsidP="00CA5758">
      <w:r>
        <w:t>During data collection and analysis, researchers must be vigilant about their own cultural assumptions and biases. It is essential to approach data with an open mind and a willingness to learn from participants' perspectives, rather than imposing one's own cultural framework. For example, in a study on parenting practices, researchers should be cautious about judging practices that may differ from their own cultural norms, such as co-sleeping or extended breastfeeding. Instead, researchers should seek to understand the cultural context and meanings behind these practices and how they may be adaptive or beneficial within that context.</w:t>
      </w:r>
    </w:p>
    <w:p w14:paraId="36ED14F7" w14:textId="77777777" w:rsidR="00CA5758" w:rsidRDefault="00CA5758" w:rsidP="00CA5758">
      <w:r>
        <w:t xml:space="preserve">Cultural sensitivity also extends to the dissemination and application of research findings. Researchers have an ethical obligation to ensure that their research benefits the communities they have studied and does not cause harm or perpetuate cultural stereotypes. This may involve collaborating with community members to interpret and apply findings in a culturally relevant way, </w:t>
      </w:r>
      <w:r>
        <w:lastRenderedPageBreak/>
        <w:t>or advocating for policies and practices that address the unique needs and challenges faced by different cultural groups.</w:t>
      </w:r>
    </w:p>
    <w:p w14:paraId="6A253DF7" w14:textId="404A0B77" w:rsidR="00E752F1" w:rsidRDefault="00CA5758" w:rsidP="00CA5758">
      <w:r>
        <w:t>Ultimately, cultural sensitivity in research is about recognizing and valuing the rich diversity of human experiences and perspectives. By approaching research with humility, openness, and respect for cultural differences, researchers can build trust, ensure ethical conduct, and produce knowledge that is more valid, meaningful, and impactful for the communities they serve. As aspiring researchers, it is our responsibility to cultivate cultural competence and commit to conducting research that promotes social justice and advances our understanding of the world in all its complexity and diversity.</w:t>
      </w:r>
    </w:p>
    <w:p w14:paraId="678B1CB3" w14:textId="77777777" w:rsidR="00B50999" w:rsidRDefault="00B50999" w:rsidP="00B50999">
      <w:pPr>
        <w:pStyle w:val="Heading3"/>
      </w:pPr>
      <w:bookmarkStart w:id="45" w:name="_Toc169156701"/>
      <w:r>
        <w:t>Best Practices in Ethical Research</w:t>
      </w:r>
      <w:bookmarkEnd w:id="45"/>
    </w:p>
    <w:p w14:paraId="43A7E46B" w14:textId="77777777" w:rsidR="00B50999" w:rsidRDefault="00B50999" w:rsidP="00B50999">
      <w:r>
        <w:t>The following list of "best practices" in ethics can be derived from the information in this chapter:</w:t>
      </w:r>
    </w:p>
    <w:p w14:paraId="6D6669A1" w14:textId="77777777" w:rsidR="00B50999" w:rsidRDefault="00B50999" w:rsidP="00B50999">
      <w:pPr>
        <w:pStyle w:val="Heading4"/>
      </w:pPr>
      <w:r>
        <w:t>Honesty</w:t>
      </w:r>
    </w:p>
    <w:p w14:paraId="0CEF4180" w14:textId="77777777" w:rsidR="00B50999" w:rsidRDefault="00B50999" w:rsidP="00B50999">
      <w:r>
        <w:t>Nearly every code of ethical conduct boils down to a few simple principles, and one of the most common is to research with honesty and integrity. Honest researchers will rarely make the wrong ethical decision. For example, researchers should accurately report their findings, even if they do not support their hypotheses.</w:t>
      </w:r>
    </w:p>
    <w:p w14:paraId="78D0A7D6" w14:textId="77777777" w:rsidR="00B50999" w:rsidRDefault="00B50999" w:rsidP="00A64006">
      <w:pPr>
        <w:pStyle w:val="Heading4"/>
      </w:pPr>
      <w:r>
        <w:t>Care</w:t>
      </w:r>
    </w:p>
    <w:p w14:paraId="77C3BE97" w14:textId="77777777" w:rsidR="00B50999" w:rsidRDefault="00B50999" w:rsidP="00B50999">
      <w:r>
        <w:t>Researchers must be careful in every aspect of the research project. Many ethical problems arise when a researcher "takes shortcuts" when gathering and analyzing data. This includes ensuring that the research design is sound, the data is collected and analyzed accurately, and the results are interpreted and reported fairly.</w:t>
      </w:r>
    </w:p>
    <w:p w14:paraId="0DA08A6D" w14:textId="77777777" w:rsidR="00B50999" w:rsidRDefault="00B50999" w:rsidP="00A64006">
      <w:pPr>
        <w:pStyle w:val="Heading4"/>
      </w:pPr>
      <w:r>
        <w:t>Respect</w:t>
      </w:r>
    </w:p>
    <w:p w14:paraId="62EB2A8C" w14:textId="77777777" w:rsidR="00B50999" w:rsidRDefault="00B50999" w:rsidP="00B50999">
      <w:r>
        <w:t>Researchers must respect the intellectual property of others. If colleagues assist with a project, they should be acknowledged. Closely aligned with respect is the need to avoid plagiarism, which is using someone else's work or ideas without giving them credit.</w:t>
      </w:r>
    </w:p>
    <w:p w14:paraId="1D86808F" w14:textId="77777777" w:rsidR="00B50999" w:rsidRDefault="00B50999" w:rsidP="00A64006">
      <w:pPr>
        <w:pStyle w:val="Heading4"/>
      </w:pPr>
      <w:r>
        <w:t>Confidentiality</w:t>
      </w:r>
    </w:p>
    <w:p w14:paraId="4BFEB9B4" w14:textId="77777777" w:rsidR="00B50999" w:rsidRDefault="00B50999" w:rsidP="00B50999">
      <w:r>
        <w:t>If participants expect their participation to be confidential, researchers must take great pains to protect their anonymity. This includes securely storing data, using anonymized identifiers instead of names, and not sharing personally identifiable information with anyone outside the research team.</w:t>
      </w:r>
    </w:p>
    <w:p w14:paraId="205FC908" w14:textId="77777777" w:rsidR="00B50999" w:rsidRDefault="00B50999" w:rsidP="00A64006">
      <w:pPr>
        <w:pStyle w:val="Heading4"/>
      </w:pPr>
      <w:r>
        <w:t>Knowledge of Ethical Principles</w:t>
      </w:r>
    </w:p>
    <w:p w14:paraId="15B00C6E" w14:textId="77777777" w:rsidR="00B50999" w:rsidRDefault="00B50999" w:rsidP="00B50999">
      <w:r>
        <w:t>Researchers owe it to themselves, their colleagues, and participants to be knowledgeable about ethical principles. More importantly, they need to know where their research project fits within an ethical framework and their responsibilities to the research community and the participants. This includes understanding relevant laws, regulations, and professional codes of conduct.</w:t>
      </w:r>
    </w:p>
    <w:p w14:paraId="3D26209A" w14:textId="77777777" w:rsidR="00B50999" w:rsidRDefault="00B50999" w:rsidP="00A64006">
      <w:pPr>
        <w:pStyle w:val="Heading4"/>
      </w:pPr>
      <w:r>
        <w:lastRenderedPageBreak/>
        <w:t>Disclosure</w:t>
      </w:r>
    </w:p>
    <w:p w14:paraId="7ABD8DEE" w14:textId="77777777" w:rsidR="00B50999" w:rsidRDefault="00B50999" w:rsidP="00B50999">
      <w:r>
        <w:t>Researchers should be open with participants about all facets of the research project. They should know the goals of the project, how the data will be protected and analyzed, and how the results will be shared. This open approach will also lead to informed consent to participate. Finally, every research project should include some sort of debriefing plan so participants can achieve a sense of closure when the project is finished.</w:t>
      </w:r>
    </w:p>
    <w:p w14:paraId="5327D105" w14:textId="58B4D772" w:rsidR="00A626FE" w:rsidRPr="000E309B" w:rsidRDefault="00B50999" w:rsidP="00A64006">
      <w:r>
        <w:t>For instance, in a study on the effects of a new drug, researchers should be honest about the potential risks and benefits, take care to ensure the safety and well-being of participants, respect their privacy and confidentiality, disclose all relevant information, and debrief participants at the end of the study.</w:t>
      </w:r>
    </w:p>
    <w:p w14:paraId="5327D106" w14:textId="2B0A8427" w:rsidR="00A626FE" w:rsidRPr="000E309B" w:rsidRDefault="00B52873" w:rsidP="00974D88">
      <w:pPr>
        <w:pStyle w:val="Heading3"/>
      </w:pPr>
      <w:bookmarkStart w:id="46" w:name="_Toc169156702"/>
      <w:r>
        <w:rPr>
          <w:noProof/>
        </w:rPr>
        <w:drawing>
          <wp:anchor distT="0" distB="0" distL="114300" distR="114300" simplePos="0" relativeHeight="251989076" behindDoc="0" locked="0" layoutInCell="1" allowOverlap="1" wp14:anchorId="4D7C9AEB" wp14:editId="78F2D79D">
            <wp:simplePos x="0" y="0"/>
            <wp:positionH relativeFrom="column">
              <wp:align>right</wp:align>
            </wp:positionH>
            <wp:positionV relativeFrom="paragraph">
              <wp:posOffset>2209</wp:posOffset>
            </wp:positionV>
            <wp:extent cx="914400" cy="914400"/>
            <wp:effectExtent l="19050" t="19050" r="19050" b="19050"/>
            <wp:wrapSquare wrapText="bothSides"/>
            <wp:docPr id="622901675" name="Picture 3" descr="A drawing of a dra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01675" name="Picture 3" descr="A drawing of a draw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74D88">
        <w:t>A</w:t>
      </w:r>
      <w:r w:rsidR="00D14B33" w:rsidRPr="000E309B">
        <w:t xml:space="preserve"> </w:t>
      </w:r>
      <w:r w:rsidR="00974D88">
        <w:t>S</w:t>
      </w:r>
      <w:r w:rsidR="00D14B33" w:rsidRPr="000E309B">
        <w:t xml:space="preserve">ampling of </w:t>
      </w:r>
      <w:r w:rsidR="00974D88">
        <w:t>R</w:t>
      </w:r>
      <w:r w:rsidR="00D14B33" w:rsidRPr="000E309B">
        <w:t>esearch</w:t>
      </w:r>
      <w:bookmarkEnd w:id="46"/>
    </w:p>
    <w:p w14:paraId="5327D107" w14:textId="10E9292D" w:rsidR="00A626FE" w:rsidRPr="000E309B" w:rsidRDefault="00D14B33" w:rsidP="006E36EE">
      <w:pPr>
        <w:pStyle w:val="Heading4"/>
      </w:pPr>
      <w:r w:rsidRPr="000E309B">
        <w:t>Zimbardo’s Prison</w:t>
      </w:r>
    </w:p>
    <w:p w14:paraId="5327D108" w14:textId="40C8A6C1" w:rsidR="00A626FE" w:rsidRPr="000E309B" w:rsidRDefault="00D14B33" w:rsidP="00A64006">
      <w:r w:rsidRPr="000E309B">
        <w:t>In August 1971, Dr.</w:t>
      </w:r>
      <w:r w:rsidR="0089428C">
        <w:t xml:space="preserve">Philip </w:t>
      </w:r>
      <w:r w:rsidRPr="000E309B">
        <w:t xml:space="preserve"> Zimbardo</w:t>
      </w:r>
      <w:r w:rsidR="00FB735C">
        <w:rPr>
          <w:rStyle w:val="FootnoteReference"/>
        </w:rPr>
        <w:footnoteReference w:id="4"/>
      </w:r>
      <w:r w:rsidRPr="000E309B">
        <w:t xml:space="preserve"> started a social science experiment that has been condemned for ethical violations</w:t>
      </w:r>
      <w:r w:rsidR="00072DF0">
        <w:t xml:space="preserve"> </w:t>
      </w:r>
      <w:r w:rsidR="00072DF0">
        <w:fldChar w:fldCharType="begin"/>
      </w:r>
      <w:r w:rsidR="007C07B4">
        <w:instrText xml:space="preserve"> ADDIN ZOTERO_ITEM CSL_CITATION {"citationID":"al3h1lup9i","properties":{"formattedCitation":"[38]","plainCitation":"[38]","noteIndex":0},"citationItems":[{"id":32,"uris":["http://zotero.org/users/5015692/items/G4C5VY9Q"],"itemData":{"id":32,"type":"article-journal","container-title":"Obedience to authority: Current perspectives on the Milgram paradigm","page":"193–237","title":"Reflections on the Stanford prison experiment: Genesis, transformations, consequences","author":[{"family":"Zimbardo","given":"Philip G"},{"family":"Maslach","given":"Christina"},{"family":"Haney","given":"Craig"}],"issued":{"date-parts":[["2000"]]}}}],"schema":"https://github.com/citation-style-language/schema/raw/master/csl-citation.json"} </w:instrText>
      </w:r>
      <w:r w:rsidR="00072DF0">
        <w:fldChar w:fldCharType="separate"/>
      </w:r>
      <w:r w:rsidR="007C07B4" w:rsidRPr="007C07B4">
        <w:t>[38]</w:t>
      </w:r>
      <w:r w:rsidR="00072DF0">
        <w:fldChar w:fldCharType="end"/>
      </w:r>
      <w:r w:rsidRPr="000E309B">
        <w:t xml:space="preserve">. The experiment involved selecting 24 students from 70 who had volunteered to </w:t>
      </w:r>
      <w:r w:rsidR="00BF0DF6">
        <w:t>study</w:t>
      </w:r>
      <w:r w:rsidRPr="000E309B">
        <w:t xml:space="preserve"> prison life. Those students were randomly assigned to one of two groups: prisoners and guards. The guards helped build a mock prison in the basement of the Stanford University psychology department then nine prisoners were assigned to three cells in that prison. All students signed informed consent forms that indicated some of their </w:t>
      </w:r>
      <w:r w:rsidR="00E575C9">
        <w:t>fundamental</w:t>
      </w:r>
      <w:r w:rsidRPr="000E309B">
        <w:t xml:space="preserve"> rights would be violated if they were selected to be prisoners and that only minimally adequate diet and health care would be provided.</w:t>
      </w:r>
    </w:p>
    <w:p w14:paraId="5327D109" w14:textId="460D3D42" w:rsidR="00A626FE" w:rsidRPr="000E309B" w:rsidRDefault="00D14B33" w:rsidP="00A64006">
      <w:r w:rsidRPr="000E309B">
        <w:t>The first day was r</w:t>
      </w:r>
      <w:r w:rsidR="00E575C9">
        <w:t>elatively</w:t>
      </w:r>
      <w:r w:rsidRPr="000E309B">
        <w:t xml:space="preserve"> uneventful, but after that day</w:t>
      </w:r>
      <w:r w:rsidR="00E575C9">
        <w:t>,</w:t>
      </w:r>
      <w:r w:rsidRPr="000E309B">
        <w:t xml:space="preserve"> the guards steadily increased their coercive and aggressive tactics and resorted to humiliation and dehumanization of the prisoners. Within 36 hours of the initial “arrest</w:t>
      </w:r>
      <w:r w:rsidR="00E575C9">
        <w:t>,</w:t>
      </w:r>
      <w:r w:rsidRPr="000E309B">
        <w:t xml:space="preserve">” the first prisoner had to be released because of extreme stress reactions like crying and cursing. Over the next three days, three other prisoners had to be released due to acting “crazy.” The guards began to execute </w:t>
      </w:r>
      <w:r w:rsidR="000849BC" w:rsidRPr="000E309B">
        <w:t>several</w:t>
      </w:r>
      <w:r w:rsidRPr="000E309B">
        <w:t xml:space="preserve"> “controlling” practices like waking the prisoners during the night for “counts,” basically depriving them of REM sleep. They became brutal and locked misbehaving prisoners in “solitary confinement” (a closet), made them perform meaningless physical activities (like jumping jacks), and even sprayed them with high-pressure fire extinguishers.</w:t>
      </w:r>
    </w:p>
    <w:p w14:paraId="5327D10A" w14:textId="77777777" w:rsidR="00A626FE" w:rsidRPr="000E309B" w:rsidRDefault="00D14B33" w:rsidP="00A64006">
      <w:r w:rsidRPr="000E309B">
        <w:t xml:space="preserve">The experiment was ended after only six days rather than the planned two-week study because, in the words of Zimbardo, “. . . too many normal young men were behaving pathologically as powerless prisoners or as sadistic, all-powerful guards.” The tipping point for the experiment came after a recently graduated Ph.D. came to the prison to assist with interviews. She was not part of the experiment from the start and became emotionally upset and angry over the madness that she </w:t>
      </w:r>
      <w:r w:rsidRPr="000E309B">
        <w:lastRenderedPageBreak/>
        <w:t>witnessed. She convinced Zimbardo to end the experiment for the “well-being of the young men entrusted to our care as research participants.”</w:t>
      </w:r>
    </w:p>
    <w:p w14:paraId="5327D10B" w14:textId="0322AB1F" w:rsidR="00A626FE" w:rsidRPr="000E309B" w:rsidRDefault="00D14B33" w:rsidP="00A64006">
      <w:r w:rsidRPr="000E309B">
        <w:t>The ethics of this experiment has been debated for decades. On the one hand</w:t>
      </w:r>
      <w:r w:rsidR="00077C30">
        <w:t>,</w:t>
      </w:r>
      <w:r w:rsidRPr="000E309B">
        <w:t xml:space="preserve"> it was conducted using the guidelines promulgated by the Human Subjects Review Board. </w:t>
      </w:r>
      <w:r w:rsidR="00077C30">
        <w:t>That board</w:t>
      </w:r>
      <w:r w:rsidRPr="000E309B">
        <w:t xml:space="preserve"> required fire extinguishers </w:t>
      </w:r>
      <w:r w:rsidR="00077C30">
        <w:t xml:space="preserve">to </w:t>
      </w:r>
      <w:r w:rsidRPr="000E309B">
        <w:t>be added to the prison since there were limited emergency escape routes. Additionally, the participants were told in advance to expect their rights to be suspended. Finally, the prisoners were “visited” regularly by their parents, a priest, friends, a public defender, and many graduate students and staff of the psychology department</w:t>
      </w:r>
      <w:r w:rsidR="00955EFB">
        <w:t>. N</w:t>
      </w:r>
      <w:r w:rsidRPr="000E309B">
        <w:t>one of those people raised any alarms.</w:t>
      </w:r>
    </w:p>
    <w:p w14:paraId="5327D10C" w14:textId="0A17D03A" w:rsidR="00A626FE" w:rsidRPr="000E309B" w:rsidRDefault="00D14B33" w:rsidP="00A64006">
      <w:r w:rsidRPr="000E309B">
        <w:t xml:space="preserve">On the other hand, it seems problematic that one group of humans was permitted to inflict pain and humiliation on another group for an extended </w:t>
      </w:r>
      <w:r w:rsidR="00E469F7" w:rsidRPr="000E309B">
        <w:t>period</w:t>
      </w:r>
      <w:r w:rsidRPr="000E309B">
        <w:t>. The prisoners experienced social and psychological pain, but even the guards had to live with the pain of knowing that they were inflicting suffering on a peer who had done nothing wrong.</w:t>
      </w:r>
    </w:p>
    <w:p w14:paraId="5327D10D" w14:textId="33466659" w:rsidR="00A626FE" w:rsidRPr="000E309B" w:rsidRDefault="00D14B33" w:rsidP="006E36EE">
      <w:pPr>
        <w:pStyle w:val="Heading4"/>
      </w:pPr>
      <w:r w:rsidRPr="000E309B">
        <w:t>Target</w:t>
      </w:r>
      <w:r w:rsidR="00A7488D">
        <w:t xml:space="preserve"> Stores</w:t>
      </w:r>
    </w:p>
    <w:p w14:paraId="5327D10E" w14:textId="2864AF2C" w:rsidR="00A626FE" w:rsidRPr="000E309B" w:rsidRDefault="00D14B33" w:rsidP="00A64006">
      <w:r w:rsidRPr="000E309B">
        <w:t xml:space="preserve">Target stores received considerable negative publicity for using data mining and market basket analysis to identify </w:t>
      </w:r>
      <w:r w:rsidR="00955EFB">
        <w:t>pregnant women</w:t>
      </w:r>
      <w:r w:rsidR="00A7488D">
        <w:rPr>
          <w:rStyle w:val="FootnoteReference"/>
        </w:rPr>
        <w:footnoteReference w:id="5"/>
      </w:r>
      <w:r w:rsidRPr="000E309B">
        <w:t>.</w:t>
      </w:r>
    </w:p>
    <w:p w14:paraId="5327D10F" w14:textId="299632C9" w:rsidR="00A626FE" w:rsidRPr="000E309B" w:rsidRDefault="00D14B33" w:rsidP="00A64006">
      <w:r w:rsidRPr="000E309B">
        <w:t xml:space="preserve">Market Basket </w:t>
      </w:r>
      <w:r w:rsidR="00955EFB">
        <w:t>A</w:t>
      </w:r>
      <w:r w:rsidRPr="000E309B">
        <w:t xml:space="preserve">nalysis </w:t>
      </w:r>
      <w:r w:rsidR="001955EB">
        <w:t>attempts</w:t>
      </w:r>
      <w:r w:rsidRPr="000E309B">
        <w:t xml:space="preserve"> to determine the types of products typically purchased together</w:t>
      </w:r>
      <w:r w:rsidR="00955EFB">
        <w:t>;</w:t>
      </w:r>
      <w:r w:rsidRPr="000E309B">
        <w:t xml:space="preserve"> they are in the same “market basket.” For example, beer and potato chips are often purchased together</w:t>
      </w:r>
      <w:r w:rsidR="00955EFB">
        <w:t>,</w:t>
      </w:r>
      <w:r w:rsidRPr="000E309B">
        <w:t xml:space="preserve"> so if a store were running a special sale on beer</w:t>
      </w:r>
      <w:r w:rsidR="00955EFB">
        <w:t>,</w:t>
      </w:r>
      <w:r w:rsidRPr="000E309B">
        <w:t xml:space="preserve"> it m</w:t>
      </w:r>
      <w:r w:rsidR="00955EFB">
        <w:t>ight</w:t>
      </w:r>
      <w:r w:rsidRPr="000E309B">
        <w:t xml:space="preserve"> also </w:t>
      </w:r>
      <w:r w:rsidR="00955EFB">
        <w:t>promote</w:t>
      </w:r>
      <w:r w:rsidRPr="000E309B">
        <w:t xml:space="preserve"> potato chips. Of course, formal market basket analysis is much more in-depth and can find odd relationships between numerous products. When market basket analysis gets personal</w:t>
      </w:r>
      <w:r w:rsidR="00743EF0">
        <w:t>,</w:t>
      </w:r>
      <w:r w:rsidRPr="000E309B">
        <w:t xml:space="preserve"> the results can be ethically interesting.</w:t>
      </w:r>
    </w:p>
    <w:p w14:paraId="5327D111" w14:textId="56425267" w:rsidR="00A626FE" w:rsidRPr="000E309B" w:rsidRDefault="00D14B33" w:rsidP="00A64006">
      <w:r w:rsidRPr="000E309B">
        <w:t>For example, Target, Inc., like many large chains, ha</w:t>
      </w:r>
      <w:r w:rsidR="00743EF0">
        <w:t>s</w:t>
      </w:r>
      <w:r w:rsidRPr="000E309B">
        <w:t xml:space="preserve"> customer loyalty programs where customers can use a card or phone number to get special discounts on certain items. Of course, the entire shopping trip is then recorded in the company’s database</w:t>
      </w:r>
      <w:r w:rsidR="00743EF0">
        <w:t>,</w:t>
      </w:r>
      <w:r w:rsidRPr="000E309B">
        <w:t xml:space="preserve"> and market basket analysis can determine what this one specific customer is likely to purchase.</w:t>
      </w:r>
    </w:p>
    <w:p w14:paraId="5327D112" w14:textId="1E35100C" w:rsidR="00A626FE" w:rsidRPr="000E309B" w:rsidRDefault="00D14B33" w:rsidP="00A64006">
      <w:r w:rsidRPr="000E309B">
        <w:t>Target’s problem began when a father in Minneapolis complained that his teenage daughter had received pregnancy-related coupons. He felt that the coupons were inappropriate and promoted teen pregnancy. He later found out that his daughter was, in fact, pregnant and apologized to the store manager. Target had been able to use market basket research to determine that the girl was purchasing the types of items that pregnant women purchase</w:t>
      </w:r>
      <w:r w:rsidR="00743EF0">
        <w:t>,</w:t>
      </w:r>
      <w:r w:rsidRPr="000E309B">
        <w:t xml:space="preserve"> so they sent her targeted ads for </w:t>
      </w:r>
      <w:r w:rsidR="0000769F">
        <w:t>pregnant women's needs</w:t>
      </w:r>
      <w:r w:rsidRPr="000E309B">
        <w:t>.</w:t>
      </w:r>
    </w:p>
    <w:p w14:paraId="5327D113" w14:textId="07F607C5" w:rsidR="00A626FE" w:rsidRPr="000E309B" w:rsidRDefault="00D14B33" w:rsidP="00A64006">
      <w:r w:rsidRPr="000E309B">
        <w:t xml:space="preserve">To build its predictive models, Target focused on women who had signed up for the baby registry. They then compared those women’s purchases with all customers. Twenty-five variables were </w:t>
      </w:r>
      <w:r w:rsidRPr="000E309B">
        <w:lastRenderedPageBreak/>
        <w:t>found t</w:t>
      </w:r>
      <w:r w:rsidR="003B2456">
        <w:t>o</w:t>
      </w:r>
      <w:r w:rsidRPr="000E309B">
        <w:t xml:space="preserve"> identify pregnant women and even when their babies were due to a</w:t>
      </w:r>
      <w:r w:rsidR="00294C69">
        <w:t>n astonishing</w:t>
      </w:r>
      <w:r w:rsidRPr="000E309B">
        <w:t xml:space="preserve"> degree of accuracy. The variables included </w:t>
      </w:r>
      <w:r w:rsidR="003B2456">
        <w:t xml:space="preserve">buying large quantities of unscented lotions, </w:t>
      </w:r>
      <w:r w:rsidR="00294C69">
        <w:t xml:space="preserve">washcloths, and </w:t>
      </w:r>
      <w:r w:rsidR="003B2456">
        <w:t>supplements like calcium, magnesium,</w:t>
      </w:r>
      <w:r w:rsidRPr="000E309B">
        <w:t xml:space="preserve"> </w:t>
      </w:r>
      <w:r w:rsidR="00294C69">
        <w:t xml:space="preserve">and </w:t>
      </w:r>
      <w:r w:rsidRPr="000E309B">
        <w:t>zinc. The analytics were good enough that Target found that pregnant women tend to buy more hand sanitizers and washcloths as they get close to their delivery date. Target used these predictions to identify which women should receive specific coupons.</w:t>
      </w:r>
    </w:p>
    <w:p w14:paraId="5327D114" w14:textId="5EB50ED5" w:rsidR="00A626FE" w:rsidRPr="000E309B" w:rsidRDefault="00D14B33" w:rsidP="00A64006">
      <w:r w:rsidRPr="000E309B">
        <w:t xml:space="preserve">After that </w:t>
      </w:r>
      <w:r w:rsidR="007F2EB9" w:rsidRPr="000E309B">
        <w:t>controversy</w:t>
      </w:r>
      <w:r w:rsidRPr="000E309B">
        <w:t xml:space="preserve"> settled down, Target used the same analytics to predict when people were getting </w:t>
      </w:r>
      <w:r w:rsidR="00AF3DD1" w:rsidRPr="000E309B">
        <w:t>married</w:t>
      </w:r>
      <w:r w:rsidR="00AC514C">
        <w:t>. T</w:t>
      </w:r>
      <w:r w:rsidRPr="000E309B">
        <w:t>hey would send out invitations to join the bridal registry before the marrying couple had a chance to tell their parents.</w:t>
      </w:r>
    </w:p>
    <w:p w14:paraId="5327D115" w14:textId="6AC1B68B" w:rsidR="00A626FE" w:rsidRPr="000E309B" w:rsidRDefault="0000769F" w:rsidP="00A64006">
      <w:r>
        <w:t>Target no longer sends out ads for only one specific item in response to the negative press</w:t>
      </w:r>
      <w:r w:rsidR="00D14B33" w:rsidRPr="000E309B">
        <w:t xml:space="preserve">, but they have become much more devious. If they know, for example, that </w:t>
      </w:r>
      <w:r w:rsidR="007F2EB9">
        <w:t>a</w:t>
      </w:r>
      <w:r w:rsidR="00D14B33" w:rsidRPr="000E309B">
        <w:t xml:space="preserve"> woman is pregnant</w:t>
      </w:r>
      <w:r w:rsidR="00AC514C">
        <w:t>,</w:t>
      </w:r>
      <w:r w:rsidR="00D14B33" w:rsidRPr="000E309B">
        <w:t xml:space="preserve"> then the circular going to that </w:t>
      </w:r>
      <w:r w:rsidR="007F2EB9" w:rsidRPr="000E309B">
        <w:t>house</w:t>
      </w:r>
      <w:r w:rsidR="00D14B33" w:rsidRPr="000E309B">
        <w:t xml:space="preserve"> will have ads for garden implements and coffee, but there will be </w:t>
      </w:r>
      <w:r w:rsidR="00D13B26" w:rsidRPr="000E309B">
        <w:t>several</w:t>
      </w:r>
      <w:r w:rsidR="00D14B33" w:rsidRPr="000E309B">
        <w:t xml:space="preserve"> </w:t>
      </w:r>
      <w:r w:rsidR="00AC514C">
        <w:t>targeted</w:t>
      </w:r>
      <w:r w:rsidR="00D14B33" w:rsidRPr="000E309B">
        <w:t xml:space="preserve"> ads for items that a pregnant woman would need. The house next door would get a different circular with </w:t>
      </w:r>
      <w:r w:rsidR="00AC514C">
        <w:t>targeted</w:t>
      </w:r>
      <w:r w:rsidR="00D14B33" w:rsidRPr="000E309B">
        <w:t xml:space="preserve"> ads for, maybe, party items.</w:t>
      </w:r>
    </w:p>
    <w:p w14:paraId="5327D116" w14:textId="77777777" w:rsidR="00A626FE" w:rsidRPr="000E309B" w:rsidRDefault="00D14B33" w:rsidP="00A64006">
      <w:r w:rsidRPr="000E309B">
        <w:t>The market basket analysis being done by Target, and other stores, is perfectly legal; however, it does raise ethical questions concerning customer privacy and informed consent.</w:t>
      </w:r>
    </w:p>
    <w:p w14:paraId="5327D117" w14:textId="107AE6EC" w:rsidR="00A626FE" w:rsidRPr="000E309B" w:rsidRDefault="00D14B33" w:rsidP="006E36EE">
      <w:pPr>
        <w:pStyle w:val="Heading4"/>
      </w:pPr>
      <w:r w:rsidRPr="000E309B">
        <w:t>Facebook</w:t>
      </w:r>
    </w:p>
    <w:p w14:paraId="5327D118" w14:textId="314CC7E1" w:rsidR="00A626FE" w:rsidRPr="000E309B" w:rsidRDefault="00D14B33" w:rsidP="00842E46">
      <w:r w:rsidRPr="000E309B">
        <w:t>In June 2014, Kramer, Guillory, and Hancock (</w:t>
      </w:r>
      <w:r w:rsidR="00803C11">
        <w:t>Facebook employees</w:t>
      </w:r>
      <w:r w:rsidRPr="000E309B">
        <w:t>) published a paper describing their experiment with Facebook data</w:t>
      </w:r>
      <w:r w:rsidR="00842E46">
        <w:t xml:space="preserve"> </w:t>
      </w:r>
      <w:r w:rsidR="00842E46">
        <w:fldChar w:fldCharType="begin"/>
      </w:r>
      <w:r w:rsidR="007C07B4">
        <w:instrText xml:space="preserve"> ADDIN ZOTERO_ITEM CSL_CITATION {"citationID":"a1m2138njm3","properties":{"formattedCitation":"[42]","plainCitation":"[42]","noteIndex":0},"citationItems":[{"id":46,"uris":["http://zotero.org/users/5015692/items/PAGEHNN8"],"itemData":{"id":46,"type":"article-journal","container-title":"Proceedings of the National Academy of Sciences","issue":"24","page":"8788–8790","title":"Experimental evidence of massive-scale emotional contagion through social networks","volume":"111","author":[{"family":"Kramer","given":"Adam DI"},{"family":"Guillory","given":"Jamie E"},{"family":"Hancock","given":"Jeffrey T"}],"issued":{"date-parts":[["2014"]]}}}],"schema":"https://github.com/citation-style-language/schema/raw/master/csl-citation.json"} </w:instrText>
      </w:r>
      <w:r w:rsidR="00842E46">
        <w:fldChar w:fldCharType="separate"/>
      </w:r>
      <w:r w:rsidR="007C07B4" w:rsidRPr="007C07B4">
        <w:t>[42]</w:t>
      </w:r>
      <w:r w:rsidR="00842E46">
        <w:fldChar w:fldCharType="end"/>
      </w:r>
      <w:r w:rsidRPr="000E309B">
        <w:t xml:space="preserve">. The purpose of the experiment was to determine if emotional contagion occurs in social media. For the experiment, they manipulated the content in News Feeds for a select group of Facebook customers. </w:t>
      </w:r>
      <w:r w:rsidR="006058A8">
        <w:t>T</w:t>
      </w:r>
      <w:r w:rsidRPr="000E309B">
        <w:t xml:space="preserve">hey reduced the number of positive posts </w:t>
      </w:r>
      <w:r w:rsidR="006058A8">
        <w:t>or</w:t>
      </w:r>
      <w:r w:rsidRPr="000E309B">
        <w:t xml:space="preserve"> negative posts</w:t>
      </w:r>
      <w:r w:rsidR="006058A8">
        <w:t xml:space="preserve"> for these specific customers</w:t>
      </w:r>
      <w:r w:rsidRPr="000E309B">
        <w:t>. They found that when positive posts were reduced</w:t>
      </w:r>
      <w:r w:rsidR="008F043C">
        <w:t>,</w:t>
      </w:r>
      <w:r w:rsidRPr="000E309B">
        <w:t xml:space="preserve"> people produced fewer positive posts</w:t>
      </w:r>
      <w:r w:rsidR="008F043C">
        <w:t>,</w:t>
      </w:r>
      <w:r w:rsidRPr="000E309B">
        <w:t xml:space="preserve"> and when negative posts were reduced</w:t>
      </w:r>
      <w:r w:rsidR="008F043C">
        <w:t>,</w:t>
      </w:r>
      <w:r w:rsidRPr="000E309B">
        <w:t xml:space="preserve"> the opposite happened. They suggested that emotions expressed by others on Facebook influence our own emotions, “constituting experimental evidence for massive</w:t>
      </w:r>
      <w:r w:rsidR="008F043C">
        <w:t>-</w:t>
      </w:r>
      <w:r w:rsidRPr="000E309B">
        <w:t>scale contagion via social networks.”</w:t>
      </w:r>
    </w:p>
    <w:p w14:paraId="5327D119" w14:textId="78A3A7B1" w:rsidR="00A626FE" w:rsidRPr="000E309B" w:rsidRDefault="00D14B33" w:rsidP="00A64006">
      <w:r w:rsidRPr="000E309B">
        <w:t xml:space="preserve">This study was widely reported in the popular press and was the impetus for </w:t>
      </w:r>
      <w:r w:rsidR="00B92603" w:rsidRPr="000E309B">
        <w:t>several</w:t>
      </w:r>
      <w:r w:rsidRPr="000E309B">
        <w:t xml:space="preserve"> investigations into privacy and </w:t>
      </w:r>
      <w:r w:rsidR="008F043C">
        <w:t>how</w:t>
      </w:r>
      <w:r w:rsidRPr="000E309B">
        <w:t xml:space="preserve"> Facebook controls data. Specifically, there was widespread criticism about the lack of informed consent and </w:t>
      </w:r>
      <w:r w:rsidR="008F043C">
        <w:t xml:space="preserve">the </w:t>
      </w:r>
      <w:r w:rsidRPr="000E309B">
        <w:t>opportunity for users to opt</w:t>
      </w:r>
      <w:r w:rsidR="009F0693">
        <w:t xml:space="preserve"> </w:t>
      </w:r>
      <w:r w:rsidRPr="000E309B">
        <w:t xml:space="preserve">out of the experiment. However, the study’s authors noted that the experiment was “consistent with Facebook’s Data Use Policy, to which all users agree </w:t>
      </w:r>
      <w:r w:rsidR="009F0693">
        <w:t>before</w:t>
      </w:r>
      <w:r w:rsidRPr="000E309B">
        <w:t xml:space="preserve"> creating an account on Facebook, constituting informed consent for this research.” There was also </w:t>
      </w:r>
      <w:r w:rsidR="00617EE2">
        <w:t xml:space="preserve">a </w:t>
      </w:r>
      <w:r w:rsidRPr="000E309B">
        <w:t>discussion about oversight for the research project</w:t>
      </w:r>
      <w:r w:rsidR="00617EE2">
        <w:t>. However,</w:t>
      </w:r>
      <w:r w:rsidRPr="000E309B">
        <w:t xml:space="preserve"> </w:t>
      </w:r>
      <w:r w:rsidR="00260083">
        <w:t>t</w:t>
      </w:r>
      <w:r w:rsidRPr="000E309B">
        <w:t>his research was conducted by Facebook, Inc. for its internal use and f</w:t>
      </w:r>
      <w:r w:rsidR="00617EE2">
        <w:t>ell</w:t>
      </w:r>
      <w:r w:rsidRPr="000E309B">
        <w:t xml:space="preserve"> outside the oversight of a university research department. Moreover, as a private company, Facebook is under no obligation to conform to the </w:t>
      </w:r>
      <w:r w:rsidR="00617EE2">
        <w:t>U.S. Department of Health and Human Services Policy provisions</w:t>
      </w:r>
      <w:r w:rsidRPr="000E309B">
        <w:t xml:space="preserve"> for the Protection of Human Research Subjects. In short, while the company could choose to follow </w:t>
      </w:r>
      <w:r w:rsidRPr="000E309B">
        <w:lastRenderedPageBreak/>
        <w:t>ethic</w:t>
      </w:r>
      <w:r w:rsidR="00D22ED2">
        <w:t>al</w:t>
      </w:r>
      <w:r w:rsidRPr="000E309B">
        <w:t xml:space="preserve"> best practices concerning informed consent and participant opt</w:t>
      </w:r>
      <w:r w:rsidR="00D22ED2">
        <w:t>-</w:t>
      </w:r>
      <w:r w:rsidRPr="000E309B">
        <w:t>out, they are not required to do</w:t>
      </w:r>
      <w:r w:rsidR="00DF1AD1">
        <w:t xml:space="preserve"> so</w:t>
      </w:r>
      <w:r w:rsidR="005A2878">
        <w:rPr>
          <w:rStyle w:val="FootnoteReference"/>
        </w:rPr>
        <w:footnoteReference w:id="6"/>
      </w:r>
      <w:r w:rsidR="00DF1AD1">
        <w:t>.</w:t>
      </w:r>
    </w:p>
    <w:p w14:paraId="1E62F1BA" w14:textId="55E6F9CB" w:rsidR="00B75526" w:rsidRDefault="00254084" w:rsidP="00436C15">
      <w:pPr>
        <w:pStyle w:val="Heading3"/>
      </w:pPr>
      <w:bookmarkStart w:id="47" w:name="_Toc169156703"/>
      <w:r>
        <w:rPr>
          <w:noProof/>
        </w:rPr>
        <w:drawing>
          <wp:anchor distT="0" distB="0" distL="114300" distR="114300" simplePos="0" relativeHeight="251959380" behindDoc="0" locked="0" layoutInCell="1" allowOverlap="1" wp14:anchorId="1909CF91" wp14:editId="31078455">
            <wp:simplePos x="0" y="0"/>
            <wp:positionH relativeFrom="column">
              <wp:align>right</wp:align>
            </wp:positionH>
            <wp:positionV relativeFrom="paragraph">
              <wp:posOffset>0</wp:posOffset>
            </wp:positionV>
            <wp:extent cx="914400" cy="914400"/>
            <wp:effectExtent l="19050" t="19050" r="19050" b="19050"/>
            <wp:wrapSquare wrapText="bothSides"/>
            <wp:docPr id="861045378"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B75526">
        <w:t>Summary</w:t>
      </w:r>
      <w:r w:rsidR="009D3BA7">
        <w:t xml:space="preserve"> of Chapter 3</w:t>
      </w:r>
      <w:r w:rsidR="00B75526">
        <w:t>: Ethics in Research</w:t>
      </w:r>
      <w:bookmarkEnd w:id="47"/>
    </w:p>
    <w:p w14:paraId="2ED8C48F" w14:textId="77777777" w:rsidR="006F672E" w:rsidRDefault="006F672E" w:rsidP="006F672E">
      <w:r>
        <w:t>In this chapter, you learned about the crucial role of ethics in research. The key concepts covered include:</w:t>
      </w:r>
    </w:p>
    <w:p w14:paraId="17710431" w14:textId="7151969C" w:rsidR="006F672E" w:rsidRDefault="006F672E" w:rsidP="006F672E">
      <w:pPr>
        <w:pStyle w:val="ListParagraph"/>
        <w:numPr>
          <w:ilvl w:val="0"/>
          <w:numId w:val="258"/>
        </w:numPr>
      </w:pPr>
      <w:r>
        <w:t>The importance of ethical conduct in research and the consequences of unethical practices.</w:t>
      </w:r>
    </w:p>
    <w:p w14:paraId="65BA7FF3" w14:textId="620BDA87" w:rsidR="006F672E" w:rsidRDefault="006F672E" w:rsidP="006F672E">
      <w:pPr>
        <w:pStyle w:val="ListParagraph"/>
        <w:numPr>
          <w:ilvl w:val="0"/>
          <w:numId w:val="258"/>
        </w:numPr>
      </w:pPr>
      <w:r>
        <w:t>Key ethical principles like voluntary participation, informed consent, confidentiality, disclosure, and accurate reporting.</w:t>
      </w:r>
    </w:p>
    <w:p w14:paraId="3ECB774D" w14:textId="7BCB509F" w:rsidR="006F672E" w:rsidRDefault="006F672E" w:rsidP="006F672E">
      <w:pPr>
        <w:pStyle w:val="ListParagraph"/>
        <w:numPr>
          <w:ilvl w:val="0"/>
          <w:numId w:val="258"/>
        </w:numPr>
      </w:pPr>
      <w:r>
        <w:t>Ethical considerations when working with human subjects, such as minimizing risk and respecting autonomy.</w:t>
      </w:r>
    </w:p>
    <w:p w14:paraId="1EAC9FA3" w14:textId="41E0CCF6" w:rsidR="006F672E" w:rsidRDefault="006F672E" w:rsidP="006F672E">
      <w:pPr>
        <w:pStyle w:val="ListParagraph"/>
        <w:numPr>
          <w:ilvl w:val="0"/>
          <w:numId w:val="258"/>
        </w:numPr>
      </w:pPr>
      <w:r>
        <w:t>The role of Institutional Review Boards (IRBs) in overseeing human subjects research.</w:t>
      </w:r>
    </w:p>
    <w:p w14:paraId="5F7501CF" w14:textId="6823D41A" w:rsidR="006F672E" w:rsidRDefault="006F672E" w:rsidP="006F672E">
      <w:pPr>
        <w:pStyle w:val="ListParagraph"/>
        <w:numPr>
          <w:ilvl w:val="0"/>
          <w:numId w:val="258"/>
        </w:numPr>
      </w:pPr>
      <w:r>
        <w:t>Historical examples of unethical research and how they shaped today's guidelines.</w:t>
      </w:r>
    </w:p>
    <w:p w14:paraId="26D35AFC" w14:textId="418CE860" w:rsidR="006F672E" w:rsidRDefault="006F672E" w:rsidP="006F672E">
      <w:pPr>
        <w:pStyle w:val="ListParagraph"/>
        <w:numPr>
          <w:ilvl w:val="0"/>
          <w:numId w:val="258"/>
        </w:numPr>
      </w:pPr>
      <w:r>
        <w:t>Balancing anonymity and confidentiality in data collection and management.</w:t>
      </w:r>
    </w:p>
    <w:p w14:paraId="155647E5" w14:textId="55BB792D" w:rsidR="006F672E" w:rsidRDefault="006F672E" w:rsidP="006F672E">
      <w:pPr>
        <w:pStyle w:val="ListParagraph"/>
        <w:numPr>
          <w:ilvl w:val="0"/>
          <w:numId w:val="258"/>
        </w:numPr>
      </w:pPr>
      <w:r>
        <w:t>Identifying potential ethical pitfalls and holding yourself accountable as a researcher.</w:t>
      </w:r>
    </w:p>
    <w:p w14:paraId="2A10E792" w14:textId="14248612" w:rsidR="006F672E" w:rsidRDefault="006F672E" w:rsidP="006F672E">
      <w:pPr>
        <w:pStyle w:val="ListParagraph"/>
        <w:numPr>
          <w:ilvl w:val="0"/>
          <w:numId w:val="258"/>
        </w:numPr>
      </w:pPr>
      <w:r>
        <w:t>Understanding how ethical considerations may vary across methodologies, populations, and contexts.</w:t>
      </w:r>
    </w:p>
    <w:p w14:paraId="65909B89" w14:textId="77777777" w:rsidR="006F672E" w:rsidRDefault="006F672E" w:rsidP="006F672E">
      <w:r>
        <w:t>By internalizing these concepts, you lay the foundation for conducting research with integrity. Ethical practices not only protect research participants, but also safeguard the credibility of the scientific process itself. As you progress in your research journey, continue to engage with these ideas and reflect on how to apply them in your own work.</w:t>
      </w:r>
    </w:p>
    <w:p w14:paraId="14C7D2A0" w14:textId="77777777" w:rsidR="006F672E" w:rsidRDefault="006F672E" w:rsidP="006F672E">
      <w:r>
        <w:t>Remember, ethical research goes beyond mere compliance. It requires ongoing critical thought, sensitivity to context, and a commitment to the greater good of expanding human knowledge responsibly. I encourage you to keep learning about research ethics by consulting professional codes of conduct, discussing with mentors and peers, and staying attuned to ethical debates within your field.</w:t>
      </w:r>
    </w:p>
    <w:p w14:paraId="116E616D" w14:textId="70180956" w:rsidR="005B33D3" w:rsidRDefault="006F672E" w:rsidP="006F672E">
      <w:r>
        <w:t>Upholding strong ethical principles will serve you well not only in this class, but throughout your career as a researcher. By starting this process now, you set yourself up for success in producing work of the highest quality and moral caliber.</w:t>
      </w:r>
    </w:p>
    <w:p w14:paraId="65084413" w14:textId="09286D0A" w:rsidR="00985F13" w:rsidRDefault="00985F13" w:rsidP="000E309B">
      <w:pPr>
        <w:spacing w:line="360" w:lineRule="auto"/>
        <w:sectPr w:rsidR="00985F13" w:rsidSect="00FD08D0">
          <w:headerReference w:type="default" r:id="rId115"/>
          <w:headerReference w:type="first" r:id="rId116"/>
          <w:pgSz w:w="12240" w:h="15840"/>
          <w:pgMar w:top="1440" w:right="1440" w:bottom="1440" w:left="1440" w:header="720" w:footer="720" w:gutter="0"/>
          <w:cols w:space="720"/>
          <w:docGrid w:linePitch="299"/>
        </w:sectPr>
      </w:pPr>
    </w:p>
    <w:p w14:paraId="5327D127" w14:textId="444D5C6B" w:rsidR="00A626FE" w:rsidRPr="000E309B" w:rsidRDefault="0050001F" w:rsidP="002150BD">
      <w:pPr>
        <w:pStyle w:val="Heading2"/>
      </w:pPr>
      <w:bookmarkStart w:id="48" w:name="_Toc169156704"/>
      <w:r>
        <w:lastRenderedPageBreak/>
        <w:t xml:space="preserve">4: </w:t>
      </w:r>
      <w:r w:rsidR="002150BD">
        <w:t>Research Design</w:t>
      </w:r>
      <w:bookmarkEnd w:id="48"/>
    </w:p>
    <w:p w14:paraId="5327D129" w14:textId="08AB37E8" w:rsidR="00A626FE" w:rsidRPr="000E309B" w:rsidRDefault="00E52E1A" w:rsidP="0097778D">
      <w:pPr>
        <w:pStyle w:val="Heading3"/>
      </w:pPr>
      <w:bookmarkStart w:id="49" w:name="_Toc169156705"/>
      <w:r>
        <w:rPr>
          <w:noProof/>
        </w:rPr>
        <w:drawing>
          <wp:anchor distT="0" distB="0" distL="114300" distR="114300" simplePos="0" relativeHeight="251658274" behindDoc="0" locked="0" layoutInCell="1" allowOverlap="1" wp14:anchorId="1E0095EA" wp14:editId="43CE53C4">
            <wp:simplePos x="0" y="0"/>
            <wp:positionH relativeFrom="column">
              <wp:align>right</wp:align>
            </wp:positionH>
            <wp:positionV relativeFrom="paragraph">
              <wp:posOffset>0</wp:posOffset>
            </wp:positionV>
            <wp:extent cx="2011680" cy="2011680"/>
            <wp:effectExtent l="0" t="0" r="7620" b="762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14:sizeRelH relativeFrom="margin">
              <wp14:pctWidth>0</wp14:pctWidth>
            </wp14:sizeRelH>
            <wp14:sizeRelV relativeFrom="margin">
              <wp14:pctHeight>0</wp14:pctHeight>
            </wp14:sizeRelV>
          </wp:anchor>
        </w:drawing>
      </w:r>
      <w:r w:rsidR="0097778D">
        <w:t>I</w:t>
      </w:r>
      <w:r w:rsidR="00D14B33" w:rsidRPr="000E309B">
        <w:t>ntroduction</w:t>
      </w:r>
      <w:bookmarkEnd w:id="49"/>
    </w:p>
    <w:p w14:paraId="5327D12B" w14:textId="6B7813B2" w:rsidR="00A626FE" w:rsidRDefault="008B6AD7" w:rsidP="008B6AD7">
      <w:r>
        <w:t xml:space="preserve">Every research project begins with a spark of curiosity about something observed in the world around us. A crafts store owner might wonder why yarn displayed on one side of the store seems to sell better than yarn on the other side. An economist may notice that motels have higher occupancy rates during certain times of the year and wonder what causes that pattern. A delivery driver might </w:t>
      </w:r>
      <w:r w:rsidR="004A3058">
        <w:t>wonder</w:t>
      </w:r>
      <w:r>
        <w:t xml:space="preserve"> if there is a more efficient route for their daily deliveries. These types of questions form the foundation of a research project.</w:t>
      </w:r>
    </w:p>
    <w:p w14:paraId="636AD50C" w14:textId="3F65786E" w:rsidR="00F40C2D" w:rsidRDefault="00E0031F" w:rsidP="009332DE">
      <w:pPr>
        <w:pStyle w:val="IntenseQuote"/>
      </w:pPr>
      <w:r>
        <w:rPr>
          <w:noProof/>
        </w:rPr>
        <w:drawing>
          <wp:anchor distT="0" distB="0" distL="114300" distR="114300" simplePos="0" relativeHeight="251929684" behindDoc="0" locked="0" layoutInCell="1" allowOverlap="1" wp14:anchorId="32C9EACE" wp14:editId="4B5FD32A">
            <wp:simplePos x="0" y="0"/>
            <wp:positionH relativeFrom="column">
              <wp:align>right</wp:align>
            </wp:positionH>
            <wp:positionV relativeFrom="paragraph">
              <wp:posOffset>0</wp:posOffset>
            </wp:positionV>
            <wp:extent cx="914400" cy="914400"/>
            <wp:effectExtent l="19050" t="19050" r="19050" b="19050"/>
            <wp:wrapSquare wrapText="bothSides"/>
            <wp:docPr id="2105694644"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F40C2D">
        <w:t>Objectives</w:t>
      </w:r>
    </w:p>
    <w:p w14:paraId="575941B3" w14:textId="77777777" w:rsidR="009332DE" w:rsidRDefault="009332DE" w:rsidP="00885D01">
      <w:pPr>
        <w:pStyle w:val="Quote"/>
        <w:numPr>
          <w:ilvl w:val="0"/>
          <w:numId w:val="260"/>
        </w:numPr>
      </w:pPr>
      <w:r>
        <w:t>Explain the key considerations researchers should reflect on before beginning a research project, including their existing beliefs, biases, and sources of knowledge about the topic, to ensure they are prepared to accept all findings and minimize potential bias in their work.</w:t>
      </w:r>
    </w:p>
    <w:p w14:paraId="163A4898" w14:textId="77777777" w:rsidR="009332DE" w:rsidRDefault="009332DE" w:rsidP="00885D01">
      <w:pPr>
        <w:pStyle w:val="Quote"/>
        <w:numPr>
          <w:ilvl w:val="0"/>
          <w:numId w:val="260"/>
        </w:numPr>
      </w:pPr>
      <w:r>
        <w:t>Differentiate between the three main types of research (exploratory, descriptive, and explanatory) and articulate the purpose, characteristics, and appropriate applications of each approach in the context of business research.</w:t>
      </w:r>
    </w:p>
    <w:p w14:paraId="54FFBD85" w14:textId="77777777" w:rsidR="009332DE" w:rsidRDefault="009332DE" w:rsidP="00885D01">
      <w:pPr>
        <w:pStyle w:val="Quote"/>
        <w:numPr>
          <w:ilvl w:val="0"/>
          <w:numId w:val="260"/>
        </w:numPr>
      </w:pPr>
      <w:r>
        <w:t>Evaluate the empirical nature of a research topic by assessing whether it can be investigated through observation or experience, is focused on measurable data rather than abstract concepts or value judgments and is amenable to the collection of evidence that allows for meaningful description, explanation, or prediction of the phenomenon under study.</w:t>
      </w:r>
    </w:p>
    <w:p w14:paraId="479FEC44" w14:textId="77777777" w:rsidR="009332DE" w:rsidRDefault="009332DE" w:rsidP="00885D01">
      <w:pPr>
        <w:pStyle w:val="Quote"/>
        <w:numPr>
          <w:ilvl w:val="0"/>
          <w:numId w:val="260"/>
        </w:numPr>
      </w:pPr>
      <w:r>
        <w:t>Craft a well-designed research question that is properly formatted as a question, focused on a single specific topic, open-ended to invite exploration and nuanced answers, and allows for multiple plausible answers to be considered and investigated.</w:t>
      </w:r>
    </w:p>
    <w:p w14:paraId="3889EDC2" w14:textId="3FD86FE6" w:rsidR="004A4DEB" w:rsidRDefault="009332DE" w:rsidP="00885D01">
      <w:pPr>
        <w:pStyle w:val="Quote"/>
        <w:numPr>
          <w:ilvl w:val="0"/>
          <w:numId w:val="260"/>
        </w:numPr>
      </w:pPr>
      <w:r>
        <w:t>Understand the role of hypotheses in positivist research as testable statements, often expressing causal relationships between variables, that are derived from theory and guide the research design, data collection, and analysis processes to build and refine explanatory and predictive models of real-world phenomena.</w:t>
      </w:r>
    </w:p>
    <w:p w14:paraId="6D8DA5E5" w14:textId="666C6D0C" w:rsidR="008B6AD7" w:rsidRDefault="008B6AD7" w:rsidP="004A4DEB">
      <w:r>
        <w:lastRenderedPageBreak/>
        <w:t>As Kristin Esterberg eloquently stated, researchers typically "start where they are"</w:t>
      </w:r>
      <w:r w:rsidR="00744BA2">
        <w:t xml:space="preserve"> </w:t>
      </w:r>
      <w:r w:rsidR="00744BA2">
        <w:fldChar w:fldCharType="begin"/>
      </w:r>
      <w:r w:rsidR="007C07B4">
        <w:instrText xml:space="preserve"> ADDIN ZOTERO_ITEM CSL_CITATION {"citationID":"a147cofp6a","properties":{"formattedCitation":"[43]","plainCitation":"[43]","noteIndex":0},"citationItems":[{"id":31,"uris":["http://zotero.org/users/5015692/items/4EKGW2JA"],"itemData":{"id":31,"type":"article-journal","title":"Qualitative methods in social research","author":[{"family":"Esterberg","given":"Kristin G"}],"issued":{"date-parts":[["2002"]]}}}],"schema":"https://github.com/citation-style-language/schema/raw/master/csl-citation.json"} </w:instrText>
      </w:r>
      <w:r w:rsidR="00744BA2">
        <w:fldChar w:fldCharType="separate"/>
      </w:r>
      <w:r w:rsidR="007C07B4" w:rsidRPr="007C07B4">
        <w:t>[43]</w:t>
      </w:r>
      <w:r w:rsidR="00744BA2">
        <w:fldChar w:fldCharType="end"/>
      </w:r>
      <w:r w:rsidR="005C1338">
        <w:t>.</w:t>
      </w:r>
      <w:r>
        <w:t xml:space="preserve"> Rather than considering yourself a neutral, disinterested observer, it's important to recognize the connections and experiences you bring to your chosen area of study. Researchers often identify intriguing questions from patterns they observe in their everyday lives and then proceed to collect and analyze data to help answer those questions. This chapter focuses on the process of crafting a worthwhile research question and planning a research project, while subsequent chapters will delve into the specifics of data collection and analysis.</w:t>
      </w:r>
    </w:p>
    <w:p w14:paraId="322C1C18" w14:textId="77777777" w:rsidR="008B6AD7" w:rsidRDefault="008B6AD7" w:rsidP="004E5054">
      <w:r>
        <w:t>Once researchers have identified a topic that piques their interest, they must engage in honest self-reflection to determine their existing beliefs and biases about the subject matter. It's crucial to consider whether they believe their perspective is the only valid one and how they would react if their research findings contradicted their preconceived notions. Researchers must be willing to examine and potentially change their cherished beliefs based on the evidence their research provides. If they are likely to deny the research, hide unfavorable outcomes, or manipulate the data to align with their preconceptions, that poses a significant problem. However, having strong feelings about a topic doesn't necessarily mean it should be avoided; in fact, some of the most compelling research topics are those that evoke strong emotions.</w:t>
      </w:r>
    </w:p>
    <w:p w14:paraId="7D8DD0EF" w14:textId="0B3BE015" w:rsidR="002C0CA4" w:rsidRDefault="008B6AD7" w:rsidP="002C0CA4">
      <w:r>
        <w:t>Researchers who are prepared to accept all findings, even those that may be unflattering or challenging to their beliefs, may intentionally choose to study a topic that evokes strong feelings. Sociology professor Kathleen Blee exemplifies this approach in her research on hate movement participants, whose racist ideologies she does not share</w:t>
      </w:r>
      <w:r w:rsidR="000A20CE">
        <w:t xml:space="preserve"> </w:t>
      </w:r>
      <w:r w:rsidR="000A20CE">
        <w:fldChar w:fldCharType="begin"/>
      </w:r>
      <w:r w:rsidR="007C07B4">
        <w:instrText xml:space="preserve"> ADDIN ZOTERO_ITEM CSL_CITATION {"citationID":"a2ccn90evmp","properties":{"formattedCitation":"[44]","plainCitation":"[44]","noteIndex":0},"citationItems":[{"id":30,"uris":["http://zotero.org/users/5015692/items/KKGAWXHF"],"itemData":{"id":30,"type":"article-journal","container-title":"Ethnic and Racial Studies","issue":"4","page":"599–619","title":"Racial violence in the United States","volume":"28","author":[{"family":"Blee","given":"Kathleen M"}],"issued":{"date-parts":[["2005"]]}}}],"schema":"https://github.com/citation-style-language/schema/raw/master/csl-citation.json"} </w:instrText>
      </w:r>
      <w:r w:rsidR="000A20CE">
        <w:fldChar w:fldCharType="separate"/>
      </w:r>
      <w:r w:rsidR="007C07B4" w:rsidRPr="007C07B4">
        <w:t>[44]</w:t>
      </w:r>
      <w:r w:rsidR="000A20CE">
        <w:fldChar w:fldCharType="end"/>
      </w:r>
      <w:r>
        <w:t>. Blee's research is successful because of her commitment to honestly reporting her findings and observations, even when they may be personally difficult to confront.</w:t>
      </w:r>
    </w:p>
    <w:p w14:paraId="20182646" w14:textId="4F013CFF" w:rsidR="008B6AD7" w:rsidRDefault="008B6AD7" w:rsidP="002C0CA4">
      <w:r>
        <w:t>As a final step in this initial stage, researchers should reflect on the sources of their existing knowledge about the topic of interest. Some sources, such as family history, television programs, or casual conversations with friends, may be more prone to introducing bias than others. By critically examining how they know what they know, researchers can identify and work to correct any biases they may bring to the research project.</w:t>
      </w:r>
    </w:p>
    <w:p w14:paraId="49DEA0FB" w14:textId="77777777" w:rsidR="008B6AD7" w:rsidRDefault="008B6AD7" w:rsidP="002C0CA4">
      <w:r>
        <w:t>This chapter aims to provide a framework for designing a research project, recognizing that it is not the only possible approach and may not be the best fit for every investigation. However, the process outlined here can serve as a solid starting point for many research endeavors, helping researchers to clarify their questions, examine their assumptions, and plan their investigations with care and rigor.</w:t>
      </w:r>
    </w:p>
    <w:p w14:paraId="78B3625D" w14:textId="77777777" w:rsidR="008B6AD7" w:rsidRDefault="008B6AD7" w:rsidP="002C0CA4">
      <w:r>
        <w:t>It's important to note that the process of designing a research project is iterative and may require revisiting and refining the research question, assumptions, and plan as new information and insights emerge. Researchers should remain open to adapting their approach as needed to ensure the integrity and effectiveness of their investigation.</w:t>
      </w:r>
    </w:p>
    <w:p w14:paraId="4406B37C" w14:textId="77777777" w:rsidR="008B6AD7" w:rsidRDefault="008B6AD7" w:rsidP="006E0369">
      <w:r>
        <w:lastRenderedPageBreak/>
        <w:t>Additionally, engaging with the existing literature on the topic of interest can help researchers to situate their question within the broader context of the field, identify gaps in current knowledge, and refine their research design. This process of literature review and engagement is an essential step in the research design process and will be discussed in more detail in subsequent chapters.</w:t>
      </w:r>
    </w:p>
    <w:p w14:paraId="5327D13A" w14:textId="3C9E5307" w:rsidR="00A626FE" w:rsidRPr="000E309B" w:rsidRDefault="008B6AD7" w:rsidP="006E0369">
      <w:r>
        <w:t xml:space="preserve">As researchers embark on the journey of designing a research project, they should also consider the ethical implications of their work. This includes being mindful of the potential impacts on participants, communities, and </w:t>
      </w:r>
      <w:r w:rsidR="006E0369">
        <w:t>society, and</w:t>
      </w:r>
      <w:r>
        <w:t xml:space="preserve"> taking steps to ensure that the research is conducted in a responsible and respectful manner. Ethical considerations </w:t>
      </w:r>
      <w:r w:rsidR="006E0369">
        <w:t>are</w:t>
      </w:r>
      <w:r>
        <w:t xml:space="preserve"> explored more fully in </w:t>
      </w:r>
      <w:r w:rsidR="006E0369">
        <w:t>another</w:t>
      </w:r>
      <w:r>
        <w:t xml:space="preserve"> chapter, but it's important to keep them in mind from the outset of the research design process.</w:t>
      </w:r>
    </w:p>
    <w:p w14:paraId="5327D13B" w14:textId="381CBCE8" w:rsidR="00A626FE" w:rsidRPr="000E309B" w:rsidRDefault="0097778D" w:rsidP="0097778D">
      <w:pPr>
        <w:pStyle w:val="Heading3"/>
      </w:pPr>
      <w:bookmarkStart w:id="50" w:name="_Toc169156706"/>
      <w:r>
        <w:t>F</w:t>
      </w:r>
      <w:r w:rsidR="00D14B33" w:rsidRPr="000E309B">
        <w:t xml:space="preserve">irst </w:t>
      </w:r>
      <w:r>
        <w:t>C</w:t>
      </w:r>
      <w:r w:rsidR="00D14B33" w:rsidRPr="000E309B">
        <w:t>onsiderations</w:t>
      </w:r>
      <w:bookmarkEnd w:id="50"/>
    </w:p>
    <w:p w14:paraId="1F5DC3E8" w14:textId="77777777" w:rsidR="00394D65" w:rsidRDefault="00394D65" w:rsidP="00394D65">
      <w:r>
        <w:t>Before diving into the research design process, it's beneficial for researchers to contemplate certain philosophical aspects of their project. While neglecting these considerations may not necessarily derail the research, making these decisions early on can help prevent potential setbacks and redirections down the line.</w:t>
      </w:r>
    </w:p>
    <w:p w14:paraId="61646F15" w14:textId="77777777" w:rsidR="00394D65" w:rsidRDefault="00394D65" w:rsidP="00054E48">
      <w:pPr>
        <w:pStyle w:val="Heading4"/>
      </w:pPr>
      <w:r>
        <w:t>Exploration, Description, Explanation</w:t>
      </w:r>
    </w:p>
    <w:p w14:paraId="3FD888C8" w14:textId="788656D1" w:rsidR="00394D65" w:rsidRDefault="000D4475" w:rsidP="00054E48">
      <w:r>
        <w:rPr>
          <w:noProof/>
        </w:rPr>
        <w:drawing>
          <wp:anchor distT="0" distB="0" distL="114300" distR="114300" simplePos="0" relativeHeight="251816020" behindDoc="0" locked="0" layoutInCell="1" allowOverlap="1" wp14:anchorId="6D71378A" wp14:editId="0126E2A1">
            <wp:simplePos x="0" y="0"/>
            <wp:positionH relativeFrom="column">
              <wp:align>center</wp:align>
            </wp:positionH>
            <wp:positionV relativeFrom="paragraph">
              <wp:posOffset>0</wp:posOffset>
            </wp:positionV>
            <wp:extent cx="3419856" cy="1993392"/>
            <wp:effectExtent l="0" t="0" r="0" b="26035"/>
            <wp:wrapTopAndBottom/>
            <wp:docPr id="258023" name="Diagram 2580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14:sizeRelH relativeFrom="margin">
              <wp14:pctWidth>0</wp14:pctWidth>
            </wp14:sizeRelH>
            <wp14:sizeRelV relativeFrom="margin">
              <wp14:pctHeight>0</wp14:pctHeight>
            </wp14:sizeRelV>
          </wp:anchor>
        </w:drawing>
      </w:r>
      <w:r w:rsidR="00394D65">
        <w:t xml:space="preserve">As </w:t>
      </w:r>
      <w:r w:rsidR="00054E48">
        <w:t>discussed</w:t>
      </w:r>
      <w:r w:rsidR="00394D65">
        <w:t xml:space="preserve"> in Chapter 1, research can generally be classified into three types: exploratory, descriptive, and explanatory. Let's take a closer look at each of these categories and their implications for research design.</w:t>
      </w:r>
    </w:p>
    <w:p w14:paraId="4A05AEA7" w14:textId="77777777" w:rsidR="00394D65" w:rsidRDefault="00394D65" w:rsidP="00053C31">
      <w:pPr>
        <w:pStyle w:val="Heading5"/>
      </w:pPr>
      <w:r>
        <w:t>Exploratory Research:</w:t>
      </w:r>
    </w:p>
    <w:p w14:paraId="570A23FE" w14:textId="77777777" w:rsidR="00394D65" w:rsidRDefault="00394D65" w:rsidP="00053C31">
      <w:r>
        <w:t>Researchers conducting exploratory research are often in the early stages of investigating a topic. The primary purpose of exploratory research is to determine the feasibility and potential scope of a more extensive study. This type of research helps to identify key issues, develop hypotheses, and refine research questions for future investigations. Exploratory research may involve literature reviews, informal discussions with experts in the field, or small-scale pilot studies to gather preliminary data and insights.</w:t>
      </w:r>
    </w:p>
    <w:p w14:paraId="7DDEA743" w14:textId="77777777" w:rsidR="00394D65" w:rsidRDefault="00394D65" w:rsidP="00053C31">
      <w:pPr>
        <w:pStyle w:val="Heading5"/>
      </w:pPr>
      <w:r>
        <w:lastRenderedPageBreak/>
        <w:t>Descriptive Research:</w:t>
      </w:r>
    </w:p>
    <w:p w14:paraId="61C3A0A3" w14:textId="77777777" w:rsidR="00394D65" w:rsidRDefault="00394D65" w:rsidP="00053C31">
      <w:r>
        <w:t>Descriptive research, as the name suggests, aims to describe or define a particular phenomenon. The goal is to provide an accurate and detailed account of the subject matter without necessarily delving into the underlying causes or explanations. For example, an economist publishing a report on gasoline prices in various parts of a city is engaging in descriptive research. Descriptive studies often involve surveys, observations, or analyses of existing data to capture the characteristics, patterns, or trends of the phenomenon under investigation.</w:t>
      </w:r>
    </w:p>
    <w:p w14:paraId="107D4E85" w14:textId="77777777" w:rsidR="00394D65" w:rsidRDefault="00394D65" w:rsidP="00053C31">
      <w:pPr>
        <w:pStyle w:val="Heading5"/>
      </w:pPr>
      <w:r>
        <w:t>Explanatory Research:</w:t>
      </w:r>
    </w:p>
    <w:p w14:paraId="3239F6BF" w14:textId="521E894E" w:rsidR="00394D65" w:rsidRDefault="00394D65" w:rsidP="00053C31">
      <w:r>
        <w:t>Explanatory research seeks to answer the "why" questions behind observed phenomena. Researchers conducting explanatory studies aim to identify the causes and effects of the subject matter, going beyond mere description to provide a deeper understanding of the underlying mechanisms and relationships at play. Explanatory research often involves testing hypotheses, manipulating variables, and employing more rigorous research designs to establish causal connections and develop theories that explain the observed phenomena.</w:t>
      </w:r>
    </w:p>
    <w:p w14:paraId="60E42FCA" w14:textId="28487001" w:rsidR="00394D65" w:rsidRDefault="00394D65" w:rsidP="00EB3B92">
      <w:r>
        <w:t xml:space="preserve">While research can be exploratory, descriptive, or explanatory, </w:t>
      </w:r>
      <w:r w:rsidR="00EB3B92">
        <w:t>most of the</w:t>
      </w:r>
      <w:r>
        <w:t xml:space="preserve"> business research tends to fall into either the descriptive or explanatory categories. Economists frequently produce research reports that describe the state of the economy without necessarily proposing experiments to test their descriptions. On the other hand, business and marketing research often takes an explanatory approach, seeking to develop concepts and theories that explain observed phenomena in the marketplace.</w:t>
      </w:r>
    </w:p>
    <w:p w14:paraId="5EA83123" w14:textId="77777777" w:rsidR="00394D65" w:rsidRDefault="00394D65" w:rsidP="00EB3B92">
      <w:r>
        <w:t>When deciding whether to pursue exploratory, descriptive, or explanatory research, researchers should consider the current state of knowledge on their topic of interest, the specific research questions they aim to answer, and the resources available for the study. Exploratory research may be most appropriate when little is known about a topic, and the researcher needs to gather initial insights and generate hypotheses for further investigation. Descriptive research is well-suited for providing a detailed snapshot of a phenomenon, such as consumer preferences or market trends, without necessarily delving into the underlying causes. Explanatory research, on the other hand, is most appropriate when the researcher seeks to understand the "why" behind observed patterns and relationships, often with the goal of developing or testing theories.</w:t>
      </w:r>
    </w:p>
    <w:p w14:paraId="30716860" w14:textId="77777777" w:rsidR="00394D65" w:rsidRDefault="00394D65" w:rsidP="00EB3B92">
      <w:r>
        <w:t>It's important to note that a single research project may incorporate elements of exploratory, descriptive, and explanatory research at different stages. For example, a researcher may begin with an exploratory phase to identify key issues and refine their research questions, followed by a descriptive phase to capture the characteristics of the phenomenon under study, and finally an explanatory phase to test hypotheses and develop theories based on the collected data.</w:t>
      </w:r>
    </w:p>
    <w:p w14:paraId="58E1BC7F" w14:textId="1A6C628E" w:rsidR="00394D65" w:rsidRDefault="00394D65" w:rsidP="000D4475">
      <w:r>
        <w:t xml:space="preserve">As researchers consider the philosophical foundations of their research design, they should also be mindful of the practical implications of their chosen approach. Exploratory research may require more flexibility and adaptability in the research design, as new insights and questions </w:t>
      </w:r>
      <w:r>
        <w:lastRenderedPageBreak/>
        <w:t>emerge throughout the process. Descriptive research may demand careful attention to sampling and measurement to ensure the accuracy and representativeness of the data. Explanatory research may necessitate more rigorous research designs, such as experiments or longitudinal studies, to establish causal relationships and test hypotheses.</w:t>
      </w:r>
    </w:p>
    <w:p w14:paraId="5B748AB1" w14:textId="698E3AF3" w:rsidR="00394D65" w:rsidRDefault="00394D65" w:rsidP="000D4475">
      <w:r>
        <w:t>By thoughtfully considering the nature and goals of their research project, researchers can make informed decisions about the most appropriate approach to their investigation, laying a solid foundation for the research design process to follow.</w:t>
      </w:r>
    </w:p>
    <w:p w14:paraId="5327D13F" w14:textId="5DE842C2" w:rsidR="00A626FE" w:rsidRDefault="007F3670" w:rsidP="007F3670">
      <w:pPr>
        <w:pStyle w:val="Heading4"/>
      </w:pPr>
      <w:r>
        <w:t>Is the Topic Empirical?</w:t>
      </w:r>
    </w:p>
    <w:p w14:paraId="7AB84EC1" w14:textId="77777777" w:rsidR="000A4CFB" w:rsidRDefault="000A4CFB" w:rsidP="007F3670">
      <w:r>
        <w:t>When designing a research project, it's crucial to consider whether the topic at hand is empirical in nature. An empirical topic is one that can be investigated through observation or experience, as opposed to one that deals solely with opinions or theories. In other words, empirical research is grounded in concrete, measurable data rather than abstract concepts or value judgments.</w:t>
      </w:r>
    </w:p>
    <w:p w14:paraId="4F8D3BD9" w14:textId="77777777" w:rsidR="000A4CFB" w:rsidRDefault="000A4CFB" w:rsidP="00EF46EA">
      <w:r>
        <w:t>To illustrate this point, let's consider two examples. First, imagine a researcher investigating healthcare costs to answer the question, "What is the best way to fund healthcare?" While this question is undoubtedly important, it does not lend itself well to empirical investigation. The notion of "best way" is inherently subjective and open to interpretation, making it difficult to measure or quantify. However, if the researcher were to reframe the question to focus on describing how healthcare is currently funded, the topic would become more amenable to empirical study. The researcher could gather data on healthcare funding sources, analyze trends and patterns, and report their findings based on concrete, observable evidence.</w:t>
      </w:r>
    </w:p>
    <w:p w14:paraId="744A8533" w14:textId="5F91774B" w:rsidR="000A4CFB" w:rsidRDefault="000A4CFB" w:rsidP="006618DF">
      <w:r>
        <w:t>As a second example, consider the case of the Christian group Focus on the Family, which denounced the cartoon character Spongebob Squarepants as a pro-gay activist in 2005</w:t>
      </w:r>
      <w:r w:rsidR="00683AA8">
        <w:t xml:space="preserve"> </w:t>
      </w:r>
      <w:r w:rsidR="00683AA8">
        <w:fldChar w:fldCharType="begin"/>
      </w:r>
      <w:r w:rsidR="007C07B4">
        <w:instrText xml:space="preserve"> ADDIN ZOTERO_ITEM CSL_CITATION {"citationID":"a1kaolj2vea","properties":{"formattedCitation":"[45]","plainCitation":"[45]","noteIndex":0},"citationItems":[{"id":25,"uris":["http://zotero.org/users/5015692/items/TEFFMBQH"],"itemData":{"id":25,"type":"article-journal","container-title":"The New York Times","title":"Conservatives pick soft target: A cartoon sponge","volume":"20","author":[{"family":"Kirkpatrick","given":"David D"}],"issued":{"date-parts":[["2005"]]}}}],"schema":"https://github.com/citation-style-language/schema/raw/master/csl-citation.json"} </w:instrText>
      </w:r>
      <w:r w:rsidR="00683AA8">
        <w:fldChar w:fldCharType="separate"/>
      </w:r>
      <w:r w:rsidR="007C07B4" w:rsidRPr="007C07B4">
        <w:t>[45]</w:t>
      </w:r>
      <w:r w:rsidR="00683AA8">
        <w:fldChar w:fldCharType="end"/>
      </w:r>
      <w:r>
        <w:t>. Could a researcher empirically determine whether Spongebob is immoral? The answer is no, as the question of morality is ultimately an ethical or philosophical one, not an empirical one. While a researcher could certainly gather data on people's perceptions of Spongebob or interview the program's creators to understand their intentions, the fundamental question of morality lies beyond the scope of empirical investigation. Answering such a question would fall under the purview of ethicists or theologians, not business researchers.</w:t>
      </w:r>
    </w:p>
    <w:p w14:paraId="3EF04FB0" w14:textId="77777777" w:rsidR="000A4CFB" w:rsidRDefault="000A4CFB" w:rsidP="000C13F6">
      <w:r>
        <w:t>The distinction between empirical and non-empirical topics is essential for researchers to grasp, as it has significant implications for the research design process. Empirical research is characterized by its reliance on observable, measurable data, which can be collected through various methods such as surveys, experiments, or content analysis. The goal of empirical research is to describe, explain, or predict phenomena based on evidence rather than speculation or opinion.</w:t>
      </w:r>
    </w:p>
    <w:p w14:paraId="0FB0ADAD" w14:textId="77777777" w:rsidR="000A4CFB" w:rsidRDefault="000A4CFB" w:rsidP="007F3670">
      <w:r>
        <w:t xml:space="preserve">Non-empirical topics, on the other hand, deal with abstract concepts, value judgments, or normative questions that cannot be easily measured or observed. While these topics may be important and worthy of investigation, they require different approaches and methods than </w:t>
      </w:r>
      <w:r>
        <w:lastRenderedPageBreak/>
        <w:t>empirical research. For example, a philosopher investigating the nature of morality would rely on logical reasoning, conceptual analysis, and arguments rather than empirical data collection and analysis.</w:t>
      </w:r>
    </w:p>
    <w:p w14:paraId="0A7A1DFF" w14:textId="4FFC9772" w:rsidR="000A4CFB" w:rsidRDefault="000A4CFB" w:rsidP="000C13F6">
      <w:r>
        <w:t>It's worth noting that some research projects may incorporate both empirical and non-empirical elements. For instance, a study on business ethics might include an empirical component that surveys managers' attitudes and behaviors related to ethical decision-making, as well as a normative component that argues for a particular ethical framework or set of principles. In such cases, researchers must be clear about which aspects of their project are empirical and which are not and select appropriate methods and approaches accordingly.</w:t>
      </w:r>
    </w:p>
    <w:p w14:paraId="11AC9928" w14:textId="77777777" w:rsidR="000A4CFB" w:rsidRDefault="000A4CFB" w:rsidP="000D0203">
      <w:r>
        <w:t>When evaluating whether a topic is suitable for empirical investigation, researchers should ask themselves the following questions:</w:t>
      </w:r>
    </w:p>
    <w:p w14:paraId="2BC868E2" w14:textId="77777777" w:rsidR="000A4CFB" w:rsidRDefault="000A4CFB" w:rsidP="000D0203">
      <w:pPr>
        <w:pStyle w:val="ListParagraph"/>
        <w:numPr>
          <w:ilvl w:val="0"/>
          <w:numId w:val="183"/>
        </w:numPr>
      </w:pPr>
      <w:r>
        <w:t>Can the key concepts or variables be clearly defined and operationalized?</w:t>
      </w:r>
    </w:p>
    <w:p w14:paraId="426C6F02" w14:textId="77777777" w:rsidR="000A4CFB" w:rsidRDefault="000A4CFB" w:rsidP="000D0203">
      <w:pPr>
        <w:pStyle w:val="ListParagraph"/>
        <w:numPr>
          <w:ilvl w:val="0"/>
          <w:numId w:val="183"/>
        </w:numPr>
      </w:pPr>
      <w:r>
        <w:t>Is it possible to collect observable, measurable data related to the topic?</w:t>
      </w:r>
    </w:p>
    <w:p w14:paraId="54EB6F73" w14:textId="77777777" w:rsidR="000A4CFB" w:rsidRDefault="000A4CFB" w:rsidP="000D0203">
      <w:pPr>
        <w:pStyle w:val="ListParagraph"/>
        <w:numPr>
          <w:ilvl w:val="0"/>
          <w:numId w:val="183"/>
        </w:numPr>
      </w:pPr>
      <w:r>
        <w:t>Will the data collected allow for meaningful description, explanation, or prediction of the phenomenon under study?</w:t>
      </w:r>
    </w:p>
    <w:p w14:paraId="671F72CE" w14:textId="77777777" w:rsidR="000A4CFB" w:rsidRDefault="000A4CFB" w:rsidP="000D0203">
      <w:pPr>
        <w:pStyle w:val="ListParagraph"/>
        <w:numPr>
          <w:ilvl w:val="0"/>
          <w:numId w:val="183"/>
        </w:numPr>
      </w:pPr>
      <w:r>
        <w:t>Are the research questions focused on "what is" rather than "what ought to be"?</w:t>
      </w:r>
    </w:p>
    <w:p w14:paraId="5327D142" w14:textId="43009DCB" w:rsidR="00A626FE" w:rsidRPr="000E309B" w:rsidRDefault="000A4CFB" w:rsidP="000D0203">
      <w:r>
        <w:t>By carefully considering these questions and the nature of their research topic, researchers can ensure that they are pursuing empirical investigation when appropriate and selecting research designs and methods that align with the goals and constraints of their project.</w:t>
      </w:r>
    </w:p>
    <w:p w14:paraId="65D09E09" w14:textId="77777777" w:rsidR="007276BC" w:rsidRDefault="007276BC" w:rsidP="007276BC">
      <w:pPr>
        <w:pStyle w:val="Heading4"/>
      </w:pPr>
      <w:r>
        <w:t>Crafting a Research Question</w:t>
      </w:r>
    </w:p>
    <w:p w14:paraId="66092D21" w14:textId="77777777" w:rsidR="007276BC" w:rsidRDefault="007276BC" w:rsidP="007276BC">
      <w:r>
        <w:t>Once a researcher has identified an empirical topic suitable for investigation, the next crucial step is to formulate a well-designed research question. A research question serves as the foundation and guiding principle for the entire research project, shaping the study's focus, methods, and outcomes. As such, it's essential to invest time and effort in developing a research question that meets certain key criteria. Let's explore the qualities of a good research question in more detail.</w:t>
      </w:r>
    </w:p>
    <w:p w14:paraId="0F1AFDAF" w14:textId="77777777" w:rsidR="007276BC" w:rsidRDefault="007276BC" w:rsidP="00CA71E2">
      <w:pPr>
        <w:pStyle w:val="Heading5"/>
      </w:pPr>
      <w:r>
        <w:t>Question Format</w:t>
      </w:r>
    </w:p>
    <w:p w14:paraId="1982ED48" w14:textId="77777777" w:rsidR="007276BC" w:rsidRDefault="007276BC" w:rsidP="007276BC">
      <w:r>
        <w:t>First and foremost, a research question must be written in the form of a question. This may seem obvious, but it's a fundamental requirement that is sometimes overlooked. Simply stating a topic, such as "childfree adults" or "movies," does not constitute a research question. A question mark is a necessary component of a properly formulated research query.</w:t>
      </w:r>
    </w:p>
    <w:p w14:paraId="738D702F" w14:textId="77777777" w:rsidR="007276BC" w:rsidRDefault="007276BC" w:rsidP="00CA71E2">
      <w:pPr>
        <w:pStyle w:val="Heading5"/>
      </w:pPr>
      <w:r>
        <w:t>Focus and Specificity</w:t>
      </w:r>
    </w:p>
    <w:p w14:paraId="1415B0B7" w14:textId="77777777" w:rsidR="007276BC" w:rsidRDefault="007276BC" w:rsidP="007276BC">
      <w:r>
        <w:t>A good research question should be focused on a single, specific topic of interest. Attempting to explore multiple areas or issues within a single question can lead to a lack of clarity and direction, ultimately hindering the research process. By narrowing the scope of the question to a particular aspect of the topic, researchers can ensure that their investigation remains focused and manageable.</w:t>
      </w:r>
    </w:p>
    <w:p w14:paraId="065E6FC8" w14:textId="77777777" w:rsidR="007276BC" w:rsidRDefault="007276BC" w:rsidP="00CA71E2">
      <w:pPr>
        <w:pStyle w:val="Heading5"/>
      </w:pPr>
      <w:r>
        <w:lastRenderedPageBreak/>
        <w:t>Open-Endedness</w:t>
      </w:r>
    </w:p>
    <w:p w14:paraId="6FF3032D" w14:textId="74544422" w:rsidR="007276BC" w:rsidRDefault="007276BC" w:rsidP="00CA71E2">
      <w:r>
        <w:t xml:space="preserve">Research questions should be open-ended, meaning they cannot be answered with a simple "yes" or "no" response. Closed-ended questions, such as "Does location influence the price of a real estate sale?" limit the scope of the investigation and fail to capture the complexity of the phenomenon under study. Instead, researchers should aim to craft questions that invite exploration and allow for nuanced, multi-faceted answers. For example, "How does location influence the price of a real estate sale?" </w:t>
      </w:r>
      <w:r w:rsidR="00CA71E2">
        <w:t>opens</w:t>
      </w:r>
      <w:r>
        <w:t xml:space="preserve"> the possibility for a more comprehensive investigation of the relationship between location and real estate prices.</w:t>
      </w:r>
    </w:p>
    <w:p w14:paraId="69334EAA" w14:textId="77777777" w:rsidR="007276BC" w:rsidRDefault="007276BC" w:rsidP="00CA71E2">
      <w:pPr>
        <w:pStyle w:val="Heading5"/>
      </w:pPr>
      <w:r>
        <w:t>Multiple Plausible Answers</w:t>
      </w:r>
    </w:p>
    <w:p w14:paraId="705DB236" w14:textId="77777777" w:rsidR="007276BC" w:rsidRDefault="007276BC" w:rsidP="00CA71E2">
      <w:r>
        <w:t>A well-designed research question should have more than one plausible answer. If there is only one possible answer to the question, then there is little room for genuine investigation or discovery. Research questions should be designed to explore a range of possibilities and perspectives, allowing for the emergence of new insights and understandings. By considering multiple potential answers, researchers can develop a more robust and comprehensive approach to their investigation.</w:t>
      </w:r>
    </w:p>
    <w:p w14:paraId="24E6FAC7" w14:textId="77777777" w:rsidR="007276BC" w:rsidRDefault="007276BC" w:rsidP="00D64506">
      <w:r>
        <w:t>In addition to these four key qualities, there are several other factors to consider when crafting a research question. For example, researchers should ensure that their question is grounded in the existing literature and addresses a genuine gap in current knowledge. This requires conducting a thorough literature review to identify what is already known about the topic and where further investigation is needed.</w:t>
      </w:r>
    </w:p>
    <w:p w14:paraId="54D8B217" w14:textId="77777777" w:rsidR="007276BC" w:rsidRDefault="007276BC" w:rsidP="002C10D0">
      <w:r>
        <w:t>Researchers should also consider the feasibility of answering their research question given the available resources and constraints. This includes evaluating whether the necessary data can be collected, whether the research design is appropriate for the question at hand, and whether the project can be completed within the given time frame and budget.</w:t>
      </w:r>
    </w:p>
    <w:p w14:paraId="46E63F05" w14:textId="77777777" w:rsidR="007276BC" w:rsidRDefault="007276BC" w:rsidP="002C10D0">
      <w:r>
        <w:t>It's also important to consider the potential implications and significance of the research question. A good research question should have both theoretical and practical relevance, contributing to the advancement of knowledge in the field while also addressing real-world issues or challenges. By articulating the potential impact of their research, researchers can make a stronger case for the value and importance of their work.</w:t>
      </w:r>
    </w:p>
    <w:p w14:paraId="1CAC83FB" w14:textId="16AA1D1A" w:rsidR="007276BC" w:rsidRDefault="007276BC" w:rsidP="002C10D0">
      <w:r>
        <w:t xml:space="preserve">Finally, researchers should be open to refining and revising their research </w:t>
      </w:r>
      <w:r w:rsidR="009F42F8">
        <w:t>questions</w:t>
      </w:r>
      <w:r>
        <w:t xml:space="preserve"> as their investigation progresses. As new insights and data emerge, it may become necessary to adjust the focus or scope of the question to better align with the evolving nature of the research. This iterative process of question refinement is a natural part of the research journey and can ultimately lead to a more robust and meaningful investigation.</w:t>
      </w:r>
    </w:p>
    <w:p w14:paraId="5327D148" w14:textId="5FA24B46" w:rsidR="00A626FE" w:rsidRPr="000E309B" w:rsidRDefault="007276BC" w:rsidP="009A1451">
      <w:r>
        <w:t>By carefully considering these qualities and factors when crafting a research question, researchers can lay a solid foundation for a successful and impactful research project.</w:t>
      </w:r>
    </w:p>
    <w:p w14:paraId="5327D149" w14:textId="2F901786" w:rsidR="00A626FE" w:rsidRPr="000E309B" w:rsidRDefault="00D14B33" w:rsidP="00D64AE8">
      <w:pPr>
        <w:pStyle w:val="Heading4"/>
      </w:pPr>
      <w:r w:rsidRPr="000E309B">
        <w:lastRenderedPageBreak/>
        <w:t>Hypotheses</w:t>
      </w:r>
    </w:p>
    <w:p w14:paraId="763DD69B" w14:textId="268D864E" w:rsidR="006D5C4C" w:rsidRDefault="006D5C4C" w:rsidP="006D5C4C">
      <w:r>
        <w:t>In positivist research, the primary goal is to test a theory, and this is typically accomplished by formulating and testing hypotheses derived from that theory</w:t>
      </w:r>
      <w:r>
        <w:rPr>
          <w:rStyle w:val="FootnoteReference"/>
        </w:rPr>
        <w:footnoteReference w:id="7"/>
      </w:r>
      <w:r>
        <w:t>. A hypothesis is a statement, often expressing a causal relationship, that outlines the researcher's expectations regarding the anticipated results of the study. Hypotheses are usually written to describe the expected relationship between two variables, with the independent variable predicted to affect the dependent variable in a specific way. These hypotheses are generally grounded in a theoretical framework, and if the theory accurately captures the phenomenon under investigation, the researcher's hypotheses should be supported by the data.</w:t>
      </w:r>
    </w:p>
    <w:p w14:paraId="7B65B9E4" w14:textId="05C5E0CA" w:rsidR="006D5C4C" w:rsidRDefault="006D5C4C" w:rsidP="006D5C4C">
      <w:r>
        <w:t xml:space="preserve">To illustrate this concept, let's consider an example from Social Exchange Theory, which posits </w:t>
      </w:r>
      <w:r w:rsidR="005C52C8">
        <w:t>positive outcomes</w:t>
      </w:r>
      <w:r>
        <w:t xml:space="preserve"> from social exchanges over time lead to increased trust and commitment </w:t>
      </w:r>
      <w:r w:rsidR="00406C3B">
        <w:fldChar w:fldCharType="begin"/>
      </w:r>
      <w:r w:rsidR="007C07B4">
        <w:instrText xml:space="preserve"> ADDIN ZOTERO_ITEM CSL_CITATION {"citationID":"a1e7a1l9r11","properties":{"formattedCitation":"[46]","plainCitation":"[46]","noteIndex":0},"citationItems":[{"id":24,"uris":["http://zotero.org/users/5015692/items/UUMJNN5W"],"itemData":{"id":24,"type":"article-journal","container-title":"Journal of Business-to-Business Marketing","issue":"3","page":"1–36","title":"Social exchange theory and research on business-to-business relational exchange","volume":"8","author":[{"family":"Lambe","given":"C Jay"},{"family":"Wittmann","given":"C Michael"},{"family":"Spekman","given":"Robert E"}],"issued":{"date-parts":[["2001"]]}}}],"schema":"https://github.com/citation-style-language/schema/raw/master/csl-citation.json"} </w:instrText>
      </w:r>
      <w:r w:rsidR="00406C3B">
        <w:fldChar w:fldCharType="separate"/>
      </w:r>
      <w:r w:rsidR="007C07B4" w:rsidRPr="007C07B4">
        <w:t>[46]</w:t>
      </w:r>
      <w:r w:rsidR="00406C3B">
        <w:fldChar w:fldCharType="end"/>
      </w:r>
      <w:r>
        <w:t xml:space="preserve">. Based on this theory, a researcher might hypothesize that brand loyalty increases </w:t>
      </w:r>
      <w:r w:rsidR="00E80380">
        <w:t>because of</w:t>
      </w:r>
      <w:r>
        <w:t xml:space="preserve"> positive outcomes from social exchanges. The researcher would then design a study to test this hypothesis, collecting data on social exchange outcomes and brand loyalty to determine if the predicted relationship holds.</w:t>
      </w:r>
    </w:p>
    <w:p w14:paraId="7E1D0F33" w14:textId="77777777" w:rsidR="006D5C4C" w:rsidRDefault="006D5C4C" w:rsidP="005C52C8">
      <w:r>
        <w:t>When formulating hypotheses, researchers often specify the expected direction of the relationship between variables. For instance, they may hypothesize that an increase in one variable will lead to an increase (or decrease) in another variable, indicating that the variables are correlated. To illustrate this, consider a researcher investigating the relationship between age and consumers' preference for sustainable products. The researcher might hypothesize that "younger consumers tend to prefer sustainable products more than older consumers." The study would then be designed to collect data on consumer age and product preferences, allowing the researcher to determine if there is indeed a difference in preferences based on age.</w:t>
      </w:r>
    </w:p>
    <w:p w14:paraId="2C31CF44" w14:textId="77777777" w:rsidR="006D5C4C" w:rsidRDefault="006D5C4C" w:rsidP="005C52C8">
      <w:r>
        <w:t>It's important to note that researchers are cautious when discussing the results of their hypothesis testing. Rather than claiming to have "proven" a hypothesis, which implies a relationship exists with absolute certainty and no exceptions, researchers typically state that their hypotheses have been "supported" (or not supported) by the data. This more measured language acknowledges the possibility that new evidence or alternative ways of examining the relationship may emerge in the future. Researchers may also discuss a "null hypothesis," which predicts no relationship between the variables under study. If a researcher "rejects the null hypothesis," it indicates that the variables are related in some way, even if the exact nature of the relationship requires further investigation.</w:t>
      </w:r>
    </w:p>
    <w:p w14:paraId="0AD042BD" w14:textId="77777777" w:rsidR="006D5C4C" w:rsidRDefault="006D5C4C" w:rsidP="00F77EC5">
      <w:r>
        <w:t xml:space="preserve">Hypotheses play a crucial role in positivist research, as they provide a clear and testable statement of the expected relationships between variables. By specifying the anticipated direction and nature of these relationships, hypotheses guide the research design, data collection, and analysis </w:t>
      </w:r>
      <w:r>
        <w:lastRenderedPageBreak/>
        <w:t>processes. Well-crafted hypotheses are specific, measurable, and grounded in a theoretical framework, ensuring that the research is focused and meaningful.</w:t>
      </w:r>
    </w:p>
    <w:p w14:paraId="0BD6137E" w14:textId="77777777" w:rsidR="006D5C4C" w:rsidRDefault="006D5C4C" w:rsidP="00F77EC5">
      <w:r>
        <w:t>When developing hypotheses, researchers must carefully consider the variables they are investigating and how they will be measured. The independent variable is the factor that is manipulated or varies naturally, while the dependent variable is the outcome or effect that is being studied. In the example of age and sustainable product preferences, age would be the independent variable, and product preference would be the dependent variable. By clearly defining and operationalizing these variables, researchers can design studies that effectively test their hypotheses.</w:t>
      </w:r>
    </w:p>
    <w:p w14:paraId="2D10CF29" w14:textId="77777777" w:rsidR="006D5C4C" w:rsidRDefault="006D5C4C" w:rsidP="00F77EC5">
      <w:r>
        <w:t>It's also worth noting that hypotheses are not limited to simple bivariate relationships. Researchers may propose more complex hypotheses involving multiple variables, moderating factors, or mediating mechanisms. For example, a researcher might hypothesize that the relationship between age and sustainable product preferences is moderated by education level, such that the effect of age on preferences is stronger among more highly educated consumers. Testing such complex hypotheses requires careful research design and appropriate statistical analyses.</w:t>
      </w:r>
    </w:p>
    <w:p w14:paraId="7C9B240E" w14:textId="77777777" w:rsidR="006D5C4C" w:rsidRDefault="006D5C4C" w:rsidP="0093465F">
      <w:r>
        <w:t>In some cases, researchers may propose competing hypotheses, each offering a different explanation for the phenomenon under study. By testing these alternative hypotheses against one another, researchers can gain a more nuanced understanding of the relationships between variables and the underlying mechanisms at play.</w:t>
      </w:r>
    </w:p>
    <w:p w14:paraId="335583B6" w14:textId="67B04D02" w:rsidR="008805CD" w:rsidRDefault="006D5C4C" w:rsidP="0093465F">
      <w:r>
        <w:t>Ultimately, the goal of hypothesis testing in positivist research is to build and refine theories that accurately explain and predict real-world phenomena. By formulating clear, testable hypotheses and subjecting them to rigorous empirical investigation, researchers can contribute to the advancement of knowledge in their field and inform evidence-based decision-making in various domains, from business and marketing to public policy and beyond.</w:t>
      </w:r>
    </w:p>
    <w:p w14:paraId="2EFB30A2" w14:textId="77777777" w:rsidR="00C34790" w:rsidRDefault="00C34790" w:rsidP="00C34790">
      <w:pPr>
        <w:pStyle w:val="Heading4"/>
      </w:pPr>
      <w:r>
        <w:t>Feasibility Considerations in Research Design</w:t>
      </w:r>
    </w:p>
    <w:p w14:paraId="1DAB4364" w14:textId="26CA8AA0" w:rsidR="00C34790" w:rsidRDefault="00C34790" w:rsidP="003019C0">
      <w:r>
        <w:t xml:space="preserve">Before embarking on a research project, it's essential for researchers to consider the practical feasibility of their proposed study. While ethical considerations, as discussed in Chapter 3, can render some research projects unfeasible, there are also several practical matters that researchers must </w:t>
      </w:r>
      <w:r w:rsidR="003019C0">
        <w:t>consider</w:t>
      </w:r>
      <w:r>
        <w:t xml:space="preserve"> </w:t>
      </w:r>
      <w:r w:rsidR="005F3E7C">
        <w:t>ensuring</w:t>
      </w:r>
      <w:r>
        <w:t xml:space="preserve"> the viability of their investigation. These feasibility issues can relate to access to populations, time constraints, and available funding, among other factors.</w:t>
      </w:r>
    </w:p>
    <w:p w14:paraId="4D89ABD0" w14:textId="738B6598" w:rsidR="00C34790" w:rsidRDefault="00C34790" w:rsidP="00584C9E">
      <w:r>
        <w:t xml:space="preserve">One key feasibility concern is gaining sufficient access to the population of interest. For example, a researcher seeking to explore the day-to-day experiences of maximum-security prisoners may face significant barriers in gaining the necessary access to this population. Even in more familiar settings, such as researching children's snack preferences, access can be challenging. </w:t>
      </w:r>
      <w:r w:rsidR="004512A5">
        <w:t xml:space="preserve">In one investigation, researchers </w:t>
      </w:r>
      <w:r>
        <w:t>conducted interviews with 8-to-11-year-old children to investigate their exposure to food advertising and subsequent snack choices</w:t>
      </w:r>
      <w:r w:rsidR="00406C3B">
        <w:t xml:space="preserve"> </w:t>
      </w:r>
      <w:r w:rsidR="00406C3B">
        <w:fldChar w:fldCharType="begin"/>
      </w:r>
      <w:r w:rsidR="007C07B4">
        <w:instrText xml:space="preserve"> ADDIN ZOTERO_ITEM CSL_CITATION {"citationID":"a12ei8j9mvl","properties":{"formattedCitation":"[47]","plainCitation":"[47]","noteIndex":0},"citationItems":[{"id":28,"uris":["http://zotero.org/users/5015692/items/YXFWK78A"],"itemData":{"id":28,"type":"article-journal","container-title":"Journal of Consumer Behaviour: An International Research Review","issue":"4","page":"164–181","title":"Families, food, and pester power: beyond the blame game?","volume":"6","author":[{"family":"Marshall","given":"David"},{"family":"O'Donohoe","given":"Stephanie"},{"family":"Kline","given":"Stephen"}],"issued":{"date-parts":[["2007"]]}}}],"schema":"https://github.com/citation-style-language/schema/raw/master/csl-citation.json"} </w:instrText>
      </w:r>
      <w:r w:rsidR="00406C3B">
        <w:fldChar w:fldCharType="separate"/>
      </w:r>
      <w:r w:rsidR="007C07B4" w:rsidRPr="007C07B4">
        <w:t>[47]</w:t>
      </w:r>
      <w:r w:rsidR="00406C3B">
        <w:fldChar w:fldCharType="end"/>
      </w:r>
      <w:r>
        <w:t xml:space="preserve">. While finding children in this age group to interview may be relatively easy, there are questions about the honesty and reliability of </w:t>
      </w:r>
      <w:r>
        <w:lastRenderedPageBreak/>
        <w:t>their responses in a formal interview setting with an adult. Children's answers may be influenced by the adult's presence and questioning, and their true thoughts and behaviors may be better captured through observing their interactions with peers during play. Gaining access to these more naturalistic settings can be difficult, if not impossible, for adult researchers.</w:t>
      </w:r>
    </w:p>
    <w:p w14:paraId="1B7C1D1C" w14:textId="0D611B0C" w:rsidR="00C34790" w:rsidRDefault="00C34790" w:rsidP="00517F84">
      <w:r>
        <w:t>Time constraints can also limit the feasibility of certain research projects. For instance, a researcher interested in studying how shopping habits change in a gentrifying community may need to observe the neighborhood over an extended period, perhaps decades, to fully capture the impact of gentrification. This would involve recording the demographics of shopping families, conducting interviews to understand their experiences and perceptions, and analyzing their purchasing behavior. Such a longitudinal study may be unfeasible for most researchers, given the time commitment required. Instead, researchers may need to rely on shorter-term studies, such as surveys of organic food shoppers in gentrified neighborhoods</w:t>
      </w:r>
      <w:r w:rsidR="00BC6B41">
        <w:t xml:space="preserve"> </w:t>
      </w:r>
      <w:r w:rsidR="00BC6B41">
        <w:fldChar w:fldCharType="begin"/>
      </w:r>
      <w:r w:rsidR="007C07B4">
        <w:instrText xml:space="preserve"> ADDIN ZOTERO_ITEM CSL_CITATION {"citationID":"a1ere5ulqq0","properties":{"formattedCitation":"[48]","plainCitation":"[48]","noteIndex":0},"citationItems":[{"id":23,"uris":["http://zotero.org/users/5015692/items/ZD3YP3ZK"],"itemData":{"id":23,"type":"article-journal","container-title":"Advances in Applied Sociology","title":"From food desert to food mirage: Race, social class, and food shopping in a gentrifying neighborhood","author":[{"family":"Sullivan","given":"Daniel Monroe"}],"issued":{"date-parts":[["2014"]]}}}],"schema":"https://github.com/citation-style-language/schema/raw/master/csl-citation.json"} </w:instrText>
      </w:r>
      <w:r w:rsidR="00BC6B41">
        <w:fldChar w:fldCharType="separate"/>
      </w:r>
      <w:r w:rsidR="007C07B4" w:rsidRPr="007C07B4">
        <w:t>[48]</w:t>
      </w:r>
      <w:r w:rsidR="00BC6B41">
        <w:fldChar w:fldCharType="end"/>
      </w:r>
      <w:r w:rsidR="00517F84">
        <w:t xml:space="preserve"> </w:t>
      </w:r>
      <w:r>
        <w:t xml:space="preserve">or </w:t>
      </w:r>
      <w:r w:rsidR="007335D9">
        <w:t>the</w:t>
      </w:r>
      <w:r>
        <w:t xml:space="preserve"> analysis of the retail landscape in gentrified areas</w:t>
      </w:r>
      <w:r w:rsidR="00BC6B41">
        <w:t xml:space="preserve"> </w:t>
      </w:r>
      <w:r w:rsidR="00BC6B41">
        <w:fldChar w:fldCharType="begin"/>
      </w:r>
      <w:r w:rsidR="007C07B4">
        <w:instrText xml:space="preserve"> ADDIN ZOTERO_ITEM CSL_CITATION {"citationID":"aqfvk5l5cd","properties":{"formattedCitation":"[49]","plainCitation":"[49]","noteIndex":0},"citationItems":[{"id":27,"uris":["http://zotero.org/users/5015692/items/A247B68W"],"itemData":{"id":27,"type":"article-journal","container-title":"Australian Geographer","issue":"1","page":"93–107","title":"Microgeographies of retailing and gentrification","volume":"32","author":[{"family":"Bridge","given":"Gary"},{"family":"Dowling","given":"Robyn"}],"issued":{"date-parts":[["2001"]]}}}],"schema":"https://github.com/citation-style-language/schema/raw/master/csl-citation.json"} </w:instrText>
      </w:r>
      <w:r w:rsidR="00BC6B41">
        <w:fldChar w:fldCharType="separate"/>
      </w:r>
      <w:r w:rsidR="007C07B4" w:rsidRPr="007C07B4">
        <w:t>[49]</w:t>
      </w:r>
      <w:r w:rsidR="00BC6B41">
        <w:fldChar w:fldCharType="end"/>
      </w:r>
      <w:r>
        <w:t>, to gain insights into the phenomenon.</w:t>
      </w:r>
    </w:p>
    <w:p w14:paraId="4EDCFD0A" w14:textId="77777777" w:rsidR="00C34790" w:rsidRDefault="00C34790" w:rsidP="00C34790">
      <w:r>
        <w:t>Another critical feasibility consideration is the availability of funding for the research project. Some fields, such as medical research, often require expensive equipment like particle accelerators (costing over $100 million), CAT scanners (up to $2.5 million), and MRI machines (around $1 million). Even seemingly simple studies involving surveys can incur significant costs if they require a team of survey-takers to cover a large geographic area over an extended period. Personnel costs for such a project could easily exceed $100,000. Even small expenses, like offering participants a cup of coffee during an interview, must be factored into the research budget.</w:t>
      </w:r>
    </w:p>
    <w:p w14:paraId="030FBCBB" w14:textId="77777777" w:rsidR="00C34790" w:rsidRDefault="00C34790" w:rsidP="00C34790">
      <w:r>
        <w:t>In addition to access, time, and funding, there are several other feasibility issues that researchers must consider when designing their studies. For example, the availability and willingness of participants can be a limiting factor, particularly for studies involving hard-to-reach or vulnerable populations. Researchers may need to invest significant time and resources in recruiting participants and ensuring their comfort and safety throughout the study.</w:t>
      </w:r>
    </w:p>
    <w:p w14:paraId="4F58E9BD" w14:textId="77777777" w:rsidR="00C34790" w:rsidRDefault="00C34790" w:rsidP="00C34790">
      <w:r>
        <w:t>The complexity of the research design and the required expertise can also impact feasibility. Studies involving advanced statistical analyses, specialized equipment, or interdisciplinary collaboration may require additional resources and support to be viable. Researchers must carefully assess their own skills and limitations, as well as the availability of necessary expertise within their research team or institution.</w:t>
      </w:r>
    </w:p>
    <w:p w14:paraId="5DE3E7FF" w14:textId="77777777" w:rsidR="00C34790" w:rsidRDefault="00C34790" w:rsidP="00C34790">
      <w:r>
        <w:t>The potential impact and significance of the research should also be weighed against feasibility concerns. While a study may be challenging or resource-intensive, if it has the potential to make a substantial contribution to the field or address a pressing social issue, it may be worth pursuing despite the obstacles. Researchers must balance the scientific and practical value of their work with the realistic constraints of their research environment.</w:t>
      </w:r>
    </w:p>
    <w:p w14:paraId="186CE5C3" w14:textId="711EADA9" w:rsidR="00F46EC7" w:rsidRDefault="00C34790" w:rsidP="00C34790">
      <w:r>
        <w:t xml:space="preserve">Ultimately, the feasibility of a research project depends on </w:t>
      </w:r>
      <w:r w:rsidR="0018490D">
        <w:t>careful</w:t>
      </w:r>
      <w:r>
        <w:t xml:space="preserve"> consideration of multiple factors, including access, time, funding, participant availability, research design complexity, and </w:t>
      </w:r>
      <w:r>
        <w:lastRenderedPageBreak/>
        <w:t>potential impact. By thoroughly assessing these issues before embarking on a study, researchers can make informed decisions about the scope and design of their projects, ensuring that their investigations are not only ethically sound but also practically achievable.</w:t>
      </w:r>
    </w:p>
    <w:p w14:paraId="391FD395" w14:textId="77777777" w:rsidR="004D4941" w:rsidRDefault="004D4941" w:rsidP="004D4941">
      <w:pPr>
        <w:pStyle w:val="Heading4"/>
      </w:pPr>
      <w:r>
        <w:t>Idiographic vs. Nomothetic Research</w:t>
      </w:r>
    </w:p>
    <w:p w14:paraId="7417CF06" w14:textId="77777777" w:rsidR="004D4941" w:rsidRDefault="004D4941" w:rsidP="008111F8">
      <w:r>
        <w:t>When planning a research project, it's important to consider whether the study will take an idiographic or nomothetic approach. These terms, derived from Kantian philosophy, are commonly used in research reports, particularly in the fields of psychology and sociology. However, understanding these concepts is beneficial for researchers in any field, as they have implications for the scope, depth, and generalizability of the research findings.</w:t>
      </w:r>
    </w:p>
    <w:p w14:paraId="28E22C98" w14:textId="77777777" w:rsidR="004D4941" w:rsidRDefault="004D4941" w:rsidP="008111F8">
      <w:pPr>
        <w:pStyle w:val="Heading5"/>
      </w:pPr>
      <w:r>
        <w:t>Idiographic Research:</w:t>
      </w:r>
    </w:p>
    <w:p w14:paraId="07D58F80" w14:textId="617C1784" w:rsidR="004D4941" w:rsidRDefault="004D4941" w:rsidP="004D4941">
      <w:r>
        <w:t xml:space="preserve">The term "idiographic" comes from the Greek word </w:t>
      </w:r>
      <w:r w:rsidRPr="008111F8">
        <w:rPr>
          <w:i/>
          <w:iCs/>
        </w:rPr>
        <w:t>idios</w:t>
      </w:r>
      <w:r>
        <w:t>, which refers to an individual. Idiographic research focuses on a single case or entity, with no expectation that the findings will have broader applicability. This approach sacrifices breadth of application in favor of a deeper, richer understanding of the specific case being studied. Many case studies are idiographic in nature, as they investigate a single individual, organization, or location without the intention of generalizing the findings to a larger population. Small business research often takes an idiographic approach, as it aims to provide in-depth insights into the unique challenges and experiences of individual businesses.</w:t>
      </w:r>
    </w:p>
    <w:p w14:paraId="32E91271" w14:textId="77777777" w:rsidR="004D4941" w:rsidRDefault="004D4941" w:rsidP="008111F8">
      <w:pPr>
        <w:pStyle w:val="Heading5"/>
      </w:pPr>
      <w:r>
        <w:t>Nomothetic Research:</w:t>
      </w:r>
    </w:p>
    <w:p w14:paraId="32755032" w14:textId="00E52F87" w:rsidR="004D4941" w:rsidRDefault="004D4941" w:rsidP="004D4941">
      <w:r>
        <w:t xml:space="preserve">The term "nomothetic" originates from the Greek word </w:t>
      </w:r>
      <w:r w:rsidRPr="008111F8">
        <w:rPr>
          <w:i/>
          <w:iCs/>
        </w:rPr>
        <w:t>nomos</w:t>
      </w:r>
      <w:r>
        <w:t xml:space="preserve">, which refers to traditional social norms. Nomothetic research aims to predict or explain general phenomena found in a population, rather than focusing on a single case. This approach sacrifices the understanding of individual cases </w:t>
      </w:r>
      <w:r w:rsidR="008111F8">
        <w:t>to</w:t>
      </w:r>
      <w:r>
        <w:t xml:space="preserve"> identify broader patterns and trends that apply across an entire industry or population. Much economic research is nomothetic in nature, as it seeks to explain and predict macro-level trends and relationships. For example, an economist may predict that the economy </w:t>
      </w:r>
      <w:r w:rsidR="008111F8">
        <w:t>will</w:t>
      </w:r>
      <w:r>
        <w:t xml:space="preserve"> improve following a significant event, but this does not guarantee that any specific business will benefit from the change.</w:t>
      </w:r>
    </w:p>
    <w:p w14:paraId="066AB2C2" w14:textId="29E79D06" w:rsidR="004D4941" w:rsidRDefault="004D4941" w:rsidP="004D4941">
      <w:r>
        <w:t xml:space="preserve">The choice between an idiographic or nomothetic approach depends on the research question, the available resources, and the intended use of the findings. Idiographic research is particularly valuable when the goal is to gain a deep understanding of a specific case or context, such as a unique organizational culture or an individual's lived experience. This approach allows researchers to explore the nuances and complexities of the case in </w:t>
      </w:r>
      <w:r w:rsidR="00AF300F">
        <w:t>detail</w:t>
      </w:r>
      <w:r>
        <w:t xml:space="preserve">, often using qualitative methods such as in-depth interviews, participant observation, or document analysis. Idiographic research can provide rich, </w:t>
      </w:r>
      <w:r w:rsidR="00AF300F">
        <w:t>contextually grounded</w:t>
      </w:r>
      <w:r>
        <w:t xml:space="preserve"> insights that can inform practice or policy in similar cases, even if the findings are not directly generalizable to a larger population.</w:t>
      </w:r>
    </w:p>
    <w:p w14:paraId="496FB973" w14:textId="77777777" w:rsidR="004D4941" w:rsidRDefault="004D4941" w:rsidP="004D4941">
      <w:r>
        <w:t xml:space="preserve">Nomothetic research, on the other hand, is more appropriate when the goal is to identify general patterns, relationships, or causal mechanisms that operate across a wide range of cases. This </w:t>
      </w:r>
      <w:r>
        <w:lastRenderedPageBreak/>
        <w:t>approach typically involves larger sample sizes and the use of quantitative methods such as surveys, experiments, or statistical analysis of secondary data. Nomothetic research aims to produce findings that can be generalized to the larger population of interest, allowing researchers to make predictions or draw conclusions about broad trends or phenomena. This type of research is particularly valuable for informing policy decisions, designing interventions, or developing theories that apply across multiple contexts.</w:t>
      </w:r>
    </w:p>
    <w:p w14:paraId="19F004E1" w14:textId="77777777" w:rsidR="004D4941" w:rsidRDefault="004D4941" w:rsidP="004D4941">
      <w:r>
        <w:t>It's worth noting that the distinction between idiographic and nomothetic research is not always clear-cut, and some studies may incorporate elements of both approaches. For example, a researcher might conduct a series of in-depth case studies (idiographic) to identify common themes or patterns, which are then tested using a larger, representative sample (nomothetic). Similarly, a nomothetic study might include qualitative components, such as open-ended survey questions or follow-up interviews, to provide additional context and depth to the quantitative findings.</w:t>
      </w:r>
    </w:p>
    <w:p w14:paraId="1FD029B3" w14:textId="6E826CE3" w:rsidR="0039171B" w:rsidRDefault="004D4941" w:rsidP="004D4941">
      <w:r>
        <w:t>Ultimately, the choice between an idiographic or nomothetic approach should be guided by the research question, the available resources, and the intended use of the findings. By carefully considering these factors, researchers can design studies that provide meaningful insights and contribute to the advancement of knowledge in their field.</w:t>
      </w:r>
    </w:p>
    <w:p w14:paraId="0093FACA" w14:textId="77777777" w:rsidR="004E47BB" w:rsidRDefault="004E47BB" w:rsidP="004E47BB">
      <w:pPr>
        <w:pStyle w:val="Heading4"/>
      </w:pPr>
      <w:r>
        <w:t>Applied vs. Basic Research</w:t>
      </w:r>
    </w:p>
    <w:p w14:paraId="14C586D0" w14:textId="77777777" w:rsidR="004E47BB" w:rsidRDefault="004E47BB" w:rsidP="002B1601">
      <w:r>
        <w:t>When conducting research, it's important to consider the intended purpose and application of the findings. Researchers generally aim to contribute to the body of knowledge in their field, but the nature of this contribution can vary depending on whether they are conducting applied research or basic research. Understanding the distinction between these two types of research is crucial for designing studies that effectively address the research question and provide meaningful insights for the intended audience.</w:t>
      </w:r>
    </w:p>
    <w:p w14:paraId="1BE8759D" w14:textId="77777777" w:rsidR="004E47BB" w:rsidRDefault="004E47BB" w:rsidP="002B1601">
      <w:pPr>
        <w:pStyle w:val="Heading5"/>
      </w:pPr>
      <w:r>
        <w:t>Applied Research:</w:t>
      </w:r>
    </w:p>
    <w:p w14:paraId="3FF4DA62" w14:textId="77777777" w:rsidR="004E47BB" w:rsidRDefault="004E47BB" w:rsidP="002B1601">
      <w:r>
        <w:t>Applied research is designed to solve specific, practical problems or address immediate needs in a particular context. The findings of applied research can be directly applied to real-world situations, often leading to tangible outcomes or improvements. For example, if a small business owner wants to increase the number of customers entering their store, they might commission applied research to identify effective advertising strategies or store layout changes. The researcher would collect data on customer behavior, preferences, and responses to various interventions, ultimately providing recommendations that the business owner can implement to improve foot traffic and sales. Applied research is often valued for its ability to provide actionable insights and drive decision-making in specific, real-world contexts.</w:t>
      </w:r>
    </w:p>
    <w:p w14:paraId="2A7AE8AF" w14:textId="77777777" w:rsidR="004E47BB" w:rsidRDefault="004E47BB" w:rsidP="002B1601">
      <w:pPr>
        <w:pStyle w:val="Heading5"/>
      </w:pPr>
      <w:r>
        <w:t>Basic Research:</w:t>
      </w:r>
    </w:p>
    <w:p w14:paraId="483D50B3" w14:textId="77777777" w:rsidR="004E47BB" w:rsidRDefault="004E47BB" w:rsidP="002B1601">
      <w:r>
        <w:t xml:space="preserve">In contrast, basic research aims to create, refine, or validate theories and conceptual frameworks that explain fundamental phenomena or relationships. While basic research may not have </w:t>
      </w:r>
      <w:r>
        <w:lastRenderedPageBreak/>
        <w:t>immediate, practical applications, it contributes to the overall understanding of a field and lays the groundwork for future applied research. For instance, a legislator considering changes to a state's business laws might benefit from basic research on the economic, social, and legal factors that influence business activity and growth. This research might involve developing and testing theories about the relationship between regulations, incentives, and entrepreneurial behavior, or exploring the long-term impacts of different policy approaches. While the findings of basic research may not directly inform specific policy decisions, they provide a valuable foundation for understanding the complex systems and processes at play, and can guide the development of more targeted, evidence-based interventions in the future.</w:t>
      </w:r>
    </w:p>
    <w:p w14:paraId="278807D4" w14:textId="77777777" w:rsidR="004E47BB" w:rsidRDefault="004E47BB" w:rsidP="002B1601">
      <w:r>
        <w:t>The distinction between applied and basic research is not always clear-cut, and many studies incorporate elements of both. For example, a basic research project might uncover findings that have immediate, practical implications, while an applied research study might generate insights that contribute to the development of new theories or conceptual frameworks. Additionally, the same research methods and techniques can be used in both applied and basic research, depending on the research question and the intended use of the findings.</w:t>
      </w:r>
    </w:p>
    <w:p w14:paraId="44C4E24C" w14:textId="77777777" w:rsidR="004E47BB" w:rsidRDefault="004E47BB" w:rsidP="00475275">
      <w:r>
        <w:t>One key difference between applied and basic research is the timeline for impact. Applied research often seeks to provide immediate, actionable insights that can be used to address specific problems or needs in the short term. Basic research, on the other hand, may have a longer time horizon for impact, as the findings must be further developed, tested, and translated into practical applications.</w:t>
      </w:r>
    </w:p>
    <w:p w14:paraId="04AE79D7" w14:textId="77777777" w:rsidR="004E47BB" w:rsidRDefault="004E47BB" w:rsidP="00475275">
      <w:r>
        <w:t>Another important consideration is the audience for the research. Applied research is often conducted for specific stakeholders, such as businesses, government agencies, or community organizations, who have a direct interest in the findings and their potential applications. Basic research, in contrast, is typically conducted for the broader scientific community, with the goal of advancing knowledge and understanding in a particular field.</w:t>
      </w:r>
    </w:p>
    <w:p w14:paraId="67CB2FC2" w14:textId="77777777" w:rsidR="004E47BB" w:rsidRDefault="004E47BB" w:rsidP="00A952B1">
      <w:r>
        <w:t>Regardless of whether a study is classified as applied or basic research, it's essential for researchers to clearly communicate the purpose, methods, and findings of their work to the appropriate audience. This involves presenting the results in a way that is accessible and meaningful to the intended users, whether they are practitioners, policymakers, or fellow researchers.</w:t>
      </w:r>
    </w:p>
    <w:p w14:paraId="5327D157" w14:textId="4514E6E6" w:rsidR="00A626FE" w:rsidRDefault="004E47BB" w:rsidP="00A952B1">
      <w:r>
        <w:t>In sum, the choice between applied and basic research depends on the research question, the intended use of the findings, and the audience for the work. By carefully considering these factors, researchers can design studies that effectively contribute to the body of knowledge in their field and provide valuable insights for real-world application.</w:t>
      </w:r>
    </w:p>
    <w:p w14:paraId="2F918218" w14:textId="77777777" w:rsidR="00A0403E" w:rsidRDefault="00A0403E" w:rsidP="00A0403E">
      <w:pPr>
        <w:pStyle w:val="Heading4"/>
      </w:pPr>
      <w:r>
        <w:t>Units of Analysis</w:t>
      </w:r>
    </w:p>
    <w:p w14:paraId="2169A7DA" w14:textId="77777777" w:rsidR="00A0403E" w:rsidRDefault="00A0403E" w:rsidP="00A0403E">
      <w:r>
        <w:t xml:space="preserve">When designing a research project, it's crucial to consider the units of observation and units of analysis, as these concepts have important implications for data collection, interpretation, and </w:t>
      </w:r>
      <w:r>
        <w:lastRenderedPageBreak/>
        <w:t>reporting. While the specific application of these concepts may differ slightly between qualitative and quantitative research, understanding their roles in the research process is essential for ensuring the validity and reliability of the findings.</w:t>
      </w:r>
    </w:p>
    <w:p w14:paraId="10022D0D" w14:textId="7D0ECCBD" w:rsidR="00A0403E" w:rsidRDefault="00A0403E" w:rsidP="00A0403E">
      <w:pPr>
        <w:pStyle w:val="Heading5"/>
      </w:pPr>
      <w:r>
        <w:t>Units of Observation</w:t>
      </w:r>
    </w:p>
    <w:p w14:paraId="3E870066" w14:textId="77777777" w:rsidR="00A0403E" w:rsidRDefault="00A0403E" w:rsidP="00A0403E">
      <w:r>
        <w:t>A unit of observation refers to the specific item or items that are observed, measured, or collected during the research study. In other words, it is the basic unit of data collection. Units of observation can vary widely depending on the research question and design, and may include individuals, groups, organizations, documents, or even specific behaviors or interactions.</w:t>
      </w:r>
    </w:p>
    <w:p w14:paraId="62AF312A" w14:textId="2C7E1C42" w:rsidR="00A0403E" w:rsidRDefault="00A0403E" w:rsidP="00A0403E">
      <w:pPr>
        <w:pStyle w:val="Heading5"/>
      </w:pPr>
      <w:r>
        <w:t>Units of Analysis</w:t>
      </w:r>
    </w:p>
    <w:p w14:paraId="75FE12D6" w14:textId="372A8D86" w:rsidR="00A0403E" w:rsidRDefault="00A0403E" w:rsidP="00A0403E">
      <w:r>
        <w:t>The unit of analysis, on the other hand, is the focus of the study and the entity about which the researcher aims to draw conclusions. It is the level at which the data are aggregated and reported in the final analysis. In some cases, the unit of observation and the unit of analysis may be the same, but this is not always the case. Researchers must be clear about the distinction between these two concepts to ensure that their data collection and analysis strategies are aligned with the research question and goals.</w:t>
      </w:r>
    </w:p>
    <w:p w14:paraId="51CDD9CC" w14:textId="36105AF4" w:rsidR="00A0403E" w:rsidRDefault="00A0403E" w:rsidP="00DC27E1">
      <w:pPr>
        <w:pStyle w:val="Heading5"/>
      </w:pPr>
      <w:r>
        <w:t>Common Units of Analysis</w:t>
      </w:r>
    </w:p>
    <w:p w14:paraId="61294691" w14:textId="545CF059" w:rsidR="00A0403E" w:rsidRDefault="00A0403E" w:rsidP="00576389">
      <w:pPr>
        <w:pStyle w:val="ListParagraph"/>
        <w:numPr>
          <w:ilvl w:val="0"/>
          <w:numId w:val="185"/>
        </w:numPr>
      </w:pPr>
      <w:r w:rsidRPr="00610D41">
        <w:rPr>
          <w:b/>
          <w:bCs/>
        </w:rPr>
        <w:t>Individuals</w:t>
      </w:r>
      <w:r>
        <w:t>: Many research projects focus on individuals as the unit of analysis, examining their attitudes, behaviors, or experiences. For example, a study on people's shopping habits or the impact of a particular product on consumer emotions would use the individual as the unit of analysis. Alan Bright's (2000) and Philip Kotler's (1989) research on the role of social marketing in sales and services are examples of studies using individuals as the unit of analysis.</w:t>
      </w:r>
    </w:p>
    <w:p w14:paraId="1719F878" w14:textId="2EB75459" w:rsidR="00A0403E" w:rsidRDefault="00A0403E" w:rsidP="00576389">
      <w:pPr>
        <w:pStyle w:val="ListParagraph"/>
        <w:numPr>
          <w:ilvl w:val="0"/>
          <w:numId w:val="185"/>
        </w:numPr>
      </w:pPr>
      <w:r w:rsidRPr="00610D41">
        <w:rPr>
          <w:b/>
          <w:bCs/>
        </w:rPr>
        <w:t>Groups</w:t>
      </w:r>
      <w:r>
        <w:t>: Groups, which can vary in size from small friendship circles to large civic organizations, are another common unit of analysis in research. Studies may examine how group norms, dynamics, or structures influence individual behavior or outcomes. Research on small businesses, such as the work of Yusuf (1995) and Huck and McEwen (1991), often uses groups as the unit of analysis.</w:t>
      </w:r>
    </w:p>
    <w:p w14:paraId="5D2332C2" w14:textId="4C7B7AB3" w:rsidR="00A0403E" w:rsidRDefault="00A0403E" w:rsidP="00576389">
      <w:pPr>
        <w:pStyle w:val="ListParagraph"/>
        <w:numPr>
          <w:ilvl w:val="0"/>
          <w:numId w:val="185"/>
        </w:numPr>
      </w:pPr>
      <w:r w:rsidRPr="00610D41">
        <w:rPr>
          <w:b/>
          <w:bCs/>
        </w:rPr>
        <w:t>Organizations</w:t>
      </w:r>
      <w:r>
        <w:t>: Organizations, such as corporations, universities, or clubs, represent a higher level of aggregation and can serve as the unit of analysis for research on organizational behavior, culture, or performance. For instance, Diana Hechavarria's (2009) and Randall Schuler's (1998) research on the impact of globalization on industry leadership behavior uses organizations as the unit of analysis.</w:t>
      </w:r>
    </w:p>
    <w:p w14:paraId="1EF31B90" w14:textId="143C64A4" w:rsidR="00A0403E" w:rsidRDefault="00A0403E" w:rsidP="00576389">
      <w:pPr>
        <w:pStyle w:val="ListParagraph"/>
        <w:numPr>
          <w:ilvl w:val="0"/>
          <w:numId w:val="185"/>
        </w:numPr>
      </w:pPr>
      <w:r w:rsidRPr="00610D41">
        <w:rPr>
          <w:b/>
          <w:bCs/>
        </w:rPr>
        <w:t>Social Phenomena</w:t>
      </w:r>
      <w:r>
        <w:t>: Researchers may also focus on social phenomena, such as voting behavior, technology use, or cultural trends, as the unit of analysis. These studies aim to understand the patterns, causes, and consequences of these phenomena at a societal level.</w:t>
      </w:r>
    </w:p>
    <w:p w14:paraId="7C7BF815" w14:textId="49F42E49" w:rsidR="00A0403E" w:rsidRDefault="00A0403E" w:rsidP="00576389">
      <w:pPr>
        <w:pStyle w:val="ListParagraph"/>
        <w:numPr>
          <w:ilvl w:val="0"/>
          <w:numId w:val="185"/>
        </w:numPr>
      </w:pPr>
      <w:r w:rsidRPr="00610D41">
        <w:rPr>
          <w:b/>
          <w:bCs/>
        </w:rPr>
        <w:t>Policies and Principles</w:t>
      </w:r>
      <w:r>
        <w:t xml:space="preserve">: Finally, research may examine policies and principles within businesses or other organizations, using documents as the unit of observation while </w:t>
      </w:r>
      <w:r>
        <w:lastRenderedPageBreak/>
        <w:t>treating the business or organization as the unit of analysis. This approach highlights the potential difference between units of observation and units of analysis in research design.</w:t>
      </w:r>
    </w:p>
    <w:p w14:paraId="4A13A3DB" w14:textId="30803E03" w:rsidR="00DC27E1" w:rsidRDefault="00DC27E1" w:rsidP="00DC27E1">
      <w:pPr>
        <w:pStyle w:val="Heading5"/>
      </w:pPr>
      <w:r>
        <w:t>Other Considerations</w:t>
      </w:r>
    </w:p>
    <w:p w14:paraId="12A355EC" w14:textId="26529B11" w:rsidR="00A0403E" w:rsidRDefault="00A0403E" w:rsidP="00576389">
      <w:r>
        <w:t>It's important to note that the choice of unit of analysis has significant implications for the research design, data collection, and interpretation of findings. Researchers must carefully consider the appropriate unit of analysis based on their research question, theoretical framework, and available resources.</w:t>
      </w:r>
    </w:p>
    <w:p w14:paraId="426E8383" w14:textId="77777777" w:rsidR="00A0403E" w:rsidRDefault="00A0403E" w:rsidP="00576389">
      <w:r>
        <w:t>In some cases, a research project may involve multiple units of analysis, examining a phenomenon from different levels of aggregation. For example, Kuruvilla and Ranganathan's (2008) study on the influence of human resource policies on economic development strategy in India incorporates both micro (individual) and macro (organizational/national) levels of analysis. Such multi-level research designs can provide a more comprehensive understanding of complex social phenomena, but also require careful planning and execution to ensure the validity and comparability of findings across levels.</w:t>
      </w:r>
    </w:p>
    <w:p w14:paraId="43FB5F64" w14:textId="77777777" w:rsidR="00A0403E" w:rsidRDefault="00A0403E" w:rsidP="00576389">
      <w:r>
        <w:t>When reporting research findings, it's crucial for researchers to clearly specify the unit of analysis and discuss the implications of this choice for the interpretation and generalizability of the results. This transparency allows readers to assess the appropriateness of the research design and the validity of the conclusions drawn from the data.</w:t>
      </w:r>
    </w:p>
    <w:p w14:paraId="5327D159" w14:textId="6EF2BB94" w:rsidR="00A626FE" w:rsidRDefault="00A0403E" w:rsidP="00576389">
      <w:r>
        <w:t>In summary, understanding the concepts of units of observation and units of analysis is essential for designing and conducting effective research projects. By carefully considering these elements in the context of their research questions and goals, researchers can ensure that their data collection and analysis strategies are well-aligned and yield meaningful, defensible findings.</w:t>
      </w:r>
    </w:p>
    <w:p w14:paraId="5327D16A" w14:textId="282AEBF7" w:rsidR="00A626FE" w:rsidRPr="000E309B" w:rsidRDefault="0097778D" w:rsidP="0097778D">
      <w:pPr>
        <w:pStyle w:val="Heading3"/>
      </w:pPr>
      <w:bookmarkStart w:id="51" w:name="_Ref66786733"/>
      <w:bookmarkStart w:id="52" w:name="_Toc169156707"/>
      <w:r>
        <w:t>T</w:t>
      </w:r>
      <w:r w:rsidR="00D14B33" w:rsidRPr="000E309B">
        <w:t xml:space="preserve">he </w:t>
      </w:r>
      <w:r>
        <w:t>R</w:t>
      </w:r>
      <w:r w:rsidR="00D14B33" w:rsidRPr="000E309B">
        <w:t xml:space="preserve">esearch </w:t>
      </w:r>
      <w:r>
        <w:t>P</w:t>
      </w:r>
      <w:r w:rsidR="00D14B33" w:rsidRPr="000E309B">
        <w:t>rocess</w:t>
      </w:r>
      <w:bookmarkEnd w:id="51"/>
      <w:bookmarkEnd w:id="52"/>
    </w:p>
    <w:p w14:paraId="5327D16B" w14:textId="04CF6CFC" w:rsidR="00A626FE" w:rsidRDefault="003D3504" w:rsidP="003D3504">
      <w:r w:rsidRPr="003D3504">
        <w:t>Research methods can be broadly categorized into two main approaches: positivism and interpretivism. Each approach has distinct characteristics and goals, as outlined in the comparison table below.</w:t>
      </w:r>
    </w:p>
    <w:tbl>
      <w:tblPr>
        <w:tblStyle w:val="GridTable5Dark-Accent2"/>
        <w:tblW w:w="0" w:type="auto"/>
        <w:tblLayout w:type="fixed"/>
        <w:tblLook w:val="04A0" w:firstRow="1" w:lastRow="0" w:firstColumn="1" w:lastColumn="0" w:noHBand="0" w:noVBand="1"/>
      </w:tblPr>
      <w:tblGrid>
        <w:gridCol w:w="1795"/>
        <w:gridCol w:w="3924"/>
        <w:gridCol w:w="3631"/>
      </w:tblGrid>
      <w:tr w:rsidR="00FB05BC" w14:paraId="0F67D92F" w14:textId="77777777" w:rsidTr="00726A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31C687C8" w14:textId="04D28DE2" w:rsidR="00FB05BC" w:rsidRDefault="003D3504" w:rsidP="009E0334">
            <w:pPr>
              <w:keepNext/>
              <w:keepLines/>
            </w:pPr>
            <w:r>
              <w:t>Char</w:t>
            </w:r>
            <w:r w:rsidR="00726A0E">
              <w:t>acteristic</w:t>
            </w:r>
          </w:p>
        </w:tc>
        <w:tc>
          <w:tcPr>
            <w:tcW w:w="3924" w:type="dxa"/>
          </w:tcPr>
          <w:p w14:paraId="2853DA5A" w14:textId="51A8E178" w:rsidR="00FB05BC" w:rsidRDefault="00FB05BC" w:rsidP="009E0334">
            <w:pPr>
              <w:keepNext/>
              <w:keepLines/>
              <w:cnfStyle w:val="100000000000" w:firstRow="1" w:lastRow="0" w:firstColumn="0" w:lastColumn="0" w:oddVBand="0" w:evenVBand="0" w:oddHBand="0" w:evenHBand="0" w:firstRowFirstColumn="0" w:firstRowLastColumn="0" w:lastRowFirstColumn="0" w:lastRowLastColumn="0"/>
            </w:pPr>
            <w:r>
              <w:t>Positivism</w:t>
            </w:r>
          </w:p>
        </w:tc>
        <w:tc>
          <w:tcPr>
            <w:tcW w:w="3631" w:type="dxa"/>
          </w:tcPr>
          <w:p w14:paraId="33EC683E" w14:textId="6A120325" w:rsidR="00FB05BC" w:rsidRDefault="00FB05BC" w:rsidP="009E0334">
            <w:pPr>
              <w:keepNext/>
              <w:keepLines/>
              <w:cnfStyle w:val="100000000000" w:firstRow="1" w:lastRow="0" w:firstColumn="0" w:lastColumn="0" w:oddVBand="0" w:evenVBand="0" w:oddHBand="0" w:evenHBand="0" w:firstRowFirstColumn="0" w:firstRowLastColumn="0" w:lastRowFirstColumn="0" w:lastRowLastColumn="0"/>
            </w:pPr>
            <w:r>
              <w:t>Interpretivism</w:t>
            </w:r>
          </w:p>
        </w:tc>
      </w:tr>
      <w:tr w:rsidR="00FB05BC" w14:paraId="70539BE0" w14:textId="77777777" w:rsidTr="00726A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3D7706F1" w14:textId="21D5C2AE" w:rsidR="00FB05BC" w:rsidRDefault="00FB05BC" w:rsidP="009E0334">
            <w:pPr>
              <w:keepNext/>
              <w:keepLines/>
            </w:pPr>
            <w:r>
              <w:t>Goal</w:t>
            </w:r>
          </w:p>
        </w:tc>
        <w:tc>
          <w:tcPr>
            <w:tcW w:w="3924" w:type="dxa"/>
          </w:tcPr>
          <w:p w14:paraId="1A520FD0" w14:textId="208DFF49" w:rsidR="00FB05BC" w:rsidRDefault="00FB05BC" w:rsidP="009E0334">
            <w:pPr>
              <w:keepNext/>
              <w:keepLines/>
              <w:cnfStyle w:val="000000100000" w:firstRow="0" w:lastRow="0" w:firstColumn="0" w:lastColumn="0" w:oddVBand="0" w:evenVBand="0" w:oddHBand="1" w:evenHBand="0" w:firstRowFirstColumn="0" w:firstRowLastColumn="0" w:lastRowFirstColumn="0" w:lastRowLastColumn="0"/>
            </w:pPr>
            <w:r>
              <w:t>Theory testing</w:t>
            </w:r>
          </w:p>
        </w:tc>
        <w:tc>
          <w:tcPr>
            <w:tcW w:w="3631" w:type="dxa"/>
          </w:tcPr>
          <w:p w14:paraId="5935643F" w14:textId="58601FBC" w:rsidR="00FB05BC" w:rsidRDefault="000675CD" w:rsidP="009E0334">
            <w:pPr>
              <w:keepNext/>
              <w:keepLines/>
              <w:cnfStyle w:val="000000100000" w:firstRow="0" w:lastRow="0" w:firstColumn="0" w:lastColumn="0" w:oddVBand="0" w:evenVBand="0" w:oddHBand="1" w:evenHBand="0" w:firstRowFirstColumn="0" w:firstRowLastColumn="0" w:lastRowFirstColumn="0" w:lastRowLastColumn="0"/>
            </w:pPr>
            <w:r>
              <w:t>Theory building</w:t>
            </w:r>
          </w:p>
        </w:tc>
      </w:tr>
      <w:tr w:rsidR="000675CD" w14:paraId="12873965" w14:textId="77777777" w:rsidTr="00726A0E">
        <w:tc>
          <w:tcPr>
            <w:cnfStyle w:val="001000000000" w:firstRow="0" w:lastRow="0" w:firstColumn="1" w:lastColumn="0" w:oddVBand="0" w:evenVBand="0" w:oddHBand="0" w:evenHBand="0" w:firstRowFirstColumn="0" w:firstRowLastColumn="0" w:lastRowFirstColumn="0" w:lastRowLastColumn="0"/>
            <w:tcW w:w="1795" w:type="dxa"/>
          </w:tcPr>
          <w:p w14:paraId="36034700" w14:textId="4D013F7C" w:rsidR="000675CD" w:rsidRDefault="000675CD" w:rsidP="009E0334">
            <w:pPr>
              <w:keepNext/>
              <w:keepLines/>
            </w:pPr>
            <w:r>
              <w:t>Methods</w:t>
            </w:r>
          </w:p>
        </w:tc>
        <w:tc>
          <w:tcPr>
            <w:tcW w:w="3924" w:type="dxa"/>
          </w:tcPr>
          <w:p w14:paraId="36C793E8" w14:textId="25E1A4DA" w:rsidR="000675CD" w:rsidRDefault="000675CD" w:rsidP="009E0334">
            <w:pPr>
              <w:keepNext/>
              <w:keepLines/>
              <w:cnfStyle w:val="000000000000" w:firstRow="0" w:lastRow="0" w:firstColumn="0" w:lastColumn="0" w:oddVBand="0" w:evenVBand="0" w:oddHBand="0" w:evenHBand="0" w:firstRowFirstColumn="0" w:firstRowLastColumn="0" w:lastRowFirstColumn="0" w:lastRowLastColumn="0"/>
            </w:pPr>
            <w:r>
              <w:t>Laboratory experiments</w:t>
            </w:r>
            <w:r w:rsidR="00F00803">
              <w:t xml:space="preserve">, </w:t>
            </w:r>
            <w:r>
              <w:t>surveys</w:t>
            </w:r>
          </w:p>
        </w:tc>
        <w:tc>
          <w:tcPr>
            <w:tcW w:w="3631" w:type="dxa"/>
          </w:tcPr>
          <w:p w14:paraId="2181FB02" w14:textId="05C8E26E" w:rsidR="000675CD" w:rsidRDefault="000675CD" w:rsidP="009E0334">
            <w:pPr>
              <w:keepNext/>
              <w:keepLines/>
              <w:cnfStyle w:val="000000000000" w:firstRow="0" w:lastRow="0" w:firstColumn="0" w:lastColumn="0" w:oddVBand="0" w:evenVBand="0" w:oddHBand="0" w:evenHBand="0" w:firstRowFirstColumn="0" w:firstRowLastColumn="0" w:lastRowFirstColumn="0" w:lastRowLastColumn="0"/>
            </w:pPr>
            <w:r>
              <w:t>Action research</w:t>
            </w:r>
            <w:r w:rsidR="00F00803">
              <w:t>,</w:t>
            </w:r>
            <w:r>
              <w:t xml:space="preserve"> ethnography</w:t>
            </w:r>
          </w:p>
        </w:tc>
      </w:tr>
      <w:tr w:rsidR="000675CD" w14:paraId="0AD0238A" w14:textId="77777777" w:rsidTr="00726A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45C5AD9D" w14:textId="65183CF1" w:rsidR="000675CD" w:rsidRDefault="00B00C1D" w:rsidP="009E0334">
            <w:pPr>
              <w:keepNext/>
              <w:keepLines/>
            </w:pPr>
            <w:r>
              <w:t>Approach</w:t>
            </w:r>
          </w:p>
        </w:tc>
        <w:tc>
          <w:tcPr>
            <w:tcW w:w="3924" w:type="dxa"/>
          </w:tcPr>
          <w:p w14:paraId="4BA2439D" w14:textId="50A09CD2" w:rsidR="000675CD" w:rsidRDefault="000675CD" w:rsidP="009E0334">
            <w:pPr>
              <w:keepNext/>
              <w:keepLines/>
              <w:cnfStyle w:val="000000100000" w:firstRow="0" w:lastRow="0" w:firstColumn="0" w:lastColumn="0" w:oddVBand="0" w:evenVBand="0" w:oddHBand="1" w:evenHBand="0" w:firstRowFirstColumn="0" w:firstRowLastColumn="0" w:lastRowFirstColumn="0" w:lastRowLastColumn="0"/>
            </w:pPr>
            <w:r>
              <w:t>Deductive</w:t>
            </w:r>
            <w:r w:rsidR="00375C8A">
              <w:t>—</w:t>
            </w:r>
            <w:r>
              <w:t>start from theory and generate empirical data to test</w:t>
            </w:r>
            <w:r w:rsidR="00F00803">
              <w:t xml:space="preserve"> it</w:t>
            </w:r>
          </w:p>
        </w:tc>
        <w:tc>
          <w:tcPr>
            <w:tcW w:w="3631" w:type="dxa"/>
          </w:tcPr>
          <w:p w14:paraId="2B08C73C" w14:textId="7B45E2D0" w:rsidR="000675CD" w:rsidRDefault="000675CD" w:rsidP="009E0334">
            <w:pPr>
              <w:keepNext/>
              <w:keepLines/>
              <w:cnfStyle w:val="000000100000" w:firstRow="0" w:lastRow="0" w:firstColumn="0" w:lastColumn="0" w:oddVBand="0" w:evenVBand="0" w:oddHBand="1" w:evenHBand="0" w:firstRowFirstColumn="0" w:firstRowLastColumn="0" w:lastRowFirstColumn="0" w:lastRowLastColumn="0"/>
            </w:pPr>
            <w:r>
              <w:t>I</w:t>
            </w:r>
            <w:r w:rsidRPr="000E309B">
              <w:t>nductive</w:t>
            </w:r>
            <w:r w:rsidR="00375C8A">
              <w:t>—</w:t>
            </w:r>
            <w:r w:rsidRPr="000E309B">
              <w:t>start from observations and generate theory</w:t>
            </w:r>
          </w:p>
        </w:tc>
      </w:tr>
      <w:tr w:rsidR="00375C8A" w14:paraId="0DDAD4C8" w14:textId="77777777" w:rsidTr="00726A0E">
        <w:tc>
          <w:tcPr>
            <w:cnfStyle w:val="001000000000" w:firstRow="0" w:lastRow="0" w:firstColumn="1" w:lastColumn="0" w:oddVBand="0" w:evenVBand="0" w:oddHBand="0" w:evenHBand="0" w:firstRowFirstColumn="0" w:firstRowLastColumn="0" w:lastRowFirstColumn="0" w:lastRowLastColumn="0"/>
            <w:tcW w:w="1795" w:type="dxa"/>
          </w:tcPr>
          <w:p w14:paraId="38206FD7" w14:textId="53986C06" w:rsidR="00375C8A" w:rsidRDefault="00B653AD" w:rsidP="009E0334">
            <w:pPr>
              <w:keepNext/>
              <w:keepLines/>
            </w:pPr>
            <w:r>
              <w:t>Data</w:t>
            </w:r>
          </w:p>
        </w:tc>
        <w:tc>
          <w:tcPr>
            <w:tcW w:w="3924" w:type="dxa"/>
          </w:tcPr>
          <w:p w14:paraId="4F6F6E9C" w14:textId="0ECB7C36" w:rsidR="00375C8A" w:rsidRDefault="00B653AD" w:rsidP="009E0334">
            <w:pPr>
              <w:keepNext/>
              <w:keepLines/>
              <w:cnfStyle w:val="000000000000" w:firstRow="0" w:lastRow="0" w:firstColumn="0" w:lastColumn="0" w:oddVBand="0" w:evenVBand="0" w:oddHBand="0" w:evenHBand="0" w:firstRowFirstColumn="0" w:firstRowLastColumn="0" w:lastRowFirstColumn="0" w:lastRowLastColumn="0"/>
            </w:pPr>
            <w:r>
              <w:t>Quantitative, numeric</w:t>
            </w:r>
          </w:p>
        </w:tc>
        <w:tc>
          <w:tcPr>
            <w:tcW w:w="3631" w:type="dxa"/>
          </w:tcPr>
          <w:p w14:paraId="00F338E8" w14:textId="76C701EC" w:rsidR="00375C8A" w:rsidRDefault="00B653AD" w:rsidP="009E0334">
            <w:pPr>
              <w:keepNext/>
              <w:keepLines/>
              <w:cnfStyle w:val="000000000000" w:firstRow="0" w:lastRow="0" w:firstColumn="0" w:lastColumn="0" w:oddVBand="0" w:evenVBand="0" w:oddHBand="0" w:evenHBand="0" w:firstRowFirstColumn="0" w:firstRowLastColumn="0" w:lastRowFirstColumn="0" w:lastRowLastColumn="0"/>
            </w:pPr>
            <w:r>
              <w:t>Qualitative, textural</w:t>
            </w:r>
          </w:p>
        </w:tc>
      </w:tr>
      <w:tr w:rsidR="00B653AD" w14:paraId="780E18AA" w14:textId="77777777" w:rsidTr="00726A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3E1BC5F5" w14:textId="723AA0BA" w:rsidR="00B653AD" w:rsidRDefault="00B653AD" w:rsidP="009E0334">
            <w:pPr>
              <w:keepNext/>
              <w:keepLines/>
            </w:pPr>
            <w:r>
              <w:t>Analysis</w:t>
            </w:r>
          </w:p>
        </w:tc>
        <w:tc>
          <w:tcPr>
            <w:tcW w:w="3924" w:type="dxa"/>
          </w:tcPr>
          <w:p w14:paraId="4A86176D" w14:textId="7241C9BC" w:rsidR="00B653AD" w:rsidRDefault="00B653AD" w:rsidP="009E0334">
            <w:pPr>
              <w:keepNext/>
              <w:keepLines/>
              <w:cnfStyle w:val="000000100000" w:firstRow="0" w:lastRow="0" w:firstColumn="0" w:lastColumn="0" w:oddVBand="0" w:evenVBand="0" w:oddHBand="1" w:evenHBand="0" w:firstRowFirstColumn="0" w:firstRowLastColumn="0" w:lastRowFirstColumn="0" w:lastRowLastColumn="0"/>
            </w:pPr>
            <w:r>
              <w:t>Statistical</w:t>
            </w:r>
          </w:p>
        </w:tc>
        <w:tc>
          <w:tcPr>
            <w:tcW w:w="3631" w:type="dxa"/>
          </w:tcPr>
          <w:p w14:paraId="153D9F1F" w14:textId="1649D413" w:rsidR="00B653AD" w:rsidRDefault="00B653AD" w:rsidP="00233438">
            <w:pPr>
              <w:keepNext/>
              <w:keepLines/>
              <w:cnfStyle w:val="000000100000" w:firstRow="0" w:lastRow="0" w:firstColumn="0" w:lastColumn="0" w:oddVBand="0" w:evenVBand="0" w:oddHBand="1" w:evenHBand="0" w:firstRowFirstColumn="0" w:firstRowLastColumn="0" w:lastRowFirstColumn="0" w:lastRowLastColumn="0"/>
            </w:pPr>
            <w:r>
              <w:t>Coding</w:t>
            </w:r>
          </w:p>
        </w:tc>
      </w:tr>
    </w:tbl>
    <w:p w14:paraId="7BEFCF68" w14:textId="440057F5" w:rsidR="000329E8" w:rsidRDefault="00233438" w:rsidP="00233438">
      <w:pPr>
        <w:pStyle w:val="Caption"/>
        <w:jc w:val="center"/>
      </w:pPr>
      <w:r>
        <w:t xml:space="preserve">Table </w:t>
      </w:r>
      <w:r w:rsidR="006D77BF">
        <w:fldChar w:fldCharType="begin"/>
      </w:r>
      <w:r w:rsidR="006D77BF">
        <w:instrText xml:space="preserve"> SEQ Table \* ARABIC </w:instrText>
      </w:r>
      <w:r w:rsidR="006D77BF">
        <w:fldChar w:fldCharType="separate"/>
      </w:r>
      <w:r w:rsidR="00980002">
        <w:rPr>
          <w:noProof/>
        </w:rPr>
        <w:t>1</w:t>
      </w:r>
      <w:r w:rsidR="006D77BF">
        <w:rPr>
          <w:noProof/>
        </w:rPr>
        <w:fldChar w:fldCharType="end"/>
      </w:r>
      <w:r>
        <w:t xml:space="preserve">: Comparison of Research </w:t>
      </w:r>
      <w:r w:rsidR="00D326FC">
        <w:t>Approaches</w:t>
      </w:r>
    </w:p>
    <w:p w14:paraId="5327D176" w14:textId="0D95495E" w:rsidR="00A626FE" w:rsidRPr="000E309B" w:rsidRDefault="00D14B33" w:rsidP="00385F1B">
      <w:pPr>
        <w:pStyle w:val="Heading4"/>
      </w:pPr>
      <w:r w:rsidRPr="000E309B">
        <w:lastRenderedPageBreak/>
        <w:t>Iterative Design</w:t>
      </w:r>
    </w:p>
    <w:p w14:paraId="4B9F3E1B" w14:textId="770349D4" w:rsidR="00842DC8" w:rsidRDefault="00394EEC" w:rsidP="00842DC8">
      <w:pPr>
        <w:rPr>
          <w:noProof/>
        </w:rPr>
      </w:pPr>
      <w:r>
        <w:rPr>
          <w:noProof/>
        </w:rPr>
        <w:t>A</w:t>
      </w:r>
      <w:r w:rsidR="00842DC8">
        <w:rPr>
          <w:noProof/>
        </w:rPr>
        <w:t>t its core, scientific research is an iterative process that involves three main phases: observation, rationalization, and validation. During the observation phase, researchers closely examine a natural or social phenomenon, event, or behavior that piques their interest. Next, in the rationalization phase, they attempt to make sense of their observations by logically connecting the various pieces of information they have gathered. This process may sometimes lead to the development of a theory that explains the observed phenomena. Finally, in the validation phase, researchers put their theories to the test using rigorous data collection and analysis methods. The results of this phase may lead to modifications or refinements of the initial theory.</w:t>
      </w:r>
    </w:p>
    <w:p w14:paraId="234E6569" w14:textId="77777777" w:rsidR="00842DC8" w:rsidRDefault="00842DC8" w:rsidP="00842DC8">
      <w:pPr>
        <w:rPr>
          <w:noProof/>
        </w:rPr>
      </w:pPr>
      <w:r>
        <w:rPr>
          <w:noProof/>
        </w:rPr>
        <w:t>While this iterative process is common to all scientific research, the specific research designs employed can vary depending on the researcher's starting point. In positivist research, the researcher begins with a pre-existing theory and seeks to validate it through observations and empirical data. Conversely, in interpretive research, the researcher starts with observations and uses them to generate a new theory.</w:t>
      </w:r>
    </w:p>
    <w:p w14:paraId="5327D17A" w14:textId="664DBA1F" w:rsidR="00A626FE" w:rsidRDefault="00842DC8" w:rsidP="00842DC8">
      <w:r>
        <w:rPr>
          <w:noProof/>
        </w:rPr>
        <w:t xml:space="preserve">Traditionally, most research has followed a positivist approach. </w:t>
      </w:r>
      <w:r w:rsidR="00D75933">
        <w:rPr>
          <w:noProof/>
        </w:rPr>
        <w:t>The following figure</w:t>
      </w:r>
      <w:r>
        <w:rPr>
          <w:noProof/>
        </w:rPr>
        <w:t xml:space="preserve"> provides a schematic overview of a typical positivist research project, which consists of a series of activities organized into five main phases: exploration, design, proposal, execution, and reporting. While this generalized design serves as a useful guide, it may need to be adapted to suit the specific requirements of individual research projects.</w:t>
      </w:r>
    </w:p>
    <w:p w14:paraId="7805450C" w14:textId="77777777" w:rsidR="001B61EC" w:rsidRDefault="00E44EB6" w:rsidP="001B61EC">
      <w:pPr>
        <w:keepNext/>
        <w:spacing w:line="360" w:lineRule="auto"/>
      </w:pPr>
      <w:r>
        <w:rPr>
          <w:noProof/>
        </w:rPr>
        <w:lastRenderedPageBreak/>
        <mc:AlternateContent>
          <mc:Choice Requires="wpc">
            <w:drawing>
              <wp:inline distT="0" distB="0" distL="0" distR="0" wp14:anchorId="60B51BE4" wp14:editId="46F16372">
                <wp:extent cx="5486400" cy="4010025"/>
                <wp:effectExtent l="0" t="0" r="19050" b="66675"/>
                <wp:docPr id="10"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wpc:bg>
                      <wpc:whole>
                        <a:ln>
                          <a:solidFill>
                            <a:schemeClr val="tx1"/>
                          </a:solidFill>
                        </a:ln>
                      </wpc:whole>
                      <wpg:wgp>
                        <wpg:cNvPr id="15" name="Group 15"/>
                        <wpg:cNvGrpSpPr/>
                        <wpg:grpSpPr>
                          <a:xfrm>
                            <a:off x="142875" y="171451"/>
                            <a:ext cx="5229225" cy="572398"/>
                            <a:chOff x="228600" y="171450"/>
                            <a:chExt cx="5229225" cy="504825"/>
                          </a:xfrm>
                        </wpg:grpSpPr>
                        <wps:wsp>
                          <wps:cNvPr id="11" name="Rectangle 11"/>
                          <wps:cNvSpPr/>
                          <wps:spPr>
                            <a:xfrm>
                              <a:off x="228600" y="171450"/>
                              <a:ext cx="5229225" cy="504825"/>
                            </a:xfrm>
                            <a:prstGeom prst="rect">
                              <a:avLst/>
                            </a:prstGeom>
                            <a:gradFill flip="none" rotWithShape="1">
                              <a:gsLst>
                                <a:gs pos="0">
                                  <a:srgbClr val="FFC000">
                                    <a:tint val="66000"/>
                                    <a:satMod val="160000"/>
                                  </a:srgbClr>
                                </a:gs>
                                <a:gs pos="50000">
                                  <a:srgbClr val="FFC000">
                                    <a:tint val="44500"/>
                                    <a:satMod val="160000"/>
                                  </a:srgbClr>
                                </a:gs>
                                <a:gs pos="100000">
                                  <a:srgbClr val="FFC000">
                                    <a:tint val="23500"/>
                                    <a:satMod val="160000"/>
                                  </a:srgbClr>
                                </a:gs>
                              </a:gsLst>
                              <a:lin ang="5400000" scaled="1"/>
                              <a:tileRect/>
                            </a:gradFill>
                            <a:ln>
                              <a:solidFill>
                                <a:schemeClr val="tx1"/>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1447800" y="200025"/>
                              <a:ext cx="1000125" cy="438149"/>
                            </a:xfrm>
                            <a:prstGeom prst="rect">
                              <a:avLst/>
                            </a:prstGeom>
                            <a:solidFill>
                              <a:srgbClr val="CC660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2B6CFB52" w14:textId="78199BC9" w:rsidR="003610E3" w:rsidRDefault="003610E3" w:rsidP="00C077E2">
                                <w:pPr>
                                  <w:jc w:val="center"/>
                                </w:pPr>
                                <w:r>
                                  <w:t>Research</w:t>
                                </w:r>
                                <w:r>
                                  <w:br/>
                                  <w:t>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Straight Arrow Connector 13"/>
                          <wps:cNvCnPr/>
                          <wps:spPr>
                            <a:xfrm>
                              <a:off x="2514600" y="409575"/>
                              <a:ext cx="342900" cy="0"/>
                            </a:xfrm>
                            <a:prstGeom prst="straightConnector1">
                              <a:avLst/>
                            </a:prstGeom>
                            <a:ln w="19050"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50" name="Straight Arrow Connector 550"/>
                          <wps:cNvCnPr/>
                          <wps:spPr>
                            <a:xfrm>
                              <a:off x="3970950" y="409575"/>
                              <a:ext cx="342900" cy="0"/>
                            </a:xfrm>
                            <a:prstGeom prst="straightConnector1">
                              <a:avLst/>
                            </a:prstGeom>
                            <a:ln w="19050"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4" name="Text Box 14"/>
                          <wps:cNvSpPr txBox="1"/>
                          <wps:spPr>
                            <a:xfrm>
                              <a:off x="409577" y="266700"/>
                              <a:ext cx="847724" cy="285750"/>
                            </a:xfrm>
                            <a:prstGeom prst="rect">
                              <a:avLst/>
                            </a:prstGeom>
                            <a:noFill/>
                            <a:ln w="12700">
                              <a:solidFill>
                                <a:prstClr val="black"/>
                              </a:solidFill>
                            </a:ln>
                          </wps:spPr>
                          <wps:txbx>
                            <w:txbxContent>
                              <w:p w14:paraId="2C6BA33C" w14:textId="0C92B2BE" w:rsidR="003610E3" w:rsidRDefault="003610E3" w:rsidP="00F824C8">
                                <w:pPr>
                                  <w:jc w:val="center"/>
                                </w:pPr>
                                <w:r>
                                  <w:t>Exploration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 name="Rectangle 553"/>
                          <wps:cNvSpPr/>
                          <wps:spPr>
                            <a:xfrm>
                              <a:off x="2886075" y="200659"/>
                              <a:ext cx="1000125" cy="437515"/>
                            </a:xfrm>
                            <a:prstGeom prst="rect">
                              <a:avLst/>
                            </a:prstGeom>
                            <a:solidFill>
                              <a:srgbClr val="CC660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3909C2E2" w14:textId="1EC054E5" w:rsidR="003610E3" w:rsidRDefault="003610E3" w:rsidP="003178F8">
                                <w:pPr>
                                  <w:spacing w:line="256" w:lineRule="auto"/>
                                  <w:jc w:val="center"/>
                                  <w:rPr>
                                    <w:rFonts w:eastAsia="Times New Roman"/>
                                  </w:rPr>
                                </w:pPr>
                                <w:r>
                                  <w:rPr>
                                    <w:rFonts w:eastAsia="Times New Roman"/>
                                  </w:rPr>
                                  <w:t>Literature</w:t>
                                </w:r>
                                <w:r>
                                  <w:rPr>
                                    <w:rFonts w:eastAsia="Times New Roman"/>
                                  </w:rPr>
                                  <w:br/>
                                  <w:t>Review</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 name="Rectangle 554"/>
                          <wps:cNvSpPr/>
                          <wps:spPr>
                            <a:xfrm>
                              <a:off x="4342425" y="200659"/>
                              <a:ext cx="1000125" cy="437515"/>
                            </a:xfrm>
                            <a:prstGeom prst="rect">
                              <a:avLst/>
                            </a:prstGeom>
                            <a:solidFill>
                              <a:srgbClr val="CC660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17869A98" w14:textId="568B805C" w:rsidR="003610E3" w:rsidRDefault="003610E3" w:rsidP="003178F8">
                                <w:pPr>
                                  <w:spacing w:line="254" w:lineRule="auto"/>
                                  <w:jc w:val="center"/>
                                  <w:rPr>
                                    <w:rFonts w:eastAsia="Times New Roman"/>
                                  </w:rPr>
                                </w:pPr>
                                <w:r>
                                  <w:rPr>
                                    <w:rFonts w:eastAsia="Times New Roman"/>
                                  </w:rPr>
                                  <w:t>Theory</w:t>
                                </w:r>
                              </w:p>
                            </w:txbxContent>
                          </wps:txbx>
                          <wps:bodyPr rot="0" spcFirstLastPara="0" vert="horz" wrap="square" lIns="91440" tIns="45720" rIns="91440" bIns="45720" numCol="1" spcCol="0" rtlCol="0" fromWordArt="0" anchor="b" anchorCtr="0" forceAA="0" compatLnSpc="1">
                            <a:prstTxWarp prst="textNoShape">
                              <a:avLst/>
                            </a:prstTxWarp>
                            <a:noAutofit/>
                          </wps:bodyPr>
                        </wps:wsp>
                      </wpg:wgp>
                      <wpg:wgp>
                        <wpg:cNvPr id="556" name="Group 556"/>
                        <wpg:cNvGrpSpPr/>
                        <wpg:grpSpPr>
                          <a:xfrm>
                            <a:off x="151425" y="989625"/>
                            <a:ext cx="5229225" cy="552450"/>
                            <a:chOff x="0" y="0"/>
                            <a:chExt cx="5229225" cy="504825"/>
                          </a:xfrm>
                        </wpg:grpSpPr>
                        <wps:wsp>
                          <wps:cNvPr id="557" name="Rectangle 557"/>
                          <wps:cNvSpPr/>
                          <wps:spPr>
                            <a:xfrm>
                              <a:off x="0" y="0"/>
                              <a:ext cx="5229225" cy="504825"/>
                            </a:xfrm>
                            <a:prstGeom prst="rect">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lin ang="5400000" scaled="1"/>
                              <a:tileRect/>
                            </a:gradFill>
                            <a:ln>
                              <a:solidFill>
                                <a:schemeClr val="tx1"/>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8" name="Rectangle 558"/>
                          <wps:cNvSpPr/>
                          <wps:spPr>
                            <a:xfrm>
                              <a:off x="1219200" y="28575"/>
                              <a:ext cx="1000125" cy="438149"/>
                            </a:xfrm>
                            <a:prstGeom prst="rect">
                              <a:avLst/>
                            </a:prstGeom>
                            <a:solidFill>
                              <a:srgbClr val="00B05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0AFCA4A5" w14:textId="5BF7E92F" w:rsidR="003610E3" w:rsidRDefault="003610E3" w:rsidP="00C67F2B">
                                <w:pPr>
                                  <w:spacing w:line="256" w:lineRule="auto"/>
                                  <w:jc w:val="center"/>
                                  <w:rPr>
                                    <w:rFonts w:eastAsia="Times New Roman"/>
                                  </w:rPr>
                                </w:pPr>
                                <w:r>
                                  <w:rPr>
                                    <w:rFonts w:eastAsia="Times New Roman"/>
                                  </w:rPr>
                                  <w:t>Operation-</w:t>
                                </w:r>
                                <w:r>
                                  <w:rPr>
                                    <w:rFonts w:eastAsia="Times New Roman"/>
                                  </w:rPr>
                                  <w:br/>
                                  <w:t>alization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9" name="Straight Arrow Connector 559"/>
                          <wps:cNvCnPr/>
                          <wps:spPr>
                            <a:xfrm>
                              <a:off x="2286000" y="238125"/>
                              <a:ext cx="342900" cy="0"/>
                            </a:xfrm>
                            <a:prstGeom prst="straightConnector1">
                              <a:avLst/>
                            </a:prstGeom>
                            <a:ln w="19050"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60" name="Straight Arrow Connector 560"/>
                          <wps:cNvCnPr/>
                          <wps:spPr>
                            <a:xfrm>
                              <a:off x="3742350" y="238125"/>
                              <a:ext cx="342900" cy="0"/>
                            </a:xfrm>
                            <a:prstGeom prst="straightConnector1">
                              <a:avLst/>
                            </a:prstGeom>
                            <a:ln w="19050"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61" name="Text Box 6"/>
                          <wps:cNvSpPr txBox="1"/>
                          <wps:spPr>
                            <a:xfrm>
                              <a:off x="180977" y="95250"/>
                              <a:ext cx="847724" cy="285750"/>
                            </a:xfrm>
                            <a:prstGeom prst="rect">
                              <a:avLst/>
                            </a:prstGeom>
                            <a:noFill/>
                            <a:ln w="12700">
                              <a:solidFill>
                                <a:prstClr val="black"/>
                              </a:solidFill>
                            </a:ln>
                          </wps:spPr>
                          <wps:txbx>
                            <w:txbxContent>
                              <w:p w14:paraId="7274DAF5" w14:textId="7973999E" w:rsidR="003610E3" w:rsidRDefault="003610E3" w:rsidP="00C67F2B">
                                <w:pPr>
                                  <w:spacing w:line="256" w:lineRule="auto"/>
                                  <w:jc w:val="center"/>
                                  <w:rPr>
                                    <w:rFonts w:ascii="Calibri" w:eastAsia="Times New Roman" w:hAnsi="Calibri"/>
                                  </w:rPr>
                                </w:pPr>
                                <w:r>
                                  <w:rPr>
                                    <w:rFonts w:ascii="Calibri" w:eastAsia="Times New Roman" w:hAnsi="Calibri"/>
                                  </w:rPr>
                                  <w:t>Design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2" name="Rectangle 562"/>
                          <wps:cNvSpPr/>
                          <wps:spPr>
                            <a:xfrm>
                              <a:off x="2657475" y="29209"/>
                              <a:ext cx="1000125" cy="437515"/>
                            </a:xfrm>
                            <a:prstGeom prst="rect">
                              <a:avLst/>
                            </a:prstGeom>
                            <a:solidFill>
                              <a:srgbClr val="00B05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7E4D4DAF" w14:textId="3E7C298E" w:rsidR="003610E3" w:rsidRDefault="003610E3" w:rsidP="00C67F2B">
                                <w:pPr>
                                  <w:spacing w:line="254" w:lineRule="auto"/>
                                  <w:jc w:val="center"/>
                                  <w:rPr>
                                    <w:rFonts w:eastAsia="Times New Roman"/>
                                  </w:rPr>
                                </w:pPr>
                                <w:r>
                                  <w:rPr>
                                    <w:rFonts w:eastAsia="Times New Roman"/>
                                  </w:rPr>
                                  <w:t>Method</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563" name="Rectangle 563"/>
                          <wps:cNvSpPr/>
                          <wps:spPr>
                            <a:xfrm>
                              <a:off x="4113825" y="29209"/>
                              <a:ext cx="1000125" cy="437515"/>
                            </a:xfrm>
                            <a:prstGeom prst="rect">
                              <a:avLst/>
                            </a:prstGeom>
                            <a:solidFill>
                              <a:srgbClr val="00B05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0821B3C1" w14:textId="1583BB2E" w:rsidR="003610E3" w:rsidRDefault="003610E3" w:rsidP="00C67F2B">
                                <w:pPr>
                                  <w:spacing w:line="252" w:lineRule="auto"/>
                                  <w:jc w:val="center"/>
                                  <w:rPr>
                                    <w:rFonts w:eastAsia="Times New Roman"/>
                                  </w:rPr>
                                </w:pPr>
                                <w:r>
                                  <w:rPr>
                                    <w:rFonts w:eastAsia="Times New Roman"/>
                                  </w:rPr>
                                  <w:t>Sampling</w:t>
                                </w:r>
                                <w:r>
                                  <w:rPr>
                                    <w:rFonts w:eastAsia="Times New Roman"/>
                                  </w:rPr>
                                  <w:br/>
                                  <w:t>Strategy</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6" name="Arrow: Down 16"/>
                        <wps:cNvSpPr/>
                        <wps:spPr>
                          <a:xfrm>
                            <a:off x="2552700" y="771525"/>
                            <a:ext cx="219075" cy="209550"/>
                          </a:xfrm>
                          <a:prstGeom prst="downArrow">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5" name="Rectangle 565"/>
                        <wps:cNvSpPr/>
                        <wps:spPr>
                          <a:xfrm>
                            <a:off x="2161200" y="1808515"/>
                            <a:ext cx="1000125" cy="286985"/>
                          </a:xfrm>
                          <a:prstGeom prst="rect">
                            <a:avLst/>
                          </a:prstGeom>
                          <a:gradFill flip="none" rotWithShape="1">
                            <a:gsLst>
                              <a:gs pos="0">
                                <a:srgbClr val="7030A0">
                                  <a:shade val="30000"/>
                                  <a:satMod val="115000"/>
                                </a:srgbClr>
                              </a:gs>
                              <a:gs pos="50000">
                                <a:srgbClr val="7030A0">
                                  <a:shade val="67500"/>
                                  <a:satMod val="115000"/>
                                </a:srgbClr>
                              </a:gs>
                              <a:gs pos="100000">
                                <a:srgbClr val="7030A0">
                                  <a:shade val="100000"/>
                                  <a:satMod val="115000"/>
                                </a:srgbClr>
                              </a:gs>
                            </a:gsLst>
                            <a:lin ang="16200000" scaled="1"/>
                            <a:tileRect/>
                          </a:gra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04D92EAD" w14:textId="03D3D6C6" w:rsidR="003610E3" w:rsidRDefault="003610E3" w:rsidP="00DB6B60">
                              <w:pPr>
                                <w:spacing w:line="252" w:lineRule="auto"/>
                                <w:jc w:val="center"/>
                                <w:rPr>
                                  <w:rFonts w:eastAsia="Times New Roman"/>
                                </w:rPr>
                              </w:pPr>
                              <w:r>
                                <w:rPr>
                                  <w:rFonts w:eastAsia="Times New Roman"/>
                                </w:rPr>
                                <w:t>Proposal</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566" name="Arrow: Down 566"/>
                        <wps:cNvSpPr/>
                        <wps:spPr>
                          <a:xfrm>
                            <a:off x="2543175" y="1570650"/>
                            <a:ext cx="219075" cy="209550"/>
                          </a:xfrm>
                          <a:prstGeom prst="downArrow">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cNvPr id="17" name="Group 17"/>
                        <wpg:cNvGrpSpPr/>
                        <wpg:grpSpPr>
                          <a:xfrm>
                            <a:off x="542925" y="2377771"/>
                            <a:ext cx="4029075" cy="945740"/>
                            <a:chOff x="542925" y="2453971"/>
                            <a:chExt cx="4029075" cy="945740"/>
                          </a:xfrm>
                        </wpg:grpSpPr>
                        <wps:wsp>
                          <wps:cNvPr id="568" name="Rectangle 568"/>
                          <wps:cNvSpPr/>
                          <wps:spPr>
                            <a:xfrm>
                              <a:off x="542925" y="2453971"/>
                              <a:ext cx="4029075" cy="945740"/>
                            </a:xfrm>
                            <a:prstGeom prst="rect">
                              <a:avLst/>
                            </a:prstGeom>
                            <a:gradFill flip="none" rotWithShape="1">
                              <a:gsLst>
                                <a:gs pos="0">
                                  <a:schemeClr val="accent3">
                                    <a:lumMod val="40000"/>
                                    <a:lumOff val="60000"/>
                                    <a:tint val="66000"/>
                                    <a:satMod val="160000"/>
                                  </a:schemeClr>
                                </a:gs>
                                <a:gs pos="50000">
                                  <a:schemeClr val="accent3">
                                    <a:lumMod val="40000"/>
                                    <a:lumOff val="60000"/>
                                    <a:tint val="44500"/>
                                    <a:satMod val="160000"/>
                                  </a:schemeClr>
                                </a:gs>
                                <a:gs pos="100000">
                                  <a:schemeClr val="accent3">
                                    <a:lumMod val="40000"/>
                                    <a:lumOff val="60000"/>
                                    <a:tint val="23500"/>
                                    <a:satMod val="160000"/>
                                  </a:schemeClr>
                                </a:gs>
                              </a:gsLst>
                              <a:lin ang="5400000" scaled="1"/>
                              <a:tileRect/>
                            </a:gradFill>
                            <a:ln>
                              <a:solidFill>
                                <a:schemeClr val="tx1"/>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9" name="Rectangle 569"/>
                          <wps:cNvSpPr/>
                          <wps:spPr>
                            <a:xfrm>
                              <a:off x="1970700" y="2483765"/>
                              <a:ext cx="1372575" cy="252600"/>
                            </a:xfrm>
                            <a:prstGeom prst="rect">
                              <a:avLst/>
                            </a:prstGeom>
                            <a:solidFill>
                              <a:schemeClr val="bg2">
                                <a:lumMod val="50000"/>
                              </a:schemeClr>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4B2E5DA4" w14:textId="587E10E9" w:rsidR="003610E3" w:rsidRDefault="003610E3" w:rsidP="002E4D00">
                                <w:pPr>
                                  <w:spacing w:line="254" w:lineRule="auto"/>
                                  <w:jc w:val="center"/>
                                  <w:rPr>
                                    <w:rFonts w:eastAsia="Times New Roman"/>
                                  </w:rPr>
                                </w:pPr>
                                <w:r>
                                  <w:rPr>
                                    <w:rFonts w:eastAsia="Times New Roman"/>
                                  </w:rPr>
                                  <w:t>Pilot Testing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2" name="Text Box 6"/>
                          <wps:cNvSpPr txBox="1"/>
                          <wps:spPr>
                            <a:xfrm>
                              <a:off x="761027" y="2762477"/>
                              <a:ext cx="847724" cy="293651"/>
                            </a:xfrm>
                            <a:prstGeom prst="rect">
                              <a:avLst/>
                            </a:prstGeom>
                            <a:noFill/>
                            <a:ln w="12700">
                              <a:solidFill>
                                <a:prstClr val="black"/>
                              </a:solidFill>
                            </a:ln>
                          </wps:spPr>
                          <wps:txbx>
                            <w:txbxContent>
                              <w:p w14:paraId="3980A795" w14:textId="1E5A363D" w:rsidR="003610E3" w:rsidRDefault="003610E3" w:rsidP="002E4D00">
                                <w:pPr>
                                  <w:spacing w:line="254" w:lineRule="auto"/>
                                  <w:jc w:val="center"/>
                                  <w:rPr>
                                    <w:rFonts w:ascii="Calibri" w:eastAsia="Times New Roman" w:hAnsi="Calibri"/>
                                  </w:rPr>
                                </w:pPr>
                                <w:r>
                                  <w:rPr>
                                    <w:rFonts w:ascii="Calibri" w:eastAsia="Times New Roman" w:hAnsi="Calibri"/>
                                  </w:rPr>
                                  <w:t>Execution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3" name="Rectangle 573"/>
                          <wps:cNvSpPr/>
                          <wps:spPr>
                            <a:xfrm>
                              <a:off x="1970700" y="2773321"/>
                              <a:ext cx="1372575" cy="284896"/>
                            </a:xfrm>
                            <a:prstGeom prst="rect">
                              <a:avLst/>
                            </a:prstGeom>
                            <a:solidFill>
                              <a:schemeClr val="bg2">
                                <a:lumMod val="50000"/>
                              </a:schemeClr>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0AAB3AFB" w14:textId="3E5AFC9E" w:rsidR="003610E3" w:rsidRDefault="003610E3" w:rsidP="002E4D00">
                                <w:pPr>
                                  <w:spacing w:line="252" w:lineRule="auto"/>
                                  <w:jc w:val="center"/>
                                  <w:rPr>
                                    <w:rFonts w:eastAsia="Times New Roman"/>
                                  </w:rPr>
                                </w:pPr>
                                <w:r>
                                  <w:rPr>
                                    <w:rFonts w:eastAsia="Times New Roman"/>
                                  </w:rPr>
                                  <w:t>Data Collection</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574" name="Rectangle 574"/>
                          <wps:cNvSpPr/>
                          <wps:spPr>
                            <a:xfrm>
                              <a:off x="1970700" y="3081508"/>
                              <a:ext cx="1372575" cy="247275"/>
                            </a:xfrm>
                            <a:prstGeom prst="rect">
                              <a:avLst/>
                            </a:prstGeom>
                            <a:solidFill>
                              <a:schemeClr val="bg2">
                                <a:lumMod val="50000"/>
                              </a:schemeClr>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79FC6479" w14:textId="094135D6" w:rsidR="003610E3" w:rsidRDefault="003610E3" w:rsidP="002E4D00">
                                <w:pPr>
                                  <w:spacing w:line="252" w:lineRule="auto"/>
                                  <w:jc w:val="center"/>
                                  <w:rPr>
                                    <w:rFonts w:eastAsia="Times New Roman"/>
                                  </w:rPr>
                                </w:pPr>
                                <w:r>
                                  <w:rPr>
                                    <w:rFonts w:eastAsia="Times New Roman"/>
                                  </w:rPr>
                                  <w:t>Data Analysis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575" name="Arrow: Down 575"/>
                        <wps:cNvSpPr/>
                        <wps:spPr>
                          <a:xfrm>
                            <a:off x="2543175" y="2132284"/>
                            <a:ext cx="219075" cy="209550"/>
                          </a:xfrm>
                          <a:prstGeom prst="downArrow">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7" name="Rectangle 577"/>
                        <wps:cNvSpPr/>
                        <wps:spPr>
                          <a:xfrm>
                            <a:off x="2161200" y="3617450"/>
                            <a:ext cx="1000125" cy="325900"/>
                          </a:xfrm>
                          <a:prstGeom prst="rect">
                            <a:avLst/>
                          </a:prstGeom>
                          <a:solidFill>
                            <a:srgbClr val="CC000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3">
                            <a:schemeClr val="lt1"/>
                          </a:lnRef>
                          <a:fillRef idx="1">
                            <a:schemeClr val="accent2"/>
                          </a:fillRef>
                          <a:effectRef idx="1">
                            <a:schemeClr val="accent2"/>
                          </a:effectRef>
                          <a:fontRef idx="minor">
                            <a:schemeClr val="lt1"/>
                          </a:fontRef>
                        </wps:style>
                        <wps:txbx>
                          <w:txbxContent>
                            <w:p w14:paraId="3B3AB30F" w14:textId="4FBD5530" w:rsidR="003610E3" w:rsidRDefault="003610E3" w:rsidP="008E5A77">
                              <w:pPr>
                                <w:spacing w:line="252" w:lineRule="auto"/>
                                <w:jc w:val="center"/>
                                <w:rPr>
                                  <w:rFonts w:eastAsia="Times New Roman"/>
                                </w:rPr>
                              </w:pPr>
                              <w:r>
                                <w:rPr>
                                  <w:rFonts w:eastAsia="Times New Roman"/>
                                </w:rPr>
                                <w:t>Report</w:t>
                              </w:r>
                            </w:p>
                          </w:txbxContent>
                        </wps:txbx>
                        <wps:bodyPr rot="0" spcFirstLastPara="0" vert="horz" wrap="square" lIns="91440" tIns="45720" rIns="91440" bIns="45720" numCol="1" spcCol="0" rtlCol="0" fromWordArt="0" anchor="b" anchorCtr="0" forceAA="0" compatLnSpc="1">
                          <a:prstTxWarp prst="textNoShape">
                            <a:avLst/>
                          </a:prstTxWarp>
                          <a:noAutofit/>
                        </wps:bodyPr>
                      </wps:wsp>
                      <wps:wsp>
                        <wps:cNvPr id="578" name="Arrow: Down 578"/>
                        <wps:cNvSpPr/>
                        <wps:spPr>
                          <a:xfrm>
                            <a:off x="2543470" y="3370875"/>
                            <a:ext cx="219075" cy="208915"/>
                          </a:xfrm>
                          <a:prstGeom prst="downArrow">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60B51BE4" id="Canvas 10" o:spid="_x0000_s1060" editas="canvas" style="width:6in;height:315.75pt;mso-position-horizontal-relative:char;mso-position-vertical-relative:line" coordsize="54864,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">
                <v:shape id="_x0000_s1061" type="#_x0000_t75" style="position:absolute;width:54864;height:40100;visibility:visible;mso-wrap-style:square" filled="t" stroked="t" strokecolor="black [3213]">
                  <v:fill o:detectmouseclick="t"/>
                  <v:path o:connecttype="none"/>
                </v:shape>
                <v:group id="Group 15" o:spid="_x0000_s1062" style="position:absolute;left:1428;top:1714;width:52293;height:5724" coordorigin="2286,1714" coordsize="52292,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11" o:spid="_x0000_s1063" style="position:absolute;left:2286;top:1714;width:52292;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" fillcolor="#ffde80" strokecolor="black [3213]">
                    <v:fill color2="#fff3da" rotate="t" colors="0 #ffde80;.5 #ffe8b3;1 #fff3da" focus="100%" type="gradient"/>
                    <v:shadow on="t" color="black" opacity="26214f" origin="-.5,-.5" offset=".74836mm,.74836mm"/>
                  </v:rect>
                  <v:rect id="Rectangle 12" o:spid="_x0000_s1064" style="position:absolute;left:14478;top:2000;width:10001;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" fillcolor="#c60" stroked="f" strokeweight="1.5pt">
                    <v:shadow on="t" color="black" opacity="26214f" origin="-.5,-.5" offset=".74836mm,.74836mm"/>
                    <v:textbox>
                      <w:txbxContent>
                        <w:p w14:paraId="2B6CFB52" w14:textId="78199BC9" w:rsidR="003610E3" w:rsidRDefault="003610E3" w:rsidP="00C077E2">
                          <w:pPr>
                            <w:jc w:val="center"/>
                          </w:pPr>
                          <w:r>
                            <w:t>Research</w:t>
                          </w:r>
                          <w:r>
                            <w:br/>
                            <w:t>Questions</w:t>
                          </w:r>
                        </w:p>
                      </w:txbxContent>
                    </v:textbox>
                  </v:rect>
                  <v:shapetype id="_x0000_t32" coordsize="21600,21600" o:spt="32" o:oned="t" path="m,l21600,21600e" filled="f">
                    <v:path arrowok="t" fillok="f" o:connecttype="none"/>
                    <o:lock v:ext="edit" shapetype="t"/>
                  </v:shapetype>
                  <v:shape id="Straight Arrow Connector 13" o:spid="_x0000_s1065" type="#_x0000_t32" style="position:absolute;left:25146;top:4095;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" strokecolor="black [3200]" strokeweight="1.5pt">
                    <v:stroke startarrow="open" endarrow="open"/>
                  </v:shape>
                  <v:shape id="Straight Arrow Connector 550" o:spid="_x0000_s1066" type="#_x0000_t32" style="position:absolute;left:39709;top:4095;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" strokecolor="black [3200]" strokeweight="1.5pt">
                    <v:stroke startarrow="open" endarrow="open"/>
                  </v:shape>
                  <v:shape id="Text Box 14" o:spid="_x0000_s1067" type="#_x0000_t202" style="position:absolute;left:4095;top:2667;width:8478;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" filled="f" strokeweight="1pt">
                    <v:textbox>
                      <w:txbxContent>
                        <w:p w14:paraId="2C6BA33C" w14:textId="0C92B2BE" w:rsidR="003610E3" w:rsidRDefault="003610E3" w:rsidP="00F824C8">
                          <w:pPr>
                            <w:jc w:val="center"/>
                          </w:pPr>
                          <w:r>
                            <w:t>Exploration</w:t>
                          </w:r>
                        </w:p>
                      </w:txbxContent>
                    </v:textbox>
                  </v:shape>
                  <v:rect id="Rectangle 553" o:spid="_x0000_s1068" style="position:absolute;left:28860;top:2006;width:10002;height:4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" fillcolor="#c60" stroked="f" strokeweight="1.5pt">
                    <v:shadow on="t" color="black" opacity="26214f" origin="-.5,-.5" offset=".74836mm,.74836mm"/>
                    <v:textbox>
                      <w:txbxContent>
                        <w:p w14:paraId="3909C2E2" w14:textId="1EC054E5" w:rsidR="003610E3" w:rsidRDefault="003610E3" w:rsidP="003178F8">
                          <w:pPr>
                            <w:spacing w:line="256" w:lineRule="auto"/>
                            <w:jc w:val="center"/>
                            <w:rPr>
                              <w:rFonts w:eastAsia="Times New Roman"/>
                            </w:rPr>
                          </w:pPr>
                          <w:r>
                            <w:rPr>
                              <w:rFonts w:eastAsia="Times New Roman"/>
                            </w:rPr>
                            <w:t>Literature</w:t>
                          </w:r>
                          <w:r>
                            <w:rPr>
                              <w:rFonts w:eastAsia="Times New Roman"/>
                            </w:rPr>
                            <w:br/>
                            <w:t>Review</w:t>
                          </w:r>
                        </w:p>
                      </w:txbxContent>
                    </v:textbox>
                  </v:rect>
                  <v:rect id="Rectangle 554" o:spid="_x0000_s1069" style="position:absolute;left:43424;top:2006;width:10001;height:43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" fillcolor="#c60" stroked="f" strokeweight="1.5pt">
                    <v:shadow on="t" color="black" opacity="26214f" origin="-.5,-.5" offset=".74836mm,.74836mm"/>
                    <v:textbox>
                      <w:txbxContent>
                        <w:p w14:paraId="17869A98" w14:textId="568B805C" w:rsidR="003610E3" w:rsidRDefault="003610E3" w:rsidP="003178F8">
                          <w:pPr>
                            <w:spacing w:line="254" w:lineRule="auto"/>
                            <w:jc w:val="center"/>
                            <w:rPr>
                              <w:rFonts w:eastAsia="Times New Roman"/>
                            </w:rPr>
                          </w:pPr>
                          <w:r>
                            <w:rPr>
                              <w:rFonts w:eastAsia="Times New Roman"/>
                            </w:rPr>
                            <w:t>Theory</w:t>
                          </w:r>
                        </w:p>
                      </w:txbxContent>
                    </v:textbox>
                  </v:rect>
                </v:group>
                <v:group id="Group 556" o:spid="_x0000_s1070" style="position:absolute;left:1514;top:9896;width:52292;height:5524" coordsize="52292,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rect id="Rectangle 557" o:spid="_x0000_s1071" style="position:absolute;width:52292;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" fillcolor="#8fdea0" strokecolor="black [3213]">
                    <v:fill color2="#dff3e3" rotate="t" colors="0 #8fdea0;.5 #bce9c5;1 #dff3e3" focus="100%" type="gradient"/>
                    <v:shadow on="t" color="black" opacity="26214f" origin="-.5,-.5" offset=".74836mm,.74836mm"/>
                  </v:rect>
                  <v:rect id="Rectangle 558" o:spid="_x0000_s1072" style="position:absolute;left:12192;top:285;width:10001;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" fillcolor="#00b050" stroked="f" strokeweight="1.5pt">
                    <v:shadow on="t" color="black" opacity="26214f" origin="-.5,-.5" offset=".74836mm,.74836mm"/>
                    <v:textbox>
                      <w:txbxContent>
                        <w:p w14:paraId="0AFCA4A5" w14:textId="5BF7E92F" w:rsidR="003610E3" w:rsidRDefault="003610E3" w:rsidP="00C67F2B">
                          <w:pPr>
                            <w:spacing w:line="256" w:lineRule="auto"/>
                            <w:jc w:val="center"/>
                            <w:rPr>
                              <w:rFonts w:eastAsia="Times New Roman"/>
                            </w:rPr>
                          </w:pPr>
                          <w:r>
                            <w:rPr>
                              <w:rFonts w:eastAsia="Times New Roman"/>
                            </w:rPr>
                            <w:t>Operation-</w:t>
                          </w:r>
                          <w:r>
                            <w:rPr>
                              <w:rFonts w:eastAsia="Times New Roman"/>
                            </w:rPr>
                            <w:br/>
                            <w:t>alization</w:t>
                          </w:r>
                        </w:p>
                      </w:txbxContent>
                    </v:textbox>
                  </v:rect>
                  <v:shape id="Straight Arrow Connector 559" o:spid="_x0000_s1073" type="#_x0000_t32" style="position:absolute;left:22860;top:2381;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" strokecolor="black [3200]" strokeweight="1.5pt">
                    <v:stroke startarrow="open" endarrow="open"/>
                  </v:shape>
                  <v:shape id="Straight Arrow Connector 560" o:spid="_x0000_s1074" type="#_x0000_t32" style="position:absolute;left:37423;top:2381;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" strokecolor="black [3200]" strokeweight="1.5pt">
                    <v:stroke startarrow="open" endarrow="open"/>
                  </v:shape>
                  <v:shape id="Text Box 6" o:spid="_x0000_s1075" type="#_x0000_t202" style="position:absolute;left:1809;top:952;width:847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" filled="f" strokeweight="1pt">
                    <v:textbox>
                      <w:txbxContent>
                        <w:p w14:paraId="7274DAF5" w14:textId="7973999E" w:rsidR="003610E3" w:rsidRDefault="003610E3" w:rsidP="00C67F2B">
                          <w:pPr>
                            <w:spacing w:line="256" w:lineRule="auto"/>
                            <w:jc w:val="center"/>
                            <w:rPr>
                              <w:rFonts w:ascii="Calibri" w:eastAsia="Times New Roman" w:hAnsi="Calibri"/>
                            </w:rPr>
                          </w:pPr>
                          <w:r>
                            <w:rPr>
                              <w:rFonts w:ascii="Calibri" w:eastAsia="Times New Roman" w:hAnsi="Calibri"/>
                            </w:rPr>
                            <w:t>Design</w:t>
                          </w:r>
                        </w:p>
                      </w:txbxContent>
                    </v:textbox>
                  </v:shape>
                  <v:rect id="Rectangle 562" o:spid="_x0000_s1076" style="position:absolute;left:26574;top:292;width:10002;height:43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" fillcolor="#00b050" stroked="f" strokeweight="1.5pt">
                    <v:shadow on="t" color="black" opacity="26214f" origin="-.5,-.5" offset=".74836mm,.74836mm"/>
                    <v:textbox>
                      <w:txbxContent>
                        <w:p w14:paraId="7E4D4DAF" w14:textId="3E7C298E" w:rsidR="003610E3" w:rsidRDefault="003610E3" w:rsidP="00C67F2B">
                          <w:pPr>
                            <w:spacing w:line="254" w:lineRule="auto"/>
                            <w:jc w:val="center"/>
                            <w:rPr>
                              <w:rFonts w:eastAsia="Times New Roman"/>
                            </w:rPr>
                          </w:pPr>
                          <w:r>
                            <w:rPr>
                              <w:rFonts w:eastAsia="Times New Roman"/>
                            </w:rPr>
                            <w:t>Method</w:t>
                          </w:r>
                        </w:p>
                      </w:txbxContent>
                    </v:textbox>
                  </v:rect>
                  <v:rect id="Rectangle 563" o:spid="_x0000_s1077" style="position:absolute;left:41138;top:292;width:10001;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" fillcolor="#00b050" stroked="f" strokeweight="1.5pt">
                    <v:shadow on="t" color="black" opacity="26214f" origin="-.5,-.5" offset=".74836mm,.74836mm"/>
                    <v:textbox>
                      <w:txbxContent>
                        <w:p w14:paraId="0821B3C1" w14:textId="1583BB2E" w:rsidR="003610E3" w:rsidRDefault="003610E3" w:rsidP="00C67F2B">
                          <w:pPr>
                            <w:spacing w:line="252" w:lineRule="auto"/>
                            <w:jc w:val="center"/>
                            <w:rPr>
                              <w:rFonts w:eastAsia="Times New Roman"/>
                            </w:rPr>
                          </w:pPr>
                          <w:r>
                            <w:rPr>
                              <w:rFonts w:eastAsia="Times New Roman"/>
                            </w:rPr>
                            <w:t>Sampling</w:t>
                          </w:r>
                          <w:r>
                            <w:rPr>
                              <w:rFonts w:eastAsia="Times New Roman"/>
                            </w:rPr>
                            <w:br/>
                            <w:t>Strategy</w:t>
                          </w:r>
                        </w:p>
                      </w:txbxContent>
                    </v:textbox>
                  </v:rect>
                </v:group>
                <v:shape id="Arrow: Down 16" o:spid="_x0000_s1078" type="#_x0000_t67" style="position:absolute;left:25527;top:7715;width:2190;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" adj="10800" fillcolor="#498cf1 [2414]" strokecolor="#243255 [1604]" strokeweight="1pt"/>
                <v:rect id="Rectangle 565" o:spid="_x0000_s1079" style="position:absolute;left:21612;top:18085;width:10001;height:287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" fillcolor="#3f1260" stroked="f" strokeweight="1.5pt">
                  <v:fill color2="#7128a8" rotate="t" angle="180" colors="0 #3f1260;.5 #5e1f8d;1 #7128a8" focus="100%" type="gradient"/>
                  <v:shadow on="t" color="black" opacity="26214f" origin="-.5,-.5" offset=".74836mm,.74836mm"/>
                  <v:textbox>
                    <w:txbxContent>
                      <w:p w14:paraId="04D92EAD" w14:textId="03D3D6C6" w:rsidR="003610E3" w:rsidRDefault="003610E3" w:rsidP="00DB6B60">
                        <w:pPr>
                          <w:spacing w:line="252" w:lineRule="auto"/>
                          <w:jc w:val="center"/>
                          <w:rPr>
                            <w:rFonts w:eastAsia="Times New Roman"/>
                          </w:rPr>
                        </w:pPr>
                        <w:r>
                          <w:rPr>
                            <w:rFonts w:eastAsia="Times New Roman"/>
                          </w:rPr>
                          <w:t>Proposal</w:t>
                        </w:r>
                      </w:p>
                    </w:txbxContent>
                  </v:textbox>
                </v:rect>
                <v:shape id="Arrow: Down 566" o:spid="_x0000_s1080" type="#_x0000_t67" style="position:absolute;left:25431;top:15706;width:2191;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" adj="10800" fillcolor="#498cf1 [2414]" strokecolor="#243255 [1604]" strokeweight="1pt"/>
                <v:group id="Group 17" o:spid="_x0000_s1081" style="position:absolute;left:5429;top:23777;width:40291;height:9458" coordorigin="5429,24539" coordsize="40290,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568" o:spid="_x0000_s1082" style="position:absolute;left:5429;top:24539;width:40291;height:9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" fillcolor="#a8cbee [1302]" strokecolor="black [3213]">
                    <v:fill color2="#a8cbee [1302]" rotate="t" colors="0 #c0deff;.5 #d6e9ff;1 #ebf4ff" focus="100%" type="gradient"/>
                    <v:shadow on="t" color="black" opacity="26214f" origin="-.5,-.5" offset=".74836mm,.74836mm"/>
                  </v:rect>
                  <v:rect id="Rectangle 569" o:spid="_x0000_s1083" style="position:absolute;left:19707;top:24837;width:13725;height:2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" fillcolor="#0e56c3 [1614]" stroked="f" strokeweight="1.5pt">
                    <v:shadow on="t" color="black" opacity="26214f" origin="-.5,-.5" offset=".74836mm,.74836mm"/>
                    <v:textbox>
                      <w:txbxContent>
                        <w:p w14:paraId="4B2E5DA4" w14:textId="587E10E9" w:rsidR="003610E3" w:rsidRDefault="003610E3" w:rsidP="002E4D00">
                          <w:pPr>
                            <w:spacing w:line="254" w:lineRule="auto"/>
                            <w:jc w:val="center"/>
                            <w:rPr>
                              <w:rFonts w:eastAsia="Times New Roman"/>
                            </w:rPr>
                          </w:pPr>
                          <w:r>
                            <w:rPr>
                              <w:rFonts w:eastAsia="Times New Roman"/>
                            </w:rPr>
                            <w:t>Pilot Testing</w:t>
                          </w:r>
                        </w:p>
                      </w:txbxContent>
                    </v:textbox>
                  </v:rect>
                  <v:shape id="Text Box 6" o:spid="_x0000_s1084" type="#_x0000_t202" style="position:absolute;left:7610;top:27624;width:8477;height:2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" filled="f" strokeweight="1pt">
                    <v:textbox>
                      <w:txbxContent>
                        <w:p w14:paraId="3980A795" w14:textId="1E5A363D" w:rsidR="003610E3" w:rsidRDefault="003610E3" w:rsidP="002E4D00">
                          <w:pPr>
                            <w:spacing w:line="254" w:lineRule="auto"/>
                            <w:jc w:val="center"/>
                            <w:rPr>
                              <w:rFonts w:ascii="Calibri" w:eastAsia="Times New Roman" w:hAnsi="Calibri"/>
                            </w:rPr>
                          </w:pPr>
                          <w:r>
                            <w:rPr>
                              <w:rFonts w:ascii="Calibri" w:eastAsia="Times New Roman" w:hAnsi="Calibri"/>
                            </w:rPr>
                            <w:t>Execution</w:t>
                          </w:r>
                        </w:p>
                      </w:txbxContent>
                    </v:textbox>
                  </v:shape>
                  <v:rect id="Rectangle 573" o:spid="_x0000_s1085" style="position:absolute;left:19707;top:27733;width:13725;height:28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" fillcolor="#0e56c3 [1614]" stroked="f" strokeweight="1.5pt">
                    <v:shadow on="t" color="black" opacity="26214f" origin="-.5,-.5" offset=".74836mm,.74836mm"/>
                    <v:textbox>
                      <w:txbxContent>
                        <w:p w14:paraId="0AAB3AFB" w14:textId="3E5AFC9E" w:rsidR="003610E3" w:rsidRDefault="003610E3" w:rsidP="002E4D00">
                          <w:pPr>
                            <w:spacing w:line="252" w:lineRule="auto"/>
                            <w:jc w:val="center"/>
                            <w:rPr>
                              <w:rFonts w:eastAsia="Times New Roman"/>
                            </w:rPr>
                          </w:pPr>
                          <w:r>
                            <w:rPr>
                              <w:rFonts w:eastAsia="Times New Roman"/>
                            </w:rPr>
                            <w:t>Data Collection</w:t>
                          </w:r>
                        </w:p>
                      </w:txbxContent>
                    </v:textbox>
                  </v:rect>
                  <v:rect id="Rectangle 574" o:spid="_x0000_s1086" style="position:absolute;left:19707;top:30815;width:13725;height:2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" fillcolor="#0e56c3 [1614]" stroked="f" strokeweight="1.5pt">
                    <v:shadow on="t" color="black" opacity="26214f" origin="-.5,-.5" offset=".74836mm,.74836mm"/>
                    <v:textbox>
                      <w:txbxContent>
                        <w:p w14:paraId="79FC6479" w14:textId="094135D6" w:rsidR="003610E3" w:rsidRDefault="003610E3" w:rsidP="002E4D00">
                          <w:pPr>
                            <w:spacing w:line="252" w:lineRule="auto"/>
                            <w:jc w:val="center"/>
                            <w:rPr>
                              <w:rFonts w:eastAsia="Times New Roman"/>
                            </w:rPr>
                          </w:pPr>
                          <w:r>
                            <w:rPr>
                              <w:rFonts w:eastAsia="Times New Roman"/>
                            </w:rPr>
                            <w:t>Data Analysis</w:t>
                          </w:r>
                        </w:p>
                      </w:txbxContent>
                    </v:textbox>
                  </v:rect>
                </v:group>
                <v:shape id="Arrow: Down 575" o:spid="_x0000_s1087" type="#_x0000_t67" style="position:absolute;left:25431;top:21322;width:2191;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" adj="10800" fillcolor="#498cf1 [2414]" strokecolor="#243255 [1604]" strokeweight="1pt"/>
                <v:rect id="Rectangle 577" o:spid="_x0000_s1088" style="position:absolute;left:21612;top:36174;width:10001;height:32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" fillcolor="#c00" stroked="f" strokeweight="1.5pt">
                  <v:shadow on="t" color="black" opacity="26214f" origin="-.5,-.5" offset=".74836mm,.74836mm"/>
                  <v:textbox>
                    <w:txbxContent>
                      <w:p w14:paraId="3B3AB30F" w14:textId="4FBD5530" w:rsidR="003610E3" w:rsidRDefault="003610E3" w:rsidP="008E5A77">
                        <w:pPr>
                          <w:spacing w:line="252" w:lineRule="auto"/>
                          <w:jc w:val="center"/>
                          <w:rPr>
                            <w:rFonts w:eastAsia="Times New Roman"/>
                          </w:rPr>
                        </w:pPr>
                        <w:r>
                          <w:rPr>
                            <w:rFonts w:eastAsia="Times New Roman"/>
                          </w:rPr>
                          <w:t>Report</w:t>
                        </w:r>
                      </w:p>
                    </w:txbxContent>
                  </v:textbox>
                </v:rect>
                <v:shape id="Arrow: Down 578" o:spid="_x0000_s1089" type="#_x0000_t67" style="position:absolute;left:25434;top:33708;width:2191;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" adj="10800" fillcolor="#498cf1 [2414]" strokecolor="#243255 [1604]" strokeweight="1pt"/>
                <w10:anchorlock/>
              </v:group>
            </w:pict>
          </mc:Fallback>
        </mc:AlternateContent>
      </w:r>
    </w:p>
    <w:p w14:paraId="417F1634" w14:textId="0CFF2E45" w:rsidR="00A61EF5" w:rsidRDefault="001B61EC" w:rsidP="001B61EC">
      <w:pPr>
        <w:pStyle w:val="Caption"/>
        <w:jc w:val="center"/>
      </w:pPr>
      <w:bookmarkStart w:id="53" w:name="_Ref72396636"/>
      <w:r>
        <w:t xml:space="preserve">Figure </w:t>
      </w:r>
      <w:r w:rsidR="006D77BF">
        <w:fldChar w:fldCharType="begin"/>
      </w:r>
      <w:r w:rsidR="006D77BF">
        <w:instrText xml:space="preserve"> SEQ Figure \* ARABIC </w:instrText>
      </w:r>
      <w:r w:rsidR="006D77BF">
        <w:fldChar w:fldCharType="separate"/>
      </w:r>
      <w:r w:rsidR="00980002">
        <w:rPr>
          <w:noProof/>
        </w:rPr>
        <w:t>7</w:t>
      </w:r>
      <w:r w:rsidR="006D77BF">
        <w:rPr>
          <w:noProof/>
        </w:rPr>
        <w:fldChar w:fldCharType="end"/>
      </w:r>
      <w:bookmarkEnd w:id="53"/>
      <w:r>
        <w:t>: Positivist Research Design Process</w:t>
      </w:r>
    </w:p>
    <w:p w14:paraId="7712C0C0" w14:textId="72D6A2F3" w:rsidR="00445276" w:rsidRDefault="009349B2" w:rsidP="00445276">
      <w:pPr>
        <w:pStyle w:val="Heading5"/>
      </w:pPr>
      <w:r>
        <w:rPr>
          <w:noProof/>
        </w:rPr>
        <w:drawing>
          <wp:anchor distT="0" distB="0" distL="114300" distR="114300" simplePos="0" relativeHeight="251658296" behindDoc="0" locked="0" layoutInCell="1" allowOverlap="1" wp14:anchorId="2F364ADA" wp14:editId="3D71E5EC">
            <wp:simplePos x="914400" y="5448300"/>
            <wp:positionH relativeFrom="column">
              <wp:align>right</wp:align>
            </wp:positionH>
            <wp:positionV relativeFrom="paragraph">
              <wp:posOffset>0</wp:posOffset>
            </wp:positionV>
            <wp:extent cx="914400" cy="914400"/>
            <wp:effectExtent l="0" t="0" r="0" b="0"/>
            <wp:wrapSquare wrapText="bothSides"/>
            <wp:docPr id="112" name="Graphic 112" descr="Bug under 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raphic 112" descr="Bug under magnifying glass with solid fill"/>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914400" cy="914400"/>
                    </a:xfrm>
                    <a:prstGeom prst="rect">
                      <a:avLst/>
                    </a:prstGeom>
                  </pic:spPr>
                </pic:pic>
              </a:graphicData>
            </a:graphic>
          </wp:anchor>
        </w:drawing>
      </w:r>
      <w:r w:rsidR="00D14B33" w:rsidRPr="000E309B">
        <w:t>Exploration</w:t>
      </w:r>
    </w:p>
    <w:p w14:paraId="21261D8F" w14:textId="77777777" w:rsidR="00603AFA" w:rsidRPr="00603AFA" w:rsidRDefault="00603AFA" w:rsidP="00603AFA">
      <w:r w:rsidRPr="00603AFA">
        <w:t>The exploration phase is a crucial starting point in the research process, where researchers identify and refine their research questions, review existing literature, and identify relevant theories. These three steps often occur simultaneously, with researchers moving back and forth between them as needed.</w:t>
      </w:r>
    </w:p>
    <w:p w14:paraId="5327D17E" w14:textId="75F4E8A1" w:rsidR="00A626FE" w:rsidRDefault="009F1F7C" w:rsidP="00092025">
      <w:r w:rsidRPr="009F1F7C">
        <w:rPr>
          <w:b/>
          <w:bCs/>
        </w:rPr>
        <w:t>Research Questions.</w:t>
      </w:r>
      <w:r>
        <w:t xml:space="preserve"> </w:t>
      </w:r>
      <w:r w:rsidR="00092025" w:rsidRPr="00092025">
        <w:t>The first step in the exploration phase is to identify one or more research questions that focus on a specific behavior, event, or phenomenon of interest. These questions can range from investigating factors that motivate online consumer behavior to understanding how high school students develop creativity or why some individuals engage in terrorist activities. More compelling research questions tend to appeal to a broader audience, address complex issues, and explore areas where the answers are not immediately apparent. Narrowly focused questions, particularly those with simple yes/no answers, are generally less valuable and may lead to findings that are difficult to publish.</w:t>
      </w:r>
    </w:p>
    <w:p w14:paraId="7095FABA" w14:textId="77777777" w:rsidR="00092025" w:rsidRDefault="009F1F7C" w:rsidP="001F4686">
      <w:r w:rsidRPr="009F1F7C">
        <w:rPr>
          <w:b/>
          <w:bCs/>
        </w:rPr>
        <w:t>Literature Review.</w:t>
      </w:r>
      <w:r>
        <w:t xml:space="preserve"> </w:t>
      </w:r>
      <w:r w:rsidR="00092025">
        <w:t>The second step involves conducting a thorough literature review of the chosen research domain. A literature review serves three primary purposes:</w:t>
      </w:r>
    </w:p>
    <w:p w14:paraId="2CADAA7E" w14:textId="20ACF49C" w:rsidR="00092025" w:rsidRDefault="00092025" w:rsidP="001F4686">
      <w:pPr>
        <w:pStyle w:val="ListParagraph"/>
        <w:numPr>
          <w:ilvl w:val="0"/>
          <w:numId w:val="186"/>
        </w:numPr>
      </w:pPr>
      <w:r>
        <w:t>To survey the current state of knowledge in the area under investigation</w:t>
      </w:r>
      <w:r w:rsidR="001F4686">
        <w:t>.</w:t>
      </w:r>
    </w:p>
    <w:p w14:paraId="1D726E1B" w14:textId="2630CF9A" w:rsidR="00092025" w:rsidRDefault="00092025" w:rsidP="001F4686">
      <w:pPr>
        <w:pStyle w:val="ListParagraph"/>
        <w:numPr>
          <w:ilvl w:val="0"/>
          <w:numId w:val="186"/>
        </w:numPr>
      </w:pPr>
      <w:r>
        <w:lastRenderedPageBreak/>
        <w:t>To identify key authors, articles, theories, and findings in that area</w:t>
      </w:r>
      <w:r w:rsidR="001F4686">
        <w:t>.</w:t>
      </w:r>
    </w:p>
    <w:p w14:paraId="49F6BC7A" w14:textId="39991300" w:rsidR="00092025" w:rsidRDefault="00092025" w:rsidP="001F4686">
      <w:pPr>
        <w:pStyle w:val="ListParagraph"/>
        <w:numPr>
          <w:ilvl w:val="0"/>
          <w:numId w:val="186"/>
        </w:numPr>
      </w:pPr>
      <w:r>
        <w:t>To identify gaps in the existing knowledge that the research project may be able to address</w:t>
      </w:r>
      <w:r w:rsidR="001F4686">
        <w:t>.</w:t>
      </w:r>
    </w:p>
    <w:p w14:paraId="19A976C7" w14:textId="3C9E93CF" w:rsidR="00092025" w:rsidRDefault="00092025" w:rsidP="001F4686">
      <w:r>
        <w:t xml:space="preserve">Researchers typically generate a shortlist of relevant articles from a search and then manually review each article or its abstract to determine its suitability for a more detailed analysis. A comprehensive literature review should cover a wide range of sources, not limited to a few journals, years, or methodologies. Researchers can summarize reviewed articles in tables and further organize them using frameworks such as a concept matrix. A well-conducted literature review helps determine whether the research questions have already been addressed, identifies new or more intriguing questions, and may lead to modifying or refining the original research questions. The review can also provide insights or potential answers to </w:t>
      </w:r>
      <w:r w:rsidR="001F4686">
        <w:t>questions</w:t>
      </w:r>
      <w:r>
        <w:t xml:space="preserve"> of interest and help identify theories that have been previously used to address similar issues.</w:t>
      </w:r>
    </w:p>
    <w:p w14:paraId="779FBCF5" w14:textId="1968E17F" w:rsidR="008863CB" w:rsidRPr="000E309B" w:rsidRDefault="00092025" w:rsidP="001F4686">
      <w:r>
        <w:t>Reading scholarly literature differs from reading a textbook or novel. Scholarly articles typically follow a predictable structure, with sections such as the abstract, introduction, literature review, methodology, findings, and discussion. The abstract, a concise summary of the research question, methods, and primary findings, is often the easiest to locate and can help determine the article's relevance to the research project. After reading the abstract, researchers may find the discussion section to be the next most informative, followed by the methodology section, which can provide valuable insights into productive approaches to the research project.</w:t>
      </w:r>
    </w:p>
    <w:p w14:paraId="520D2F3B" w14:textId="7CEE45C9" w:rsidR="00425D43" w:rsidRDefault="009F1F7C" w:rsidP="00425D43">
      <w:r w:rsidRPr="009F1F7C">
        <w:rPr>
          <w:b/>
          <w:bCs/>
        </w:rPr>
        <w:t>Theory.</w:t>
      </w:r>
      <w:r>
        <w:t xml:space="preserve"> </w:t>
      </w:r>
      <w:r w:rsidR="00425D43">
        <w:t>The third step in the exploration phase is to identify one or more theories that can help address the research questions. While the literature review may uncover a wide range of concepts or constructs potentially related to the phenomenon of interest, a theory helps identify which of these constructs are logically relevant and how they relate to the target phenomenon. Failing to identify relevant theories may lead to measuring less relevant or even irrelevant constructs, reducing the chances of obtaining meaningful results. In positivist research, theories serve as the logical foundation for postulating hypotheses in later stages. However, not all theories are suitable for studying all phenomena. Researchers must carefully select theories based on their fit with the target problem and the compatibility of their assumptions with those of the target problem.</w:t>
      </w:r>
    </w:p>
    <w:p w14:paraId="7BE8151F" w14:textId="553A2AF5" w:rsidR="00445276" w:rsidRDefault="009349B2" w:rsidP="00445276">
      <w:pPr>
        <w:pStyle w:val="Heading5"/>
      </w:pPr>
      <w:r>
        <w:rPr>
          <w:noProof/>
        </w:rPr>
        <w:drawing>
          <wp:anchor distT="0" distB="0" distL="114300" distR="114300" simplePos="0" relativeHeight="251658297" behindDoc="0" locked="0" layoutInCell="1" allowOverlap="1" wp14:anchorId="338EEA99" wp14:editId="48DCA051">
            <wp:simplePos x="914400" y="1781175"/>
            <wp:positionH relativeFrom="column">
              <wp:align>right</wp:align>
            </wp:positionH>
            <wp:positionV relativeFrom="paragraph">
              <wp:posOffset>0</wp:posOffset>
            </wp:positionV>
            <wp:extent cx="914400" cy="914400"/>
            <wp:effectExtent l="0" t="0" r="0" b="0"/>
            <wp:wrapSquare wrapText="bothSides"/>
            <wp:docPr id="113" name="Graphic 113" descr="Bluepri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phic 113" descr="Blueprint with solid fill"/>
                    <pic:cNvPicPr/>
                  </pic:nvPicPr>
                  <pic:blipFill>
                    <a:blip r:embed="rId125">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914400" cy="914400"/>
                    </a:xfrm>
                    <a:prstGeom prst="rect">
                      <a:avLst/>
                    </a:prstGeom>
                  </pic:spPr>
                </pic:pic>
              </a:graphicData>
            </a:graphic>
          </wp:anchor>
        </w:drawing>
      </w:r>
      <w:r w:rsidR="00D14B33" w:rsidRPr="000E309B">
        <w:t>Research Design</w:t>
      </w:r>
    </w:p>
    <w:p w14:paraId="7F09AD06" w14:textId="77777777" w:rsidR="00522FE0" w:rsidRPr="00522FE0" w:rsidRDefault="00522FE0" w:rsidP="00522FE0">
      <w:r w:rsidRPr="00522FE0">
        <w:t>The research design phase follows the exploration phase and involves creating a detailed plan of the research activities needed to satisfactorily answer the questions identified earlier. This phase includes three main steps: operationalizing constructs of interest, selecting an appropriate research method, and developing a suitable sampling strategy.</w:t>
      </w:r>
    </w:p>
    <w:p w14:paraId="26DCF412" w14:textId="77777777" w:rsidR="00890438" w:rsidRPr="00890438" w:rsidRDefault="00D14B33" w:rsidP="00890438">
      <w:r w:rsidRPr="00BC508A">
        <w:rPr>
          <w:b/>
          <w:bCs/>
        </w:rPr>
        <w:t>Operationalization</w:t>
      </w:r>
      <w:r w:rsidR="00BC508A" w:rsidRPr="00BC508A">
        <w:rPr>
          <w:b/>
          <w:bCs/>
        </w:rPr>
        <w:t>.</w:t>
      </w:r>
      <w:r w:rsidR="00BC508A">
        <w:t xml:space="preserve"> </w:t>
      </w:r>
      <w:r w:rsidR="00890438" w:rsidRPr="00890438">
        <w:t xml:space="preserve">Operationalization is the process of designing precise measures for abstract theoretical constructs. This step is particularly challenging in business and marketing research, as many constructs, such as "average family" or "organizational culture," are difficult to define and measure. The process begins with specifying an "operational definition" or "conceptualization" of </w:t>
      </w:r>
      <w:r w:rsidR="00890438" w:rsidRPr="00890438">
        <w:lastRenderedPageBreak/>
        <w:t>the constructs of interest. Researchers then review the literature to determine if existing measures can be adapted to measure the desired constructs. If suitable measures are not available or do not align with the researcher's intended conceptualization, new instruments may need to be designed. Developing new instruments can be a time-consuming and iterative process, requiring multiple rounds of pretests and modifications to ensure the instrument is "scientifically valid."</w:t>
      </w:r>
    </w:p>
    <w:p w14:paraId="006274D1" w14:textId="77777777" w:rsidR="00890438" w:rsidRDefault="00892EA4" w:rsidP="00890438">
      <w:r w:rsidRPr="00892EA4">
        <w:rPr>
          <w:b/>
          <w:bCs/>
        </w:rPr>
        <w:t>Method.</w:t>
      </w:r>
      <w:r>
        <w:t xml:space="preserve"> </w:t>
      </w:r>
      <w:r w:rsidR="00890438">
        <w:t>Concurrently with operationalization, researchers must decide on the most appropriate research method for collecting data to address the research question. Several factors influence this decision, including:</w:t>
      </w:r>
    </w:p>
    <w:p w14:paraId="09E35BF3" w14:textId="77777777" w:rsidR="00890438" w:rsidRDefault="00890438" w:rsidP="002B3AD7">
      <w:pPr>
        <w:pStyle w:val="ListParagraph"/>
        <w:numPr>
          <w:ilvl w:val="0"/>
          <w:numId w:val="187"/>
        </w:numPr>
      </w:pPr>
      <w:r>
        <w:t>The nature of the research (exploratory, descriptive, or explanatory)</w:t>
      </w:r>
    </w:p>
    <w:p w14:paraId="724B409B" w14:textId="77777777" w:rsidR="00890438" w:rsidRDefault="00890438" w:rsidP="002B3AD7">
      <w:pPr>
        <w:pStyle w:val="ListParagraph"/>
        <w:numPr>
          <w:ilvl w:val="0"/>
          <w:numId w:val="187"/>
        </w:numPr>
      </w:pPr>
      <w:r>
        <w:t>The approach (interpretive or positivist)</w:t>
      </w:r>
    </w:p>
    <w:p w14:paraId="4BFA7783" w14:textId="77777777" w:rsidR="00890438" w:rsidRDefault="00890438" w:rsidP="002B3AD7">
      <w:pPr>
        <w:pStyle w:val="ListParagraph"/>
        <w:numPr>
          <w:ilvl w:val="0"/>
          <w:numId w:val="187"/>
        </w:numPr>
      </w:pPr>
      <w:r>
        <w:t>The intended application (direct or general contribution to the field)</w:t>
      </w:r>
    </w:p>
    <w:p w14:paraId="62C7CA82" w14:textId="77777777" w:rsidR="00890438" w:rsidRDefault="00890438" w:rsidP="002B3AD7">
      <w:pPr>
        <w:pStyle w:val="ListParagraph"/>
        <w:numPr>
          <w:ilvl w:val="0"/>
          <w:numId w:val="187"/>
        </w:numPr>
      </w:pPr>
      <w:r>
        <w:t>The unit of analysis and observation</w:t>
      </w:r>
    </w:p>
    <w:p w14:paraId="5327D18C" w14:textId="25B0C8FA" w:rsidR="00A626FE" w:rsidRPr="000E309B" w:rsidRDefault="00890438" w:rsidP="00890438">
      <w:r>
        <w:t>Research methods may include experiments, surveys, case studies, or a combination of methods to triangulate an answer. Once a method is selected, it must be further refined. For example, if a survey is chosen, the researcher must decide whether to administer it by mail, telephone, web, or a combination of these channels.</w:t>
      </w:r>
    </w:p>
    <w:p w14:paraId="3C391D9E" w14:textId="77777777" w:rsidR="002B3AD7" w:rsidRDefault="00892EA4" w:rsidP="002B3AD7">
      <w:r w:rsidRPr="00892EA4">
        <w:rPr>
          <w:b/>
          <w:bCs/>
        </w:rPr>
        <w:t>Sampling Strategy.</w:t>
      </w:r>
      <w:r>
        <w:t xml:space="preserve"> </w:t>
      </w:r>
      <w:r w:rsidR="002B3AD7">
        <w:t>Developing a sampling strategy involves carefully selecting the target population and determining how to collect data from this population. Researchers must take care to avoid biased samples that may lead to biased observations. A biased sample is one that does not accurately represent the population of interest, potentially leading to inaccurate conclusions. Selecting an appropriate sampling strategy is crucial to ensuring the validity and generalizability of the research findings. Chapter 7: Sampling provides a more in-depth discussion of this topic.</w:t>
      </w:r>
    </w:p>
    <w:p w14:paraId="5327D18D" w14:textId="7AC25907" w:rsidR="00A626FE" w:rsidRPr="000E309B" w:rsidRDefault="002B3AD7" w:rsidP="002B3AD7">
      <w:r>
        <w:t>In summary, the research design phase is a critical step in the research process, where researchers translate the research questions identified in the exploration phase into a concrete plan of action. By carefully operationalizing constructs, selecting appropriate research methods, and developing a robust sampling strategy, researchers lay the foundation for collecting meaningful data that will help answer their research questions. The decisions made during this phase have significant implications for the validity, reliability, and generalizability of the research findings.</w:t>
      </w:r>
    </w:p>
    <w:p w14:paraId="35C30461" w14:textId="1E24219F" w:rsidR="00445276" w:rsidRDefault="009349B2" w:rsidP="00445276">
      <w:pPr>
        <w:pStyle w:val="Heading5"/>
      </w:pPr>
      <w:r>
        <w:rPr>
          <w:noProof/>
        </w:rPr>
        <w:drawing>
          <wp:anchor distT="0" distB="0" distL="114300" distR="114300" simplePos="0" relativeHeight="251658298" behindDoc="0" locked="0" layoutInCell="1" allowOverlap="1" wp14:anchorId="6B2A9611" wp14:editId="7A5D6135">
            <wp:simplePos x="914400" y="914400"/>
            <wp:positionH relativeFrom="column">
              <wp:align>right</wp:align>
            </wp:positionH>
            <wp:positionV relativeFrom="paragraph">
              <wp:posOffset>0</wp:posOffset>
            </wp:positionV>
            <wp:extent cx="914400" cy="914400"/>
            <wp:effectExtent l="0" t="0" r="0" b="0"/>
            <wp:wrapSquare wrapText="bothSides"/>
            <wp:docPr id="114" name="Graphic 114" descr="Question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phic 114" descr="Questions with solid fill"/>
                    <pic:cNvPicPr/>
                  </pic:nvPicPr>
                  <pic:blipFill>
                    <a:blip r:embed="rId127">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914400" cy="914400"/>
                    </a:xfrm>
                    <a:prstGeom prst="rect">
                      <a:avLst/>
                    </a:prstGeom>
                  </pic:spPr>
                </pic:pic>
              </a:graphicData>
            </a:graphic>
          </wp:anchor>
        </w:drawing>
      </w:r>
      <w:r w:rsidR="00D14B33" w:rsidRPr="000E309B">
        <w:t>Proposal</w:t>
      </w:r>
    </w:p>
    <w:p w14:paraId="014BFA26" w14:textId="77777777" w:rsidR="00167350" w:rsidRDefault="00167350" w:rsidP="00167350">
      <w:r>
        <w:t>After completing the exploration and research design phases, it is highly recommended to write a comprehensive research proposal. This proposal should detail all the decisions made in the previous stages of the research process and provide a clear rationale for each decision. The multi-part proposal serves several purposes:</w:t>
      </w:r>
    </w:p>
    <w:p w14:paraId="4B825369" w14:textId="7F6A21BA" w:rsidR="00167350" w:rsidRDefault="00167350" w:rsidP="00167350">
      <w:pPr>
        <w:pStyle w:val="ListParagraph"/>
        <w:numPr>
          <w:ilvl w:val="0"/>
          <w:numId w:val="188"/>
        </w:numPr>
      </w:pPr>
      <w:r>
        <w:t>It explains the significance of the research questions being studied.</w:t>
      </w:r>
    </w:p>
    <w:p w14:paraId="61C6BE08" w14:textId="259CE23F" w:rsidR="00167350" w:rsidRDefault="00167350" w:rsidP="00167350">
      <w:pPr>
        <w:pStyle w:val="ListParagraph"/>
        <w:numPr>
          <w:ilvl w:val="0"/>
          <w:numId w:val="188"/>
        </w:numPr>
      </w:pPr>
      <w:r>
        <w:lastRenderedPageBreak/>
        <w:t>It summarizes the current state of knowledge in the field.</w:t>
      </w:r>
    </w:p>
    <w:p w14:paraId="20751F69" w14:textId="0EA0402A" w:rsidR="00167350" w:rsidRDefault="00167350" w:rsidP="00167350">
      <w:pPr>
        <w:pStyle w:val="ListParagraph"/>
        <w:numPr>
          <w:ilvl w:val="0"/>
          <w:numId w:val="188"/>
        </w:numPr>
      </w:pPr>
      <w:r>
        <w:t>It outlines the theories or hypotheses to be tested.</w:t>
      </w:r>
    </w:p>
    <w:p w14:paraId="4842C534" w14:textId="34CA445B" w:rsidR="00167350" w:rsidRDefault="00167350" w:rsidP="00167350">
      <w:pPr>
        <w:pStyle w:val="ListParagraph"/>
        <w:numPr>
          <w:ilvl w:val="0"/>
          <w:numId w:val="188"/>
        </w:numPr>
      </w:pPr>
      <w:r>
        <w:t>It describes how the constructs will be measured.</w:t>
      </w:r>
    </w:p>
    <w:p w14:paraId="44942F5C" w14:textId="4EAD1A45" w:rsidR="00167350" w:rsidRDefault="00167350" w:rsidP="00167350">
      <w:pPr>
        <w:pStyle w:val="ListParagraph"/>
        <w:numPr>
          <w:ilvl w:val="0"/>
          <w:numId w:val="188"/>
        </w:numPr>
      </w:pPr>
      <w:r>
        <w:t>It specifies the research method to be employed.</w:t>
      </w:r>
    </w:p>
    <w:p w14:paraId="03E9C39A" w14:textId="61D5A048" w:rsidR="00167350" w:rsidRDefault="00167350" w:rsidP="00167350">
      <w:pPr>
        <w:pStyle w:val="ListParagraph"/>
        <w:numPr>
          <w:ilvl w:val="0"/>
          <w:numId w:val="188"/>
        </w:numPr>
      </w:pPr>
      <w:r>
        <w:t>It details the sampling strategy.</w:t>
      </w:r>
    </w:p>
    <w:p w14:paraId="3A01A2FE" w14:textId="77777777" w:rsidR="00167350" w:rsidRDefault="00167350" w:rsidP="00167350">
      <w:r>
        <w:t>Funding agencies often require a well-written and detailed proposal to make informed decisions about which projects to support. Even if external funding is not being sought, crafting a research proposal can be incredibly valuable. Sharing the proposal with other researchers allows for gathering feedback and identifying potential issues with the research project before data collection begins. This initial feedback is crucial, as it is often too late to address critical problems once data collection is underway.</w:t>
      </w:r>
    </w:p>
    <w:p w14:paraId="286AE701" w14:textId="77777777" w:rsidR="00167350" w:rsidRDefault="00167350" w:rsidP="00167350">
      <w:r>
        <w:t>A well-structured research proposal should include the following sections:</w:t>
      </w:r>
    </w:p>
    <w:p w14:paraId="5A3D2A1E" w14:textId="77777777" w:rsidR="00167350" w:rsidRDefault="00167350" w:rsidP="00167350">
      <w:pPr>
        <w:pStyle w:val="ListParagraph"/>
        <w:numPr>
          <w:ilvl w:val="0"/>
          <w:numId w:val="189"/>
        </w:numPr>
      </w:pPr>
      <w:r>
        <w:t>Introduction: Provide an overview of the research problem, its significance, and the research questions to be addressed.</w:t>
      </w:r>
    </w:p>
    <w:p w14:paraId="7785B40F" w14:textId="77777777" w:rsidR="00167350" w:rsidRDefault="00167350" w:rsidP="00167350">
      <w:pPr>
        <w:pStyle w:val="ListParagraph"/>
        <w:numPr>
          <w:ilvl w:val="0"/>
          <w:numId w:val="189"/>
        </w:numPr>
      </w:pPr>
      <w:r>
        <w:t>Literature Review: Summarize the current state of knowledge in the field, identify gaps in the existing literature, and explain how the proposed research will contribute to filling those gaps.</w:t>
      </w:r>
    </w:p>
    <w:p w14:paraId="5F59AA9E" w14:textId="77777777" w:rsidR="00167350" w:rsidRDefault="00167350" w:rsidP="00167350">
      <w:pPr>
        <w:pStyle w:val="ListParagraph"/>
        <w:numPr>
          <w:ilvl w:val="0"/>
          <w:numId w:val="189"/>
        </w:numPr>
      </w:pPr>
      <w:r>
        <w:t>Theoretical Framework: Discuss the theories or hypotheses to be tested and how they relate to the research questions.</w:t>
      </w:r>
    </w:p>
    <w:p w14:paraId="0DF36351" w14:textId="77777777" w:rsidR="00167350" w:rsidRDefault="00167350" w:rsidP="00167350">
      <w:pPr>
        <w:pStyle w:val="ListParagraph"/>
        <w:numPr>
          <w:ilvl w:val="0"/>
          <w:numId w:val="189"/>
        </w:numPr>
      </w:pPr>
      <w:r>
        <w:t>Methodology: Detail the research design, including the operationalization of constructs, the chosen research method, and the sampling strategy. Provide a clear rationale for each methodological decision.</w:t>
      </w:r>
    </w:p>
    <w:p w14:paraId="4D35CDD3" w14:textId="77777777" w:rsidR="00167350" w:rsidRDefault="00167350" w:rsidP="00167350">
      <w:pPr>
        <w:pStyle w:val="ListParagraph"/>
        <w:numPr>
          <w:ilvl w:val="0"/>
          <w:numId w:val="189"/>
        </w:numPr>
      </w:pPr>
      <w:r>
        <w:t>Expected Outcomes and Implications: Describe the anticipated results of the research and discuss the potential implications for theory, practice, and future research.</w:t>
      </w:r>
    </w:p>
    <w:p w14:paraId="242608B9" w14:textId="77777777" w:rsidR="00167350" w:rsidRDefault="00167350" w:rsidP="00167350">
      <w:pPr>
        <w:pStyle w:val="ListParagraph"/>
        <w:numPr>
          <w:ilvl w:val="0"/>
          <w:numId w:val="189"/>
        </w:numPr>
      </w:pPr>
      <w:r>
        <w:t>Timeline and Budget: Outline the project timeline, including key milestones and deliverables, and provide a detailed budget (if applicable).</w:t>
      </w:r>
    </w:p>
    <w:p w14:paraId="5327D18E" w14:textId="6229585A" w:rsidR="00A626FE" w:rsidRPr="000E309B" w:rsidRDefault="00167350" w:rsidP="00167350">
      <w:r>
        <w:t>By investing time and effort in crafting a comprehensive research proposal, researchers can ensure that their project is well-planned, grounded in existing knowledge, and positioned to make a meaningful contribution to their field. The proposal serves as a roadmap for the entire research process and helps to keep the project focused and on track. Additionally, the feedback received from other researchers during the proposal stage can be invaluable in refining the research design and avoiding potential pitfalls, ultimately leading to a more successful and impactful research project.</w:t>
      </w:r>
    </w:p>
    <w:p w14:paraId="2D28694C" w14:textId="331E2736" w:rsidR="00445276" w:rsidRDefault="009349B2" w:rsidP="00445276">
      <w:pPr>
        <w:pStyle w:val="Heading5"/>
      </w:pPr>
      <w:r>
        <w:rPr>
          <w:noProof/>
        </w:rPr>
        <w:lastRenderedPageBreak/>
        <w:drawing>
          <wp:anchor distT="0" distB="0" distL="114300" distR="114300" simplePos="0" relativeHeight="251658299" behindDoc="0" locked="0" layoutInCell="1" allowOverlap="1" wp14:anchorId="26D2FF9C" wp14:editId="026E9A59">
            <wp:simplePos x="914400" y="3762375"/>
            <wp:positionH relativeFrom="column">
              <wp:align>right</wp:align>
            </wp:positionH>
            <wp:positionV relativeFrom="paragraph">
              <wp:posOffset>0</wp:posOffset>
            </wp:positionV>
            <wp:extent cx="914400" cy="914400"/>
            <wp:effectExtent l="0" t="0" r="0" b="0"/>
            <wp:wrapSquare wrapText="bothSides"/>
            <wp:docPr id="115" name="Graphic 115" descr="Play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phic 115" descr="Playbook with solid fill"/>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914400" cy="914400"/>
                    </a:xfrm>
                    <a:prstGeom prst="rect">
                      <a:avLst/>
                    </a:prstGeom>
                  </pic:spPr>
                </pic:pic>
              </a:graphicData>
            </a:graphic>
          </wp:anchor>
        </w:drawing>
      </w:r>
      <w:r w:rsidR="00D14B33" w:rsidRPr="000E309B">
        <w:t>Research Execution</w:t>
      </w:r>
    </w:p>
    <w:p w14:paraId="48DDF60F" w14:textId="77777777" w:rsidR="000E238C" w:rsidRPr="000E238C" w:rsidRDefault="000E238C" w:rsidP="000E238C">
      <w:r w:rsidRPr="000E238C">
        <w:t>After carefully selecting the subjects, defining the concepts to be measured, and determining the appropriate research method, the researcher is ready to move on to the research execution phase. This phase consists of three key steps: pilot testing the measurement instruments, collecting data, and analyzing the data.</w:t>
      </w:r>
    </w:p>
    <w:p w14:paraId="58FE557A" w14:textId="77777777" w:rsidR="000E2549" w:rsidRPr="000E2549" w:rsidRDefault="00D14B33" w:rsidP="000E2549">
      <w:r w:rsidRPr="00197980">
        <w:rPr>
          <w:b/>
          <w:bCs/>
        </w:rPr>
        <w:t>Pilot testing</w:t>
      </w:r>
      <w:r w:rsidR="00197980" w:rsidRPr="00197980">
        <w:rPr>
          <w:b/>
          <w:bCs/>
        </w:rPr>
        <w:t>.</w:t>
      </w:r>
      <w:r w:rsidRPr="000E309B">
        <w:t xml:space="preserve"> </w:t>
      </w:r>
      <w:r w:rsidR="000E2549" w:rsidRPr="000E2549">
        <w:t>Pilot testing is a crucial but often overlooked step in the research process. Its purpose is to identify potential issues in the research design and instrumentation before conducting the main study. For example, pilot testing can help determine whether survey questions are clear and easily understood by the target sample. It also ensures that the measurement instruments used in the study are reliable and valid measures of the constructs being investigated. Typically, the pilot sample is a small subset of the target population. If the pilot testing is successful, the researcher can proceed with data collection using the full sample.</w:t>
      </w:r>
    </w:p>
    <w:p w14:paraId="1EE5C352" w14:textId="77777777" w:rsidR="000E2549" w:rsidRPr="000E2549" w:rsidRDefault="00197980" w:rsidP="000E2549">
      <w:r w:rsidRPr="00197980">
        <w:rPr>
          <w:b/>
          <w:bCs/>
        </w:rPr>
        <w:t>Data Collection.</w:t>
      </w:r>
      <w:r>
        <w:t xml:space="preserve"> </w:t>
      </w:r>
      <w:r w:rsidR="000E2549" w:rsidRPr="000E2549">
        <w:t>Data collection is the process of gathering the necessary data as specified in the research plan. Depending on the research method chosen, this may involve conducting surveys, visiting field sites, interviewing subjects, reading corporate documents, or generating other types of data. It is essential to adhere to the data collection procedures outlined in the research plan to ensure the quality and consistency of the data.</w:t>
      </w:r>
    </w:p>
    <w:p w14:paraId="0B54E726" w14:textId="77777777" w:rsidR="00D32450" w:rsidRDefault="00197980" w:rsidP="00D32450">
      <w:r w:rsidRPr="00197980">
        <w:rPr>
          <w:b/>
          <w:bCs/>
        </w:rPr>
        <w:t>Data Analysis.</w:t>
      </w:r>
      <w:r>
        <w:t xml:space="preserve"> </w:t>
      </w:r>
      <w:r w:rsidR="00D32450" w:rsidRPr="00D32450">
        <w:t>After collecting the data, the researcher must analyze and interpret it. The type of data analysis depends on the nature of the data collected. For quantitative data, researchers may employ statistical techniques such as regression or structural equation modeling. Qualitative data, on the other hand, may require coding or content analysis to identify themes and patterns. The choice of data analysis techniques should be based on the research questions, the type of data collected, and the assumptions underlying the chosen research method.</w:t>
      </w:r>
    </w:p>
    <w:p w14:paraId="6BFA48AE" w14:textId="3111EBAB" w:rsidR="00D32450" w:rsidRPr="00D32450" w:rsidRDefault="00D32450" w:rsidP="00D32450">
      <w:r>
        <w:t>In summary, the research execution phase is where the researcher puts the research plan into action. By conducting pilot tests, collecting data, and analyzing the results, researchers can generate the evidence needed to answer their research questions and contribute to the existing body of knowledge in their field. It is essential to approach each step in this phase with rigor and attention to detail to ensure the validity and reliability of the research findings.</w:t>
      </w:r>
    </w:p>
    <w:p w14:paraId="2E4F4907" w14:textId="45AFCAC2" w:rsidR="00445276" w:rsidRDefault="009349B2" w:rsidP="00445276">
      <w:pPr>
        <w:pStyle w:val="Heading5"/>
      </w:pPr>
      <w:r>
        <w:rPr>
          <w:noProof/>
        </w:rPr>
        <w:drawing>
          <wp:anchor distT="0" distB="0" distL="114300" distR="114300" simplePos="0" relativeHeight="251658300" behindDoc="0" locked="0" layoutInCell="1" allowOverlap="1" wp14:anchorId="04025F07" wp14:editId="22243A48">
            <wp:simplePos x="914400" y="914400"/>
            <wp:positionH relativeFrom="column">
              <wp:align>right</wp:align>
            </wp:positionH>
            <wp:positionV relativeFrom="paragraph">
              <wp:posOffset>0</wp:posOffset>
            </wp:positionV>
            <wp:extent cx="914400" cy="914400"/>
            <wp:effectExtent l="0" t="0" r="0" b="0"/>
            <wp:wrapSquare wrapText="bothSides"/>
            <wp:docPr id="116" name="Graphic 116"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phic 116" descr="Document with solid fill"/>
                    <pic:cNvPicPr/>
                  </pic:nvPicPr>
                  <pic:blipFill>
                    <a:blip r:embed="rId131">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a:xfrm>
                      <a:off x="0" y="0"/>
                      <a:ext cx="914400" cy="914400"/>
                    </a:xfrm>
                    <a:prstGeom prst="rect">
                      <a:avLst/>
                    </a:prstGeom>
                  </pic:spPr>
                </pic:pic>
              </a:graphicData>
            </a:graphic>
          </wp:anchor>
        </w:drawing>
      </w:r>
      <w:r w:rsidR="00D14B33" w:rsidRPr="000E309B">
        <w:t>Research Report</w:t>
      </w:r>
    </w:p>
    <w:p w14:paraId="3F716ABC" w14:textId="77777777" w:rsidR="003478E8" w:rsidRDefault="003478E8" w:rsidP="003478E8">
      <w:r>
        <w:t>The final phase of the research process involves preparing a comprehensive report that documents the entire research journey, from the initial research questions to the final findings. This report can take the form of a research paper, dissertation, or monograph, depending on the purpose and audience.</w:t>
      </w:r>
    </w:p>
    <w:p w14:paraId="2F70CC4E" w14:textId="77777777" w:rsidR="003478E8" w:rsidRDefault="003478E8" w:rsidP="003478E8">
      <w:r>
        <w:t>The research report should provide a detailed account of the choices made throughout the research process, including:</w:t>
      </w:r>
    </w:p>
    <w:p w14:paraId="4EF3FD0F" w14:textId="1B431959" w:rsidR="003478E8" w:rsidRDefault="003478E8" w:rsidP="000F61A1">
      <w:pPr>
        <w:pStyle w:val="ListParagraph"/>
        <w:numPr>
          <w:ilvl w:val="0"/>
          <w:numId w:val="190"/>
        </w:numPr>
      </w:pPr>
      <w:r>
        <w:t>The theory used to guide the research</w:t>
      </w:r>
      <w:r w:rsidR="00D116F6">
        <w:t>.</w:t>
      </w:r>
    </w:p>
    <w:p w14:paraId="013FF973" w14:textId="1BE7450B" w:rsidR="003478E8" w:rsidRDefault="003478E8" w:rsidP="000F61A1">
      <w:pPr>
        <w:pStyle w:val="ListParagraph"/>
        <w:numPr>
          <w:ilvl w:val="0"/>
          <w:numId w:val="190"/>
        </w:numPr>
      </w:pPr>
      <w:r>
        <w:lastRenderedPageBreak/>
        <w:t xml:space="preserve">The constructs </w:t>
      </w:r>
      <w:r w:rsidR="00672B1A">
        <w:t>that were selected</w:t>
      </w:r>
      <w:r>
        <w:t xml:space="preserve"> for investigation</w:t>
      </w:r>
      <w:r w:rsidR="00D116F6">
        <w:t>.</w:t>
      </w:r>
    </w:p>
    <w:p w14:paraId="0E5171D2" w14:textId="687CA3FB" w:rsidR="003478E8" w:rsidRDefault="003478E8" w:rsidP="000F61A1">
      <w:pPr>
        <w:pStyle w:val="ListParagraph"/>
        <w:numPr>
          <w:ilvl w:val="0"/>
          <w:numId w:val="190"/>
        </w:numPr>
      </w:pPr>
      <w:r>
        <w:t>The measures used to operationalize the constructs</w:t>
      </w:r>
      <w:r w:rsidR="00D116F6">
        <w:t>.</w:t>
      </w:r>
    </w:p>
    <w:p w14:paraId="65882BE0" w14:textId="10ABD07E" w:rsidR="003478E8" w:rsidRDefault="003478E8" w:rsidP="000F61A1">
      <w:pPr>
        <w:pStyle w:val="ListParagraph"/>
        <w:numPr>
          <w:ilvl w:val="0"/>
          <w:numId w:val="190"/>
        </w:numPr>
      </w:pPr>
      <w:r>
        <w:t>The research methods employed</w:t>
      </w:r>
      <w:r w:rsidR="00D116F6">
        <w:t>.</w:t>
      </w:r>
    </w:p>
    <w:p w14:paraId="34082A9F" w14:textId="2A6A325D" w:rsidR="003478E8" w:rsidRDefault="003478E8" w:rsidP="000F61A1">
      <w:pPr>
        <w:pStyle w:val="ListParagraph"/>
        <w:numPr>
          <w:ilvl w:val="0"/>
          <w:numId w:val="190"/>
        </w:numPr>
      </w:pPr>
      <w:r>
        <w:t>The sampling strategy</w:t>
      </w:r>
      <w:r w:rsidR="00D116F6">
        <w:t>.</w:t>
      </w:r>
    </w:p>
    <w:p w14:paraId="3857E9AF" w14:textId="471AE34A" w:rsidR="003478E8" w:rsidRDefault="003478E8" w:rsidP="000F61A1">
      <w:pPr>
        <w:pStyle w:val="ListParagraph"/>
        <w:numPr>
          <w:ilvl w:val="0"/>
          <w:numId w:val="190"/>
        </w:numPr>
      </w:pPr>
      <w:r>
        <w:t>Any other relevant methodological decisions</w:t>
      </w:r>
      <w:r w:rsidR="00D116F6">
        <w:t>.</w:t>
      </w:r>
    </w:p>
    <w:p w14:paraId="1FACA2D6" w14:textId="77777777" w:rsidR="003478E8" w:rsidRDefault="003478E8" w:rsidP="003478E8">
      <w:r>
        <w:t>In addition to describing these choices, the report should also explain the rationale behind each decision. This transparency allows readers to understand the researcher's thought process and evaluate the appropriateness of the chosen methods.</w:t>
      </w:r>
    </w:p>
    <w:p w14:paraId="52767997" w14:textId="77777777" w:rsidR="003478E8" w:rsidRDefault="003478E8" w:rsidP="003478E8">
      <w:r>
        <w:t>The report should also present the outcomes of each phase of the research process, including the results of the pilot testing, data collection, and data analysis. When discussing the findings, it is essential to interpret them in the context of the research questions and the existing literature. The researcher should also acknowledge any limitations of the study and suggest directions for future research.</w:t>
      </w:r>
    </w:p>
    <w:p w14:paraId="37D738F8" w14:textId="77777777" w:rsidR="003478E8" w:rsidRDefault="003478E8" w:rsidP="003478E8">
      <w:r>
        <w:t>One of the key purposes of the research report is to enable other researchers to replicate the study, test the findings, or assess the scientific acceptability of the inferences derived. To achieve this, the research process must be described in sufficient detail. This detailed documentation is crucial for the progress of science, as it allows researchers to build upon existing knowledge and advance their fields.</w:t>
      </w:r>
    </w:p>
    <w:p w14:paraId="5327D193" w14:textId="6940FE1C" w:rsidR="00A626FE" w:rsidRPr="000E309B" w:rsidRDefault="003478E8" w:rsidP="003478E8">
      <w:r>
        <w:t>In summary, the research report is the culmination of the entire research process. It serves as a comprehensive record of the research journey, documenting the choices made, the rationale behind them, and the outcomes of each phase. By providing a transparent and detailed account of the research process, the report enables other researchers to evaluate the study's validity, replicate its findings, and build upon its contributions. Ultimately, the research report is essential for the advancement of scientific knowledge and the growth of the researcher's field.</w:t>
      </w:r>
    </w:p>
    <w:p w14:paraId="5327D194" w14:textId="086B00E8" w:rsidR="00A626FE" w:rsidRPr="000E309B" w:rsidRDefault="0097778D" w:rsidP="0097778D">
      <w:pPr>
        <w:pStyle w:val="Heading3"/>
      </w:pPr>
      <w:bookmarkStart w:id="54" w:name="_Toc169156708"/>
      <w:r>
        <w:t>M</w:t>
      </w:r>
      <w:r w:rsidR="00D14B33" w:rsidRPr="000E309B">
        <w:t xml:space="preserve">ixed </w:t>
      </w:r>
      <w:r>
        <w:t>M</w:t>
      </w:r>
      <w:r w:rsidR="00D14B33" w:rsidRPr="000E309B">
        <w:t>ethods</w:t>
      </w:r>
      <w:bookmarkEnd w:id="54"/>
    </w:p>
    <w:p w14:paraId="7B71D8D7" w14:textId="733E9ADF" w:rsidR="001203E9" w:rsidRDefault="001203E9" w:rsidP="001203E9">
      <w:r>
        <w:t>While research design has been presented as a choice between positivist and interpretive approaches, with numeric or textual data, respectively, researchers do not always have to choose one approach over the other. In fact, some of the most highly regarded business and marketing studies combine multiple approaches to gain a more comprehensive understanding of their topic. This approach is known as mixed methods, as it aims to uncover the "truth" by leveraging several different research strategies.</w:t>
      </w:r>
    </w:p>
    <w:p w14:paraId="4F9150F6" w14:textId="77777777" w:rsidR="001203E9" w:rsidRDefault="001203E9" w:rsidP="001203E9">
      <w:r>
        <w:t>To illustrate the concept of mixed methods, consider a researcher interested in understanding how college students use electronic devices on campus. Instead of relying on a single research technique, such as a survey, the researcher could employ multiple methods:</w:t>
      </w:r>
    </w:p>
    <w:p w14:paraId="5239029A" w14:textId="77777777" w:rsidR="001203E9" w:rsidRDefault="001203E9" w:rsidP="00492F3F">
      <w:pPr>
        <w:pStyle w:val="ListParagraph"/>
        <w:numPr>
          <w:ilvl w:val="0"/>
          <w:numId w:val="191"/>
        </w:numPr>
      </w:pPr>
      <w:r>
        <w:t>Conduct a survey to gather quantitative data on students' device usage patterns and preferences.</w:t>
      </w:r>
    </w:p>
    <w:p w14:paraId="7025A7DB" w14:textId="77777777" w:rsidR="001203E9" w:rsidRDefault="001203E9" w:rsidP="00492F3F">
      <w:pPr>
        <w:pStyle w:val="ListParagraph"/>
        <w:numPr>
          <w:ilvl w:val="0"/>
          <w:numId w:val="191"/>
        </w:numPr>
      </w:pPr>
      <w:r>
        <w:lastRenderedPageBreak/>
        <w:t>Conduct individual interviews to gain deeper insights into students' experiences, motivations, and challenges related to device usage.</w:t>
      </w:r>
    </w:p>
    <w:p w14:paraId="6FA57B8F" w14:textId="77777777" w:rsidR="001203E9" w:rsidRDefault="001203E9" w:rsidP="00492F3F">
      <w:pPr>
        <w:pStyle w:val="ListParagraph"/>
        <w:numPr>
          <w:ilvl w:val="0"/>
          <w:numId w:val="191"/>
        </w:numPr>
      </w:pPr>
      <w:r>
        <w:t>Perform a content analysis of campus policies related to electronic device usage to understand the institutional context.</w:t>
      </w:r>
    </w:p>
    <w:p w14:paraId="3A8218A8" w14:textId="77777777" w:rsidR="001203E9" w:rsidRDefault="001203E9" w:rsidP="00492F3F">
      <w:pPr>
        <w:pStyle w:val="ListParagraph"/>
        <w:numPr>
          <w:ilvl w:val="0"/>
          <w:numId w:val="191"/>
        </w:numPr>
      </w:pPr>
      <w:r>
        <w:t>Observe students in their natural environments to capture real-world device usage behaviors and interactions.</w:t>
      </w:r>
    </w:p>
    <w:p w14:paraId="2BF8BAAD" w14:textId="77777777" w:rsidR="001203E9" w:rsidRDefault="001203E9" w:rsidP="001203E9">
      <w:r>
        <w:t>By combining these different research techniques, the researcher would develop a more comprehensive understanding of how students use electronic devices on campus. The survey data would provide a broad overview of usage patterns, while the interviews would offer rich, qualitative insights into students' experiences. The content analysis would shed light on the institutional factors that shape device usage, and the observations would capture the nuances of real-world behaviors.</w:t>
      </w:r>
    </w:p>
    <w:p w14:paraId="2506E317" w14:textId="77777777" w:rsidR="001203E9" w:rsidRDefault="001203E9" w:rsidP="001203E9">
      <w:r>
        <w:t>However, it is important to note that mixed-method projects require significant resources, time, and expertise to complete. Researchers must be skilled in multiple research techniques and be able to effectively integrate the findings from different data sources. Additionally, while mixed methods can leverage the combined strengths of each type of research, they may also inherit the combined weaknesses of each approach. Researchers must be aware of these potential pitfalls and take steps to mitigate them.</w:t>
      </w:r>
    </w:p>
    <w:p w14:paraId="5327D196" w14:textId="5B64CD7A" w:rsidR="00A626FE" w:rsidRPr="000E309B" w:rsidRDefault="001203E9" w:rsidP="001203E9">
      <w:r>
        <w:t>Despite these challenges, mixed methods research offers a powerful tool for researchers seeking to gain a holistic understanding of complex phenomena. By combining positivist and interpretive approaches, quantitative and qualitative data, and multiple research techniques, mixed methods research can provide a more robust and nuanced understanding of the topic under investigation. As such, mixed methods research is increasingly valued in business and marketing research, where a comprehensive understanding of consumer behavior, organizational dynamics, and market trends is essential for informing strategic decision-making.</w:t>
      </w:r>
    </w:p>
    <w:p w14:paraId="5327D199" w14:textId="1A4729E4" w:rsidR="00A626FE" w:rsidRPr="000E309B" w:rsidRDefault="0097778D" w:rsidP="0097778D">
      <w:pPr>
        <w:pStyle w:val="Heading3"/>
      </w:pPr>
      <w:bookmarkStart w:id="55" w:name="_Toc169156709"/>
      <w:r>
        <w:t>C</w:t>
      </w:r>
      <w:r w:rsidR="00D14B33" w:rsidRPr="000E309B">
        <w:t xml:space="preserve">ommon </w:t>
      </w:r>
      <w:r>
        <w:t>R</w:t>
      </w:r>
      <w:r w:rsidR="00D14B33" w:rsidRPr="000E309B">
        <w:t xml:space="preserve">esearch </w:t>
      </w:r>
      <w:r>
        <w:t>M</w:t>
      </w:r>
      <w:r w:rsidR="00D14B33" w:rsidRPr="000E309B">
        <w:t>istakes</w:t>
      </w:r>
      <w:bookmarkEnd w:id="55"/>
    </w:p>
    <w:p w14:paraId="70F07B65" w14:textId="77777777" w:rsidR="00A45903" w:rsidRDefault="00A45903" w:rsidP="00F82C45">
      <w:r>
        <w:t>Researchers may encounter various pitfalls throughout the research process, which can lead to unanswered questions, uninteresting findings, or research that fails to meet acceptable scientific standards. These issues often result in research papers being rejected by journals. Some common research mistakes include:</w:t>
      </w:r>
    </w:p>
    <w:p w14:paraId="1B6CAE76" w14:textId="77777777" w:rsidR="00A45903" w:rsidRDefault="00A45903" w:rsidP="00F82C45">
      <w:pPr>
        <w:pStyle w:val="ListParagraph"/>
        <w:numPr>
          <w:ilvl w:val="0"/>
          <w:numId w:val="192"/>
        </w:numPr>
      </w:pPr>
      <w:r w:rsidRPr="00CD573A">
        <w:rPr>
          <w:b/>
          <w:bCs/>
        </w:rPr>
        <w:t>Insufficiently motivated questions</w:t>
      </w:r>
      <w:r>
        <w:t>: Researchers sometimes choose "pet" problems that are interesting to them but not to the broader scientific community. These problems may not generate new knowledge or insights about the phenomenon being investigated. To avoid this, researchers should ensure that their questions address real problems affecting a substantial portion of a population and have not been adequately addressed in prior research.</w:t>
      </w:r>
    </w:p>
    <w:p w14:paraId="1179B71D" w14:textId="77777777" w:rsidR="00A45903" w:rsidRDefault="00A45903" w:rsidP="00F82C45">
      <w:pPr>
        <w:pStyle w:val="ListParagraph"/>
        <w:numPr>
          <w:ilvl w:val="0"/>
          <w:numId w:val="192"/>
        </w:numPr>
      </w:pPr>
      <w:r w:rsidRPr="00CD573A">
        <w:rPr>
          <w:b/>
          <w:bCs/>
        </w:rPr>
        <w:lastRenderedPageBreak/>
        <w:t>Pursuing research fads</w:t>
      </w:r>
      <w:r>
        <w:t>: Another common mistake is pursuing "popular" topics with limited shelf life, such as studying technologies or practices that may become obsolete quickly. Because research takes time to complete and publish, interest in these fads may wane by the time the research is submitted for publication. A better strategy is to study "timeless" topics that have persisted over the years.</w:t>
      </w:r>
    </w:p>
    <w:p w14:paraId="17759B76" w14:textId="77777777" w:rsidR="00A45903" w:rsidRDefault="00A45903" w:rsidP="00F82C45">
      <w:pPr>
        <w:pStyle w:val="ListParagraph"/>
        <w:numPr>
          <w:ilvl w:val="0"/>
          <w:numId w:val="192"/>
        </w:numPr>
      </w:pPr>
      <w:r w:rsidRPr="00CD573A">
        <w:rPr>
          <w:b/>
          <w:bCs/>
        </w:rPr>
        <w:t>Problems that cannot be researched</w:t>
      </w:r>
      <w:r>
        <w:t>: Some research problems may not be adequately answered based on empirical evidence alone or currently accepted methods and procedures. These problems should be avoided or modified into researchable problems.</w:t>
      </w:r>
    </w:p>
    <w:p w14:paraId="5C2A667E" w14:textId="77777777" w:rsidR="00A45903" w:rsidRDefault="00A45903" w:rsidP="00F82C45">
      <w:pPr>
        <w:pStyle w:val="ListParagraph"/>
        <w:numPr>
          <w:ilvl w:val="0"/>
          <w:numId w:val="192"/>
        </w:numPr>
      </w:pPr>
      <w:r w:rsidRPr="00CD573A">
        <w:rPr>
          <w:b/>
          <w:bCs/>
        </w:rPr>
        <w:t>Favored research methods</w:t>
      </w:r>
      <w:r>
        <w:t>: Some researchers tend to recast research problems to fit their preferred research method, such as survey research. This approach is problematic, as research methods should be chosen to fit the research problem, not the other way around.</w:t>
      </w:r>
    </w:p>
    <w:p w14:paraId="714A2F17" w14:textId="77777777" w:rsidR="00A45903" w:rsidRDefault="00A45903" w:rsidP="00F82C45">
      <w:pPr>
        <w:pStyle w:val="ListParagraph"/>
        <w:numPr>
          <w:ilvl w:val="0"/>
          <w:numId w:val="192"/>
        </w:numPr>
      </w:pPr>
      <w:r w:rsidRPr="00CD573A">
        <w:rPr>
          <w:b/>
          <w:bCs/>
        </w:rPr>
        <w:t>Blind data mining</w:t>
      </w:r>
      <w:r>
        <w:t>: Collecting data first (using already available instruments) and then figuring out what to do with it is another common mistake. Data collection is just one step in the research process, and a series of other activities, such as planning and designing, should precede it. Jumping into data collection without proper planning can result in irrelevant, imperfect, or useless data, and the effort may be entirely wasted. An abundance of data cannot compensate for deficits in research planning and design or the lack of compelling research questions.</w:t>
      </w:r>
    </w:p>
    <w:p w14:paraId="291C3ABB" w14:textId="77777777" w:rsidR="00A45903" w:rsidRDefault="00A45903" w:rsidP="00F82C45">
      <w:pPr>
        <w:pStyle w:val="ListParagraph"/>
        <w:numPr>
          <w:ilvl w:val="0"/>
          <w:numId w:val="192"/>
        </w:numPr>
      </w:pPr>
      <w:r w:rsidRPr="00CD573A">
        <w:rPr>
          <w:b/>
          <w:bCs/>
        </w:rPr>
        <w:t>Ecological fallacy</w:t>
      </w:r>
      <w:r>
        <w:t>: This error occurs when claims about lower-level units of analysis are made based on data from higher-level units of analysis. For example, making claims about individuals based on group-level data.</w:t>
      </w:r>
    </w:p>
    <w:p w14:paraId="6BEE438F" w14:textId="77777777" w:rsidR="00A45903" w:rsidRDefault="00A45903" w:rsidP="00F82C45">
      <w:pPr>
        <w:pStyle w:val="ListParagraph"/>
        <w:numPr>
          <w:ilvl w:val="0"/>
          <w:numId w:val="192"/>
        </w:numPr>
      </w:pPr>
      <w:r w:rsidRPr="00CD573A">
        <w:rPr>
          <w:b/>
          <w:bCs/>
        </w:rPr>
        <w:t>Reductionism</w:t>
      </w:r>
      <w:r>
        <w:t>: This error occurs when claims about higher-level units of analysis are made based on data from lower-level units of analysis. For instance, making claims about groups based on individual-level data.</w:t>
      </w:r>
    </w:p>
    <w:p w14:paraId="33D72D56" w14:textId="77777777" w:rsidR="00A45903" w:rsidRDefault="00A45903" w:rsidP="00F82C45">
      <w:r>
        <w:t>To avoid these common research mistakes, researchers should:</w:t>
      </w:r>
    </w:p>
    <w:p w14:paraId="64E5C05D" w14:textId="77777777" w:rsidR="00A45903" w:rsidRDefault="00A45903" w:rsidP="00CD573A">
      <w:pPr>
        <w:pStyle w:val="ListParagraph"/>
        <w:numPr>
          <w:ilvl w:val="0"/>
          <w:numId w:val="423"/>
        </w:numPr>
      </w:pPr>
      <w:r>
        <w:t>Carefully select research questions that address real, substantive problems and contribute to the existing body of knowledge.</w:t>
      </w:r>
    </w:p>
    <w:p w14:paraId="5D11A6C5" w14:textId="77777777" w:rsidR="00A45903" w:rsidRDefault="00A45903" w:rsidP="00CD573A">
      <w:pPr>
        <w:pStyle w:val="ListParagraph"/>
        <w:numPr>
          <w:ilvl w:val="0"/>
          <w:numId w:val="423"/>
        </w:numPr>
      </w:pPr>
      <w:r>
        <w:t>Focus on timeless topics rather than fleeting fads.</w:t>
      </w:r>
    </w:p>
    <w:p w14:paraId="0937BE7E" w14:textId="77777777" w:rsidR="00A45903" w:rsidRDefault="00A45903" w:rsidP="00CD573A">
      <w:pPr>
        <w:pStyle w:val="ListParagraph"/>
        <w:numPr>
          <w:ilvl w:val="0"/>
          <w:numId w:val="423"/>
        </w:numPr>
      </w:pPr>
      <w:r>
        <w:t>Ensure that their research problems can be adequately investigated using empirical evidence and accepted methods.</w:t>
      </w:r>
    </w:p>
    <w:p w14:paraId="3A93A2F8" w14:textId="77777777" w:rsidR="00A45903" w:rsidRDefault="00A45903" w:rsidP="00CD573A">
      <w:pPr>
        <w:pStyle w:val="ListParagraph"/>
        <w:numPr>
          <w:ilvl w:val="0"/>
          <w:numId w:val="423"/>
        </w:numPr>
      </w:pPr>
      <w:r>
        <w:t>Choose research methods that fit the research problem, not the other way around.</w:t>
      </w:r>
    </w:p>
    <w:p w14:paraId="4CDFCA9A" w14:textId="77777777" w:rsidR="00A45903" w:rsidRDefault="00A45903" w:rsidP="00CD573A">
      <w:pPr>
        <w:pStyle w:val="ListParagraph"/>
        <w:numPr>
          <w:ilvl w:val="0"/>
          <w:numId w:val="423"/>
        </w:numPr>
      </w:pPr>
      <w:r>
        <w:t>Engage in thorough planning and design before collecting data.</w:t>
      </w:r>
    </w:p>
    <w:p w14:paraId="406C4CDD" w14:textId="77777777" w:rsidR="00A45903" w:rsidRDefault="00A45903" w:rsidP="00CD573A">
      <w:pPr>
        <w:pStyle w:val="ListParagraph"/>
        <w:numPr>
          <w:ilvl w:val="0"/>
          <w:numId w:val="423"/>
        </w:numPr>
      </w:pPr>
      <w:r>
        <w:t>Be cautious when making claims about units of analysis different from those for which data were collected.</w:t>
      </w:r>
    </w:p>
    <w:p w14:paraId="5327D1A1" w14:textId="15CD88BD" w:rsidR="00A626FE" w:rsidRPr="000E309B" w:rsidRDefault="00A45903" w:rsidP="00F82C45">
      <w:r>
        <w:t>By being aware of these potential pitfalls and taking steps to avoid them, researchers can increase the likelihood of conducting high-quality, impactful research that advances their field and is more likely to be accepted for publication.</w:t>
      </w:r>
    </w:p>
    <w:p w14:paraId="5327D1A2" w14:textId="727FA16E" w:rsidR="00A626FE" w:rsidRPr="000E309B" w:rsidRDefault="0097778D" w:rsidP="0097778D">
      <w:pPr>
        <w:pStyle w:val="Heading3"/>
      </w:pPr>
      <w:bookmarkStart w:id="56" w:name="_Toc169156710"/>
      <w:r>
        <w:lastRenderedPageBreak/>
        <w:t>R</w:t>
      </w:r>
      <w:r w:rsidR="00D14B33" w:rsidRPr="000E309B">
        <w:t xml:space="preserve">esearch </w:t>
      </w:r>
      <w:r>
        <w:t>D</w:t>
      </w:r>
      <w:r w:rsidR="00D14B33" w:rsidRPr="000E309B">
        <w:t>esigns</w:t>
      </w:r>
      <w:bookmarkEnd w:id="56"/>
    </w:p>
    <w:p w14:paraId="7670C469" w14:textId="77777777" w:rsidR="0002335D" w:rsidRDefault="0002335D" w:rsidP="0002335D">
      <w:r>
        <w:t>As discussed on page 25, research designs can be broadly classified into two categories: positivism and interpretivism. The choice between these two approaches depends on factors such as the researcher's background, temperament, and research goal. Positivist designs are primarily used for theory testing, while interpretive designs are employed for theory building.</w:t>
      </w:r>
    </w:p>
    <w:p w14:paraId="342912A6" w14:textId="77777777" w:rsidR="0002335D" w:rsidRDefault="0002335D" w:rsidP="0002335D">
      <w:r>
        <w:t>Positivist Designs:</w:t>
      </w:r>
    </w:p>
    <w:p w14:paraId="43F507BF" w14:textId="77777777" w:rsidR="0002335D" w:rsidRDefault="0002335D" w:rsidP="005C7800">
      <w:pPr>
        <w:pStyle w:val="ListParagraph"/>
        <w:numPr>
          <w:ilvl w:val="0"/>
          <w:numId w:val="194"/>
        </w:numPr>
      </w:pPr>
      <w:r w:rsidRPr="001B0F9C">
        <w:rPr>
          <w:b/>
          <w:bCs/>
        </w:rPr>
        <w:t>Experimental</w:t>
      </w:r>
      <w:r>
        <w:t>: This design involves manipulating one or more independent variables to measure their effect on dependent variables while controlling for extraneous variables. Experiments are conducted in controlled settings and are ideal for establishing cause-and-effect relationships.</w:t>
      </w:r>
    </w:p>
    <w:p w14:paraId="1A70A4D7" w14:textId="77777777" w:rsidR="0002335D" w:rsidRDefault="0002335D" w:rsidP="005C7800">
      <w:pPr>
        <w:pStyle w:val="ListParagraph"/>
        <w:numPr>
          <w:ilvl w:val="0"/>
          <w:numId w:val="194"/>
        </w:numPr>
      </w:pPr>
      <w:r w:rsidRPr="001B0F9C">
        <w:rPr>
          <w:b/>
          <w:bCs/>
        </w:rPr>
        <w:t>Surveys</w:t>
      </w:r>
      <w:r>
        <w:t>: Surveys involve collecting data from a large sample of respondents using structured questionnaires or interviews. They are useful for gathering information about attitudes, beliefs, behaviors, and characteristics of a population.</w:t>
      </w:r>
    </w:p>
    <w:p w14:paraId="70DD7AA1" w14:textId="77777777" w:rsidR="0002335D" w:rsidRDefault="0002335D" w:rsidP="005C7800">
      <w:pPr>
        <w:pStyle w:val="ListParagraph"/>
        <w:numPr>
          <w:ilvl w:val="0"/>
          <w:numId w:val="194"/>
        </w:numPr>
      </w:pPr>
      <w:r w:rsidRPr="001B0F9C">
        <w:rPr>
          <w:b/>
          <w:bCs/>
        </w:rPr>
        <w:t>Secondary Data Analysis</w:t>
      </w:r>
      <w:r>
        <w:t>: This design involves analyzing data that has been collected by others, such as government agencies, research institutions, or other researchers. Secondary data analysis can be cost-effective and time-efficient, as the data is already available.</w:t>
      </w:r>
    </w:p>
    <w:p w14:paraId="1F49D9D9" w14:textId="77777777" w:rsidR="0002335D" w:rsidRDefault="0002335D" w:rsidP="005C7800">
      <w:pPr>
        <w:pStyle w:val="ListParagraph"/>
        <w:numPr>
          <w:ilvl w:val="0"/>
          <w:numId w:val="194"/>
        </w:numPr>
      </w:pPr>
      <w:r w:rsidRPr="001B0F9C">
        <w:rPr>
          <w:b/>
          <w:bCs/>
        </w:rPr>
        <w:t>Case Research (for theory testing)</w:t>
      </w:r>
      <w:r>
        <w:t>: Case research involves in-depth examination of one or more specific instances of a phenomenon. When used for theory testing, case research aims to confirm or disconfirm the propositions of an existing theory.</w:t>
      </w:r>
    </w:p>
    <w:p w14:paraId="2DAA6583" w14:textId="77777777" w:rsidR="0002335D" w:rsidRDefault="0002335D" w:rsidP="0002335D">
      <w:r>
        <w:t>Interpretive Designs:</w:t>
      </w:r>
    </w:p>
    <w:p w14:paraId="473EEF65" w14:textId="77777777" w:rsidR="0002335D" w:rsidRDefault="0002335D" w:rsidP="005C7800">
      <w:pPr>
        <w:pStyle w:val="ListParagraph"/>
        <w:numPr>
          <w:ilvl w:val="0"/>
          <w:numId w:val="195"/>
        </w:numPr>
      </w:pPr>
      <w:r w:rsidRPr="001B0F9C">
        <w:rPr>
          <w:b/>
          <w:bCs/>
        </w:rPr>
        <w:t>Case Research (for theory building)</w:t>
      </w:r>
      <w:r>
        <w:t>: When used for theory building, case research aims to generate new theoretical insights based on a deep understanding of the studied phenomenon.</w:t>
      </w:r>
    </w:p>
    <w:p w14:paraId="55A14E48" w14:textId="77777777" w:rsidR="0002335D" w:rsidRDefault="0002335D" w:rsidP="005C7800">
      <w:pPr>
        <w:pStyle w:val="ListParagraph"/>
        <w:numPr>
          <w:ilvl w:val="0"/>
          <w:numId w:val="195"/>
        </w:numPr>
      </w:pPr>
      <w:r w:rsidRPr="001B0F9C">
        <w:rPr>
          <w:b/>
          <w:bCs/>
        </w:rPr>
        <w:t>Phenomenology</w:t>
      </w:r>
      <w:r>
        <w:t>: This design focuses on understanding the lived experiences of individuals regarding a particular phenomenon. It involves in-depth interviews and analysis of participants' subjective experiences and perceptions.</w:t>
      </w:r>
    </w:p>
    <w:p w14:paraId="7A7F2E90" w14:textId="77777777" w:rsidR="0002335D" w:rsidRDefault="0002335D" w:rsidP="005C7800">
      <w:pPr>
        <w:pStyle w:val="ListParagraph"/>
        <w:numPr>
          <w:ilvl w:val="0"/>
          <w:numId w:val="195"/>
        </w:numPr>
      </w:pPr>
      <w:r w:rsidRPr="001B0F9C">
        <w:rPr>
          <w:b/>
          <w:bCs/>
        </w:rPr>
        <w:t>Ethnography</w:t>
      </w:r>
      <w:r>
        <w:t>: Ethnographic research involves immersing oneself in a specific culture or social setting to gain a deep understanding of the behaviors, beliefs, and interactions of the people within that context. This design often requires extensive fieldwork and participant observation.</w:t>
      </w:r>
    </w:p>
    <w:p w14:paraId="7BFE0CC5" w14:textId="77777777" w:rsidR="0002335D" w:rsidRDefault="0002335D" w:rsidP="0002335D">
      <w:r>
        <w:t>It is important to note that some research techniques are better suited for certain types of research:</w:t>
      </w:r>
    </w:p>
    <w:p w14:paraId="22F3BF40" w14:textId="77777777" w:rsidR="0002335D" w:rsidRDefault="0002335D" w:rsidP="005C7800">
      <w:pPr>
        <w:pStyle w:val="ListParagraph"/>
        <w:numPr>
          <w:ilvl w:val="0"/>
          <w:numId w:val="196"/>
        </w:numPr>
      </w:pPr>
      <w:r w:rsidRPr="001B0F9C">
        <w:rPr>
          <w:b/>
          <w:bCs/>
        </w:rPr>
        <w:t>Focus Groups</w:t>
      </w:r>
      <w:r>
        <w:t>: These are best suited for exploratory research, as they allow researchers to gather initial insights, generate ideas, and identify key issues related to a topic.</w:t>
      </w:r>
    </w:p>
    <w:p w14:paraId="2C6CF306" w14:textId="77777777" w:rsidR="0002335D" w:rsidRDefault="0002335D" w:rsidP="005C7800">
      <w:pPr>
        <w:pStyle w:val="ListParagraph"/>
        <w:numPr>
          <w:ilvl w:val="0"/>
          <w:numId w:val="196"/>
        </w:numPr>
      </w:pPr>
      <w:r w:rsidRPr="001B0F9C">
        <w:rPr>
          <w:b/>
          <w:bCs/>
        </w:rPr>
        <w:lastRenderedPageBreak/>
        <w:t>Ethnography</w:t>
      </w:r>
      <w:r>
        <w:t>: This design is ideal for descriptive research, as it provides a rich, detailed account of a specific culture or social setting.</w:t>
      </w:r>
    </w:p>
    <w:p w14:paraId="127096B0" w14:textId="77777777" w:rsidR="0002335D" w:rsidRDefault="0002335D" w:rsidP="005C7800">
      <w:pPr>
        <w:pStyle w:val="ListParagraph"/>
        <w:numPr>
          <w:ilvl w:val="0"/>
          <w:numId w:val="196"/>
        </w:numPr>
      </w:pPr>
      <w:r w:rsidRPr="001B0F9C">
        <w:rPr>
          <w:b/>
          <w:bCs/>
        </w:rPr>
        <w:t>Laboratory Experiments</w:t>
      </w:r>
      <w:r>
        <w:t>: These are best suited for explanatory research, as they enable researchers to establish cause-and-effect relationships by manipulating variables in a controlled setting.</w:t>
      </w:r>
    </w:p>
    <w:p w14:paraId="5327D1A3" w14:textId="4A274B74" w:rsidR="00A626FE" w:rsidRDefault="0002335D" w:rsidP="0002335D">
      <w:r>
        <w:t>In summary, the choice of research design depends on the researcher's goals, the nature of the research question, and the available resources. Positivist designs are best for theory testing, while interpretive designs are better for theory building. Researchers should carefully consider the strengths and limitations of each design and choose the one that best fits their research objectives.</w:t>
      </w:r>
    </w:p>
    <w:p w14:paraId="2EE3C610" w14:textId="77777777" w:rsidR="006C789F" w:rsidRDefault="004F6E8B" w:rsidP="006C789F">
      <w:pPr>
        <w:keepNext/>
        <w:spacing w:line="360" w:lineRule="auto"/>
      </w:pPr>
      <w:r>
        <w:rPr>
          <w:noProof/>
        </w:rPr>
        <w:drawing>
          <wp:inline distT="0" distB="0" distL="0" distR="0" wp14:anchorId="36A228EA" wp14:editId="378F3C3B">
            <wp:extent cx="5486400" cy="3200400"/>
            <wp:effectExtent l="0" t="0" r="0" b="1905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14:paraId="35F01912" w14:textId="0D135582" w:rsidR="00305B01" w:rsidRPr="000E309B" w:rsidRDefault="006C789F" w:rsidP="006C789F">
      <w:pPr>
        <w:pStyle w:val="Caption"/>
        <w:jc w:val="center"/>
      </w:pPr>
      <w:r>
        <w:t xml:space="preserve">Figure </w:t>
      </w:r>
      <w:r w:rsidR="006D77BF">
        <w:fldChar w:fldCharType="begin"/>
      </w:r>
      <w:r w:rsidR="006D77BF">
        <w:instrText xml:space="preserve"> SEQ Figure \* ARABIC </w:instrText>
      </w:r>
      <w:r w:rsidR="006D77BF">
        <w:fldChar w:fldCharType="separate"/>
      </w:r>
      <w:r w:rsidR="00980002">
        <w:rPr>
          <w:noProof/>
        </w:rPr>
        <w:t>8</w:t>
      </w:r>
      <w:r w:rsidR="006D77BF">
        <w:rPr>
          <w:noProof/>
        </w:rPr>
        <w:fldChar w:fldCharType="end"/>
      </w:r>
      <w:r>
        <w:t>: Research Designs</w:t>
      </w:r>
    </w:p>
    <w:p w14:paraId="5327D1A4" w14:textId="755B204B" w:rsidR="00A626FE" w:rsidRPr="000E309B" w:rsidRDefault="00A138F2" w:rsidP="00990086">
      <w:pPr>
        <w:pStyle w:val="Heading4"/>
      </w:pPr>
      <w:r>
        <w:rPr>
          <w:noProof/>
        </w:rPr>
        <w:drawing>
          <wp:anchor distT="0" distB="0" distL="114300" distR="114300" simplePos="0" relativeHeight="251658286" behindDoc="0" locked="0" layoutInCell="1" allowOverlap="1" wp14:anchorId="4603F8FE" wp14:editId="0A94EB9F">
            <wp:simplePos x="0" y="0"/>
            <wp:positionH relativeFrom="column">
              <wp:posOffset>4943475</wp:posOffset>
            </wp:positionH>
            <wp:positionV relativeFrom="paragraph">
              <wp:posOffset>220980</wp:posOffset>
            </wp:positionV>
            <wp:extent cx="996315" cy="850265"/>
            <wp:effectExtent l="0" t="0" r="0" b="698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96315" cy="850265"/>
                    </a:xfrm>
                    <a:prstGeom prst="rect">
                      <a:avLst/>
                    </a:prstGeom>
                    <a:noFill/>
                  </pic:spPr>
                </pic:pic>
              </a:graphicData>
            </a:graphic>
            <wp14:sizeRelH relativeFrom="margin">
              <wp14:pctWidth>0</wp14:pctWidth>
            </wp14:sizeRelH>
            <wp14:sizeRelV relativeFrom="margin">
              <wp14:pctHeight>0</wp14:pctHeight>
            </wp14:sizeRelV>
          </wp:anchor>
        </w:drawing>
      </w:r>
      <w:r w:rsidR="00D14B33" w:rsidRPr="000E309B">
        <w:t>Experimental</w:t>
      </w:r>
    </w:p>
    <w:p w14:paraId="29321867" w14:textId="77777777" w:rsidR="00CD36D3" w:rsidRDefault="00CD36D3" w:rsidP="00CD36D3">
      <w:r>
        <w:t>Experimental studies are designed to test cause-effect relationships (hypotheses) in a highly controlled environment. The key aspect of an experimental design is the separation of the cause from the effect. This is achieved by administering the cause (treatment) to one group of subjects (the "treatment group") while withholding it from another group (the "control group"). The mean effects are then compared between the two groups to determine the efficacy of the treatment.</w:t>
      </w:r>
    </w:p>
    <w:p w14:paraId="62B338FC" w14:textId="77777777" w:rsidR="00CD36D3" w:rsidRDefault="00CD36D3" w:rsidP="00CD36D3">
      <w:r>
        <w:t xml:space="preserve">For example, in a laboratory experiment testing the effectiveness of a new drug for a specific ailment, a sample of affected individuals is randomly assigned to either the treatment or control group. The treatment group receives the drug, while the control group receives a placebo. The two </w:t>
      </w:r>
      <w:r>
        <w:lastRenderedPageBreak/>
        <w:t>groups are then monitored to compare their responses. More complex designs may involve multiple treatment groups (e.g., low vs. high drug dosage) and multiple treatments (e.g., combining drug administration with dietary interventions).</w:t>
      </w:r>
    </w:p>
    <w:p w14:paraId="184E8EF6" w14:textId="77777777" w:rsidR="00CD36D3" w:rsidRDefault="00CD36D3" w:rsidP="00F84474">
      <w:r>
        <w:t>In an experimental design, subjects are randomly assigned to groups. Ideally, the researcher knows which individuals are in the treatment or control groups. However, in a "double-blind" study, neither the subjects nor the person administering the treatment knows who is in the treatment group. This approach helps to minimize potential bias.</w:t>
      </w:r>
    </w:p>
    <w:p w14:paraId="5D76C51F" w14:textId="77777777" w:rsidR="00CD36D3" w:rsidRDefault="00CD36D3" w:rsidP="00F84474">
      <w:r>
        <w:t>If random assignment is not possible, the research design becomes "quasi-experimental," which may limit the strength of the causal inferences that can be made.</w:t>
      </w:r>
    </w:p>
    <w:p w14:paraId="1A80D2DF" w14:textId="77777777" w:rsidR="00CD36D3" w:rsidRDefault="00CD36D3" w:rsidP="00F84474">
      <w:r>
        <w:t>Experiments can be conducted in a laboratory setting or in the field where the phenomenon of interest naturally occurs. Laboratory experiments allow for greater control over extraneous variables, leading to stronger internal validity. In contrast, field experiments tend to have stronger external validity, as they more closely resemble real-life situations.</w:t>
      </w:r>
    </w:p>
    <w:p w14:paraId="6EE76E06" w14:textId="77777777" w:rsidR="00CD36D3" w:rsidRDefault="00CD36D3" w:rsidP="00F84474">
      <w:r>
        <w:t>Experimental data are typically analyzed using quantitative statistical techniques. The primary strength of the experimental design lies in its strong internal validity, which is achieved by isolating, controlling, and intensively examining a small number of variables. However, the primary weakness is its limited external generalizability, as real-life situations often involve more complex interactions and extraneous variables than controlled laboratory settings.</w:t>
      </w:r>
    </w:p>
    <w:p w14:paraId="7E9C8B59" w14:textId="77777777" w:rsidR="00CD36D3" w:rsidRDefault="00CD36D3" w:rsidP="00F84474">
      <w:r>
        <w:t>It is crucial for researchers to identify and control relevant extraneous variables in their experiments. Failure to do so may decrease internal validity and lead to spurious correlations, which are false associations between variables that are not causally related.</w:t>
      </w:r>
    </w:p>
    <w:p w14:paraId="5327D1AB" w14:textId="0D85D484" w:rsidR="00A626FE" w:rsidRPr="000E309B" w:rsidRDefault="00CD36D3" w:rsidP="00F84474">
      <w:r>
        <w:t>In summary, experimental studies are a powerful tool for testing cause-effect relationships in a controlled setting. By randomly assigning subjects to treatment and control groups, and carefully controlling extraneous variables, researchers can make strong inferences about the causal relationships between variables. However, the trade-off between internal and external validity must be considered when interpreting and generalizing the results of experimental studies.</w:t>
      </w:r>
    </w:p>
    <w:p w14:paraId="5327D1AC" w14:textId="249E7E9B" w:rsidR="00A626FE" w:rsidRPr="000E309B" w:rsidRDefault="005C100F" w:rsidP="00990086">
      <w:pPr>
        <w:pStyle w:val="Heading4"/>
      </w:pPr>
      <w:r>
        <w:rPr>
          <w:noProof/>
        </w:rPr>
        <w:drawing>
          <wp:anchor distT="0" distB="0" distL="114300" distR="114300" simplePos="0" relativeHeight="251658287" behindDoc="0" locked="0" layoutInCell="1" allowOverlap="1" wp14:anchorId="053A7F9D" wp14:editId="0278437A">
            <wp:simplePos x="0" y="0"/>
            <wp:positionH relativeFrom="column">
              <wp:posOffset>4943475</wp:posOffset>
            </wp:positionH>
            <wp:positionV relativeFrom="paragraph">
              <wp:posOffset>221615</wp:posOffset>
            </wp:positionV>
            <wp:extent cx="996315" cy="850265"/>
            <wp:effectExtent l="0" t="0" r="0" b="698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96315" cy="850265"/>
                    </a:xfrm>
                    <a:prstGeom prst="rect">
                      <a:avLst/>
                    </a:prstGeom>
                    <a:noFill/>
                  </pic:spPr>
                </pic:pic>
              </a:graphicData>
            </a:graphic>
            <wp14:sizeRelH relativeFrom="margin">
              <wp14:pctWidth>0</wp14:pctWidth>
            </wp14:sizeRelH>
            <wp14:sizeRelV relativeFrom="margin">
              <wp14:pctHeight>0</wp14:pctHeight>
            </wp14:sizeRelV>
          </wp:anchor>
        </w:drawing>
      </w:r>
      <w:r w:rsidR="00D14B33" w:rsidRPr="000E309B">
        <w:t>Surveys</w:t>
      </w:r>
    </w:p>
    <w:p w14:paraId="11F60379" w14:textId="77777777" w:rsidR="00993891" w:rsidRDefault="00993891" w:rsidP="004C714A">
      <w:r>
        <w:t>Field surveys are non-experimental research designs that do not involve the control or manipulation of independent variables or treatments. Instead, these designs focus on measuring variables and testing their effects using statistical methods. Field surveys capture snapshots of practices, beliefs, or situations from a random sample of subjects in real-world settings, typically through a survey questionnaire or, less frequently, through a structured interview.</w:t>
      </w:r>
    </w:p>
    <w:p w14:paraId="023F79A0" w14:textId="77777777" w:rsidR="00993891" w:rsidRDefault="00993891" w:rsidP="004C714A">
      <w:r>
        <w:t>There are two main types of field surveys:</w:t>
      </w:r>
    </w:p>
    <w:p w14:paraId="52A2C4D9" w14:textId="77777777" w:rsidR="00993891" w:rsidRDefault="00993891" w:rsidP="004C714A">
      <w:pPr>
        <w:pStyle w:val="ListParagraph"/>
        <w:numPr>
          <w:ilvl w:val="0"/>
          <w:numId w:val="197"/>
        </w:numPr>
      </w:pPr>
      <w:r>
        <w:lastRenderedPageBreak/>
        <w:t>Cross-sectional field surveys: In this design, both independent and dependent variables are measured at the same point in time, often using a single questionnaire. This approach provides a snapshot of the relationships between variables at a specific moment.</w:t>
      </w:r>
    </w:p>
    <w:p w14:paraId="011B0AE2" w14:textId="77777777" w:rsidR="00993891" w:rsidRDefault="00993891" w:rsidP="004C714A">
      <w:pPr>
        <w:pStyle w:val="ListParagraph"/>
        <w:numPr>
          <w:ilvl w:val="0"/>
          <w:numId w:val="197"/>
        </w:numPr>
      </w:pPr>
      <w:r>
        <w:t>Longitudinal field surveys: In this design, dependent variables are measured at a later point in time than the independent variables. This approach allows researchers to examine how the relationships between variables change over time.</w:t>
      </w:r>
    </w:p>
    <w:p w14:paraId="2D30DD76" w14:textId="77777777" w:rsidR="00993891" w:rsidRDefault="00993891" w:rsidP="004C714A">
      <w:r>
        <w:t>Strengths of field surveys:</w:t>
      </w:r>
    </w:p>
    <w:p w14:paraId="6B90278A" w14:textId="77777777" w:rsidR="00993891" w:rsidRDefault="00993891" w:rsidP="00F86C23">
      <w:pPr>
        <w:pStyle w:val="ListParagraph"/>
        <w:numPr>
          <w:ilvl w:val="0"/>
          <w:numId w:val="198"/>
        </w:numPr>
      </w:pPr>
      <w:r>
        <w:t>External validity: Since data are collected in real-world settings, field surveys tend to have high external validity, meaning that the results are more likely to be generalizable to the larger population.</w:t>
      </w:r>
    </w:p>
    <w:p w14:paraId="6D018DFE" w14:textId="1457B5A9" w:rsidR="00993891" w:rsidRDefault="00993891" w:rsidP="00F86C23">
      <w:pPr>
        <w:pStyle w:val="ListParagraph"/>
        <w:numPr>
          <w:ilvl w:val="0"/>
          <w:numId w:val="198"/>
        </w:numPr>
      </w:pPr>
      <w:r>
        <w:t xml:space="preserve">Ability to capture and </w:t>
      </w:r>
      <w:r w:rsidR="00977974">
        <w:t>control</w:t>
      </w:r>
      <w:r>
        <w:t xml:space="preserve"> many variables: Field surveys allow researchers to measure and statistically control for a wide range of variables that may influence the relationships being studied.</w:t>
      </w:r>
    </w:p>
    <w:p w14:paraId="7F2041DB" w14:textId="77777777" w:rsidR="00993891" w:rsidRDefault="00993891" w:rsidP="00F86C23">
      <w:pPr>
        <w:pStyle w:val="ListParagraph"/>
        <w:numPr>
          <w:ilvl w:val="0"/>
          <w:numId w:val="198"/>
        </w:numPr>
      </w:pPr>
      <w:r>
        <w:t>Multiple perspectives and theories: Field surveys enable researchers to study a problem from multiple angles or using multiple theoretical frameworks, providing a more comprehensive understanding of the phenomenon.</w:t>
      </w:r>
    </w:p>
    <w:p w14:paraId="64E61A73" w14:textId="77777777" w:rsidR="00993891" w:rsidRDefault="00993891" w:rsidP="004C714A">
      <w:r>
        <w:t>Weaknesses of field surveys:</w:t>
      </w:r>
    </w:p>
    <w:p w14:paraId="6FCF7EBE" w14:textId="77777777" w:rsidR="00993891" w:rsidRDefault="00993891" w:rsidP="00F86C23">
      <w:pPr>
        <w:pStyle w:val="ListParagraph"/>
        <w:numPr>
          <w:ilvl w:val="0"/>
          <w:numId w:val="199"/>
        </w:numPr>
      </w:pPr>
      <w:r>
        <w:t>Limited internal validity: Because field surveys are non-experimental and do not involve the manipulation of variables, it can be challenging to establish cause-effect relationships (internal validity). The observed relationships between variables may be due to other factors not measured in the study.</w:t>
      </w:r>
    </w:p>
    <w:p w14:paraId="1D0F459E" w14:textId="77777777" w:rsidR="00993891" w:rsidRDefault="00993891" w:rsidP="00F86C23">
      <w:pPr>
        <w:pStyle w:val="ListParagraph"/>
        <w:numPr>
          <w:ilvl w:val="0"/>
          <w:numId w:val="199"/>
        </w:numPr>
      </w:pPr>
      <w:r>
        <w:t>Respondent biases: Survey participants may provide "socially desirable" responses rather than their true opinions or experiences, which can decrease the internal validity of the study. Respondents may also have difficulty recalling past events or may interpret questions differently, leading to inaccurate or inconsistent responses.</w:t>
      </w:r>
    </w:p>
    <w:p w14:paraId="6EE417EF" w14:textId="77777777" w:rsidR="00993891" w:rsidRDefault="00993891" w:rsidP="004C714A">
      <w:r>
        <w:t>To mitigate these weaknesses, researchers can employ various techniques, such as using multiple measures of key variables, carefully designing survey questions to minimize bias, and using statistical methods to control for potential confounding variables.</w:t>
      </w:r>
    </w:p>
    <w:p w14:paraId="5327D1AD" w14:textId="5740388D" w:rsidR="00A626FE" w:rsidRPr="000E309B" w:rsidRDefault="00993891" w:rsidP="004C714A">
      <w:r>
        <w:t>In summary, field surveys are a valuable non-experimental research design that allows researchers to capture a wide range of variables and study phenomena in real-world settings. While they offer high external validity and the ability to examine problems from multiple perspectives, field surveys may face challenges in establishing cause-effect relationships and dealing with respondent biases. Researchers must carefully consider these strengths and limitations when designing and interpreting field survey studies.</w:t>
      </w:r>
    </w:p>
    <w:p w14:paraId="5327D1AE" w14:textId="3F8C09B9" w:rsidR="00A626FE" w:rsidRPr="000E309B" w:rsidRDefault="00F86C23" w:rsidP="00990086">
      <w:pPr>
        <w:pStyle w:val="Heading4"/>
      </w:pPr>
      <w:r>
        <w:rPr>
          <w:noProof/>
        </w:rPr>
        <w:lastRenderedPageBreak/>
        <w:drawing>
          <wp:anchor distT="0" distB="0" distL="114300" distR="114300" simplePos="0" relativeHeight="251658288" behindDoc="0" locked="0" layoutInCell="1" allowOverlap="1" wp14:anchorId="29A3F2E9" wp14:editId="386C4DC5">
            <wp:simplePos x="0" y="0"/>
            <wp:positionH relativeFrom="column">
              <wp:posOffset>4943475</wp:posOffset>
            </wp:positionH>
            <wp:positionV relativeFrom="paragraph">
              <wp:posOffset>219075</wp:posOffset>
            </wp:positionV>
            <wp:extent cx="996315" cy="850265"/>
            <wp:effectExtent l="0" t="0" r="0" b="698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96315" cy="850265"/>
                    </a:xfrm>
                    <a:prstGeom prst="rect">
                      <a:avLst/>
                    </a:prstGeom>
                    <a:noFill/>
                  </pic:spPr>
                </pic:pic>
              </a:graphicData>
            </a:graphic>
            <wp14:sizeRelH relativeFrom="margin">
              <wp14:pctWidth>0</wp14:pctWidth>
            </wp14:sizeRelH>
            <wp14:sizeRelV relativeFrom="margin">
              <wp14:pctHeight>0</wp14:pctHeight>
            </wp14:sizeRelV>
          </wp:anchor>
        </w:drawing>
      </w:r>
      <w:r w:rsidR="00D14B33" w:rsidRPr="000E309B">
        <w:t>Secondary Data Analysis</w:t>
      </w:r>
    </w:p>
    <w:p w14:paraId="002ACB16" w14:textId="77777777" w:rsidR="002D1F71" w:rsidRDefault="002D1F71" w:rsidP="002D1F71">
      <w:r>
        <w:t>Secondary data analysis is a research design that involves analyzing data that has been previously collected and tabulated by other sources, rather than the researcher collecting primary data themselves. This approach can be useful when primary data collection is too costly, time-consuming, or unfeasible, and when suitable secondary data is available to answer the research question.</w:t>
      </w:r>
    </w:p>
    <w:p w14:paraId="7B1357DD" w14:textId="77777777" w:rsidR="002D1F71" w:rsidRDefault="002D1F71" w:rsidP="002D1F71">
      <w:r>
        <w:t>Data sources for secondary data analysis may include:</w:t>
      </w:r>
    </w:p>
    <w:p w14:paraId="246267DD" w14:textId="77777777" w:rsidR="002D1F71" w:rsidRDefault="002D1F71" w:rsidP="00985B65">
      <w:pPr>
        <w:pStyle w:val="ListParagraph"/>
        <w:numPr>
          <w:ilvl w:val="0"/>
          <w:numId w:val="200"/>
        </w:numPr>
      </w:pPr>
      <w:r>
        <w:t>Government agencies: Examples include employment statistics from the U.S. Bureau of Labor Statistics or demographic data from the Census Bureau.</w:t>
      </w:r>
    </w:p>
    <w:p w14:paraId="5C8C83AF" w14:textId="77777777" w:rsidR="002D1F71" w:rsidRDefault="002D1F71" w:rsidP="00985B65">
      <w:pPr>
        <w:pStyle w:val="ListParagraph"/>
        <w:numPr>
          <w:ilvl w:val="0"/>
          <w:numId w:val="200"/>
        </w:numPr>
      </w:pPr>
      <w:r>
        <w:t>Other researchers: This may include data from published research articles, dissertations, or research reports.</w:t>
      </w:r>
    </w:p>
    <w:p w14:paraId="6D9CC2F7" w14:textId="77777777" w:rsidR="002D1F71" w:rsidRDefault="002D1F71" w:rsidP="00985B65">
      <w:pPr>
        <w:pStyle w:val="ListParagraph"/>
        <w:numPr>
          <w:ilvl w:val="0"/>
          <w:numId w:val="200"/>
        </w:numPr>
      </w:pPr>
      <w:r>
        <w:t>Publicly available third-party data: Examples include financial data from stock markets or social media data from platforms like Twitter or Facebook.</w:t>
      </w:r>
    </w:p>
    <w:p w14:paraId="6EF1700A" w14:textId="77777777" w:rsidR="002D1F71" w:rsidRDefault="002D1F71" w:rsidP="002D1F71">
      <w:r>
        <w:t>Advantages of secondary data analysis:</w:t>
      </w:r>
    </w:p>
    <w:p w14:paraId="7E7579FA" w14:textId="77777777" w:rsidR="002D1F71" w:rsidRDefault="002D1F71" w:rsidP="00985B65">
      <w:pPr>
        <w:pStyle w:val="ListParagraph"/>
        <w:numPr>
          <w:ilvl w:val="0"/>
          <w:numId w:val="201"/>
        </w:numPr>
      </w:pPr>
      <w:r>
        <w:t>Cost-effective: Since the data has already been collected, researchers can save time and money that would otherwise be spent on primary data collection.</w:t>
      </w:r>
    </w:p>
    <w:p w14:paraId="42E9332B" w14:textId="77777777" w:rsidR="002D1F71" w:rsidRDefault="002D1F71" w:rsidP="00985B65">
      <w:pPr>
        <w:pStyle w:val="ListParagraph"/>
        <w:numPr>
          <w:ilvl w:val="0"/>
          <w:numId w:val="201"/>
        </w:numPr>
      </w:pPr>
      <w:r>
        <w:t>Feasibility: Some research questions may be impossible or unethical to answer through primary data collection, making secondary data analysis the only viable option.</w:t>
      </w:r>
    </w:p>
    <w:p w14:paraId="10673A81" w14:textId="77777777" w:rsidR="002D1F71" w:rsidRDefault="002D1F71" w:rsidP="00985B65">
      <w:pPr>
        <w:pStyle w:val="ListParagraph"/>
        <w:numPr>
          <w:ilvl w:val="0"/>
          <w:numId w:val="201"/>
        </w:numPr>
      </w:pPr>
      <w:r>
        <w:t>Large sample sizes: Secondary data sources often have large sample sizes, which can increase the statistical power and generalizability of the findings.</w:t>
      </w:r>
    </w:p>
    <w:p w14:paraId="17A2610D" w14:textId="77777777" w:rsidR="002D1F71" w:rsidRDefault="002D1F71" w:rsidP="002D1F71">
      <w:r>
        <w:t>Limitations of secondary data analysis:</w:t>
      </w:r>
    </w:p>
    <w:p w14:paraId="6C95DCA5" w14:textId="77777777" w:rsidR="002D1F71" w:rsidRDefault="002D1F71" w:rsidP="00985B65">
      <w:pPr>
        <w:pStyle w:val="ListParagraph"/>
        <w:numPr>
          <w:ilvl w:val="0"/>
          <w:numId w:val="202"/>
        </w:numPr>
      </w:pPr>
      <w:r>
        <w:t>Data quality: The data may not have been collected systematically or scientifically, which can limit its suitability for research purposes. Researchers must carefully evaluate the quality and reliability of secondary data sources before using them.</w:t>
      </w:r>
    </w:p>
    <w:p w14:paraId="16179DA1" w14:textId="77777777" w:rsidR="002D1F71" w:rsidRDefault="002D1F71" w:rsidP="00985B65">
      <w:pPr>
        <w:pStyle w:val="ListParagraph"/>
        <w:numPr>
          <w:ilvl w:val="0"/>
          <w:numId w:val="202"/>
        </w:numPr>
      </w:pPr>
      <w:r>
        <w:t>Mismatch between data and research question: Since the data was collected for a different purpose, it may not adequately address the researcher's specific questions or hypotheses. Researchers may need to modify their research questions or find creative ways to use the available data.</w:t>
      </w:r>
    </w:p>
    <w:p w14:paraId="59B69D22" w14:textId="77777777" w:rsidR="002D1F71" w:rsidRDefault="002D1F71" w:rsidP="00985B65">
      <w:pPr>
        <w:pStyle w:val="ListParagraph"/>
        <w:numPr>
          <w:ilvl w:val="0"/>
          <w:numId w:val="202"/>
        </w:numPr>
      </w:pPr>
      <w:r>
        <w:t>Limited internal validity: If the temporal precedence between cause and effect is unclear in the secondary data, it can be challenging to establish internal validity and make causal inferences.</w:t>
      </w:r>
    </w:p>
    <w:p w14:paraId="025BDB1F" w14:textId="77777777" w:rsidR="002D1F71" w:rsidRDefault="002D1F71" w:rsidP="00985B65">
      <w:pPr>
        <w:pStyle w:val="ListParagraph"/>
        <w:numPr>
          <w:ilvl w:val="0"/>
          <w:numId w:val="202"/>
        </w:numPr>
      </w:pPr>
      <w:r>
        <w:t>Lack of control over variables: Researchers using secondary data have no control over the variables that were measured or how they were operationalized, which can limit the scope and depth of their analyses.</w:t>
      </w:r>
    </w:p>
    <w:p w14:paraId="110C8997" w14:textId="77777777" w:rsidR="002D1F71" w:rsidRDefault="002D1F71" w:rsidP="002D1F71">
      <w:r>
        <w:lastRenderedPageBreak/>
        <w:t>To address these limitations, researchers should carefully evaluate the quality and suitability of secondary data sources, be transparent about the data's limitations in their reporting, and use appropriate statistical techniques to analyze the data and draw conclusions.</w:t>
      </w:r>
    </w:p>
    <w:p w14:paraId="5327D1AF" w14:textId="12A8496E" w:rsidR="00A626FE" w:rsidRPr="000E309B" w:rsidRDefault="002D1F71" w:rsidP="002D1F71">
      <w:r>
        <w:t>In summary, secondary data analysis can be a valuable research design when primary data collection is not feasible or when suitable secondary data is available. While this approach offers advantages such as cost-effectiveness and large sample sizes, researchers must be aware of its limitations, including potential data quality issues, mismatches between data and research questions, and challenges in establishing internal validity. By carefully evaluating secondary data sources and using appropriate analytical techniques, researchers can leverage this design to answer important research questions and contribute to the existing body of knowledge.</w:t>
      </w:r>
    </w:p>
    <w:p w14:paraId="5327D1B0" w14:textId="673612B4" w:rsidR="00A626FE" w:rsidRPr="000E309B" w:rsidRDefault="001C4A74" w:rsidP="00990086">
      <w:pPr>
        <w:pStyle w:val="Heading4"/>
      </w:pPr>
      <w:r>
        <w:rPr>
          <w:noProof/>
        </w:rPr>
        <w:drawing>
          <wp:anchor distT="0" distB="0" distL="114300" distR="114300" simplePos="0" relativeHeight="251658289" behindDoc="0" locked="0" layoutInCell="1" allowOverlap="1" wp14:anchorId="6C70B99F" wp14:editId="6E4E6B06">
            <wp:simplePos x="0" y="0"/>
            <wp:positionH relativeFrom="column">
              <wp:posOffset>4943475</wp:posOffset>
            </wp:positionH>
            <wp:positionV relativeFrom="paragraph">
              <wp:posOffset>224790</wp:posOffset>
            </wp:positionV>
            <wp:extent cx="996315" cy="850265"/>
            <wp:effectExtent l="0" t="0" r="0" b="698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96315" cy="850265"/>
                    </a:xfrm>
                    <a:prstGeom prst="rect">
                      <a:avLst/>
                    </a:prstGeom>
                    <a:noFill/>
                  </pic:spPr>
                </pic:pic>
              </a:graphicData>
            </a:graphic>
            <wp14:sizeRelH relativeFrom="margin">
              <wp14:pctWidth>0</wp14:pctWidth>
            </wp14:sizeRelH>
            <wp14:sizeRelV relativeFrom="margin">
              <wp14:pctHeight>0</wp14:pctHeight>
            </wp14:sizeRelV>
          </wp:anchor>
        </w:drawing>
      </w:r>
      <w:r w:rsidR="00D14B33" w:rsidRPr="000E309B">
        <w:t>Case Research</w:t>
      </w:r>
    </w:p>
    <w:p w14:paraId="37496E35" w14:textId="4BF3A9D3" w:rsidR="00C004D0" w:rsidRDefault="00C004D0" w:rsidP="00C004D0">
      <w:r>
        <w:t>Case research is an in-depth investigation of a problem in one or more real-life settings (case sites) over an extended period</w:t>
      </w:r>
      <w:r w:rsidR="00F321E0">
        <w:rPr>
          <w:rStyle w:val="FootnoteReference"/>
        </w:rPr>
        <w:footnoteReference w:id="8"/>
      </w:r>
      <w:r>
        <w:t>. This research design involves collecting data using a combination of methods, such as interviews, personal observations, and internal or external documents. Case studies can be either positivist or interpretive in nature, depending on whether they are used for hypothesis testing or theory building.</w:t>
      </w:r>
    </w:p>
    <w:p w14:paraId="36EE5ACA" w14:textId="77777777" w:rsidR="00C004D0" w:rsidRDefault="00C004D0" w:rsidP="00C004D0">
      <w:r>
        <w:t>Positivist case studies are used to test hypotheses and are often used in conjunction with other research methods, such as surveys or experiments. In this approach, the researcher develops a set of hypotheses based on existing theory and then uses the case study to test these hypotheses in a real-world setting.</w:t>
      </w:r>
    </w:p>
    <w:p w14:paraId="2085C2A8" w14:textId="77777777" w:rsidR="00C004D0" w:rsidRDefault="00C004D0" w:rsidP="00C004D0">
      <w:r>
        <w:t>Interpretive case studies, on the other hand, are used to build new theories or to provide a deep understanding of a particular phenomenon. In this approach, the researcher enters the case site with an open mind and allows the theory to emerge from the data collected.</w:t>
      </w:r>
    </w:p>
    <w:p w14:paraId="20B7E400" w14:textId="77777777" w:rsidR="00C004D0" w:rsidRDefault="00C004D0" w:rsidP="00C004D0">
      <w:r>
        <w:t>Strengths of case research:</w:t>
      </w:r>
    </w:p>
    <w:p w14:paraId="64B8BA50" w14:textId="77777777" w:rsidR="00C004D0" w:rsidRDefault="00C004D0" w:rsidP="00FD6928">
      <w:pPr>
        <w:pStyle w:val="ListParagraph"/>
        <w:numPr>
          <w:ilvl w:val="0"/>
          <w:numId w:val="203"/>
        </w:numPr>
      </w:pPr>
      <w:r>
        <w:t>Ability to discover a wide range of factors: Case studies can uncover a variety of social, cultural, and political factors that may be related to the phenomenon of interest, even if these factors were not known in advance.</w:t>
      </w:r>
    </w:p>
    <w:p w14:paraId="626E93E5" w14:textId="77777777" w:rsidR="00C004D0" w:rsidRDefault="00C004D0" w:rsidP="00FD6928">
      <w:pPr>
        <w:pStyle w:val="ListParagraph"/>
        <w:numPr>
          <w:ilvl w:val="0"/>
          <w:numId w:val="203"/>
        </w:numPr>
      </w:pPr>
      <w:r>
        <w:t>Rich, contextualized data: Case studies provide detailed, nuanced data that is heavily contextualized within the specific setting of the case site.</w:t>
      </w:r>
    </w:p>
    <w:p w14:paraId="15DF3814" w14:textId="77777777" w:rsidR="00C004D0" w:rsidRDefault="00C004D0" w:rsidP="00FD6928">
      <w:pPr>
        <w:pStyle w:val="ListParagraph"/>
        <w:numPr>
          <w:ilvl w:val="0"/>
          <w:numId w:val="203"/>
        </w:numPr>
      </w:pPr>
      <w:r>
        <w:t>Flexibility: Case research can be adapted to a wide range of research questions and settings, making it a versatile research design.</w:t>
      </w:r>
    </w:p>
    <w:p w14:paraId="0698D90B" w14:textId="77777777" w:rsidR="00C004D0" w:rsidRDefault="00C004D0" w:rsidP="00C004D0">
      <w:r>
        <w:t>Weaknesses of case research:</w:t>
      </w:r>
    </w:p>
    <w:p w14:paraId="7BCE8021" w14:textId="77777777" w:rsidR="00C004D0" w:rsidRDefault="00C004D0" w:rsidP="00F321E0">
      <w:pPr>
        <w:pStyle w:val="ListParagraph"/>
        <w:numPr>
          <w:ilvl w:val="0"/>
          <w:numId w:val="204"/>
        </w:numPr>
      </w:pPr>
      <w:r>
        <w:lastRenderedPageBreak/>
        <w:t>Dependence on researcher skills: The quality of case research depends heavily on the observational and analytical abilities of the researcher, which can introduce bias or inconsistencies in the data collection and analysis process.</w:t>
      </w:r>
    </w:p>
    <w:p w14:paraId="425028C2" w14:textId="77777777" w:rsidR="00C004D0" w:rsidRDefault="00C004D0" w:rsidP="00F321E0">
      <w:pPr>
        <w:pStyle w:val="ListParagraph"/>
        <w:numPr>
          <w:ilvl w:val="0"/>
          <w:numId w:val="204"/>
        </w:numPr>
      </w:pPr>
      <w:r>
        <w:t>Lack of control: Unlike experimental designs, case studies do not allow for the manipulation or control of variables, making it difficult to establish causal relationships between variables.</w:t>
      </w:r>
    </w:p>
    <w:p w14:paraId="4799C732" w14:textId="77777777" w:rsidR="00C004D0" w:rsidRDefault="00C004D0" w:rsidP="00F321E0">
      <w:pPr>
        <w:pStyle w:val="ListParagraph"/>
        <w:numPr>
          <w:ilvl w:val="0"/>
          <w:numId w:val="204"/>
        </w:numPr>
      </w:pPr>
      <w:r>
        <w:t>Limited generalizability: Findings from a single case site may not be generalizable to other case sites or to the broader population, as each case is unique and heavily influenced by its specific context.</w:t>
      </w:r>
    </w:p>
    <w:p w14:paraId="2D6BA315" w14:textId="3EAEB306" w:rsidR="00C004D0" w:rsidRDefault="00C004D0" w:rsidP="00C004D0">
      <w:r>
        <w:t xml:space="preserve">To improve the generalizability of case research, researchers can use a multiple case design, in which several case sites are </w:t>
      </w:r>
      <w:r w:rsidR="00AA2DE1">
        <w:t>studied,</w:t>
      </w:r>
      <w:r>
        <w:t xml:space="preserve"> and the findings are compared across sites. This approach can help to identify common patterns or themes that are more likely to be generalizable to other settings.</w:t>
      </w:r>
    </w:p>
    <w:p w14:paraId="0B918311" w14:textId="77777777" w:rsidR="00C004D0" w:rsidRDefault="00C004D0" w:rsidP="00C004D0">
      <w:r>
        <w:t>Analysis in case research tends to be qualitative, focusing on the rich, contextual data collected through interviews, observations, and documents. Researchers may use techniques such as coding, thematic analysis, or narrative analysis to make sense of the data and identify key findings.</w:t>
      </w:r>
    </w:p>
    <w:p w14:paraId="5327D1B3" w14:textId="719666A2" w:rsidR="00A626FE" w:rsidRPr="000E309B" w:rsidRDefault="00C004D0" w:rsidP="00C004D0">
      <w:r>
        <w:t>In summary, case research is a valuable research design that allows for in-depth investigation of a problem in real-life settings. While it offers strengths such as the ability to discover a wide range of factors and provide rich, contextualized data, case research also has limitations, including dependence on researcher skills, lack of control, and limited generalizability. By using a multiple case design and rigorous qualitative analysis techniques, researchers can enhance the robustness and generalizability of their case study findings.</w:t>
      </w:r>
    </w:p>
    <w:p w14:paraId="5327D1B4" w14:textId="63F89EA9" w:rsidR="00A626FE" w:rsidRPr="000E309B" w:rsidRDefault="001C4A74" w:rsidP="00990086">
      <w:pPr>
        <w:pStyle w:val="Heading4"/>
      </w:pPr>
      <w:r>
        <w:rPr>
          <w:noProof/>
        </w:rPr>
        <w:drawing>
          <wp:anchor distT="0" distB="0" distL="114300" distR="114300" simplePos="0" relativeHeight="251658290" behindDoc="0" locked="0" layoutInCell="1" allowOverlap="1" wp14:anchorId="29F60B6D" wp14:editId="2B9F3A3F">
            <wp:simplePos x="0" y="0"/>
            <wp:positionH relativeFrom="column">
              <wp:posOffset>4943475</wp:posOffset>
            </wp:positionH>
            <wp:positionV relativeFrom="paragraph">
              <wp:posOffset>0</wp:posOffset>
            </wp:positionV>
            <wp:extent cx="996696" cy="850392"/>
            <wp:effectExtent l="0" t="0" r="0" b="698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96696" cy="850392"/>
                    </a:xfrm>
                    <a:prstGeom prst="rect">
                      <a:avLst/>
                    </a:prstGeom>
                    <a:noFill/>
                  </pic:spPr>
                </pic:pic>
              </a:graphicData>
            </a:graphic>
            <wp14:sizeRelH relativeFrom="margin">
              <wp14:pctWidth>0</wp14:pctWidth>
            </wp14:sizeRelH>
            <wp14:sizeRelV relativeFrom="margin">
              <wp14:pctHeight>0</wp14:pctHeight>
            </wp14:sizeRelV>
          </wp:anchor>
        </w:drawing>
      </w:r>
      <w:r w:rsidR="00D14B33" w:rsidRPr="000E309B">
        <w:t>Focus Groups</w:t>
      </w:r>
    </w:p>
    <w:p w14:paraId="67BF8A5D" w14:textId="77777777" w:rsidR="00CA525B" w:rsidRDefault="00CA525B" w:rsidP="00061F09">
      <w:r>
        <w:t>Focus group research is a qualitative research method that involves bringing together a small group of subjects (usually six to ten people) in one location to discuss a specific topic or phenomenon of interest. The discussion typically lasts around two hours and is moderated by a trained facilitator.</w:t>
      </w:r>
    </w:p>
    <w:p w14:paraId="4684768D" w14:textId="77777777" w:rsidR="00CA525B" w:rsidRDefault="00CA525B" w:rsidP="00CA525B">
      <w:r>
        <w:t>The role of the facilitator is to:</w:t>
      </w:r>
    </w:p>
    <w:p w14:paraId="326C67A5" w14:textId="77777777" w:rsidR="00CA525B" w:rsidRDefault="00CA525B" w:rsidP="00061F09">
      <w:pPr>
        <w:pStyle w:val="ListParagraph"/>
        <w:numPr>
          <w:ilvl w:val="0"/>
          <w:numId w:val="205"/>
        </w:numPr>
      </w:pPr>
      <w:r>
        <w:t>Set the agenda and pose an initial set of questions to guide the discussion.</w:t>
      </w:r>
    </w:p>
    <w:p w14:paraId="03D0ED67" w14:textId="77777777" w:rsidR="00CA525B" w:rsidRDefault="00CA525B" w:rsidP="00061F09">
      <w:pPr>
        <w:pStyle w:val="ListParagraph"/>
        <w:numPr>
          <w:ilvl w:val="0"/>
          <w:numId w:val="205"/>
        </w:numPr>
      </w:pPr>
      <w:r>
        <w:t>Ensure that the ideas and experiences of all participants are recorded.</w:t>
      </w:r>
    </w:p>
    <w:p w14:paraId="01302E56" w14:textId="77777777" w:rsidR="00CA525B" w:rsidRDefault="00CA525B" w:rsidP="00061F09">
      <w:pPr>
        <w:pStyle w:val="ListParagraph"/>
        <w:numPr>
          <w:ilvl w:val="0"/>
          <w:numId w:val="205"/>
        </w:numPr>
      </w:pPr>
      <w:r>
        <w:t>Build an understanding of the problem based on the participants' comments and interactions.</w:t>
      </w:r>
    </w:p>
    <w:p w14:paraId="306E4946" w14:textId="77777777" w:rsidR="00CA525B" w:rsidRDefault="00CA525B" w:rsidP="00061F09">
      <w:r>
        <w:t>One common application of focus group research is to evaluate different advertising campaigns to determine which one is most likely to be effective. By gathering a group of potential consumers and presenting them with several campaign options, researchers can gain insights into which campaign resonates best with the target audience and why.</w:t>
      </w:r>
    </w:p>
    <w:p w14:paraId="4FB3A5DF" w14:textId="77777777" w:rsidR="00CA525B" w:rsidRDefault="00CA525B" w:rsidP="00CA525B">
      <w:r>
        <w:lastRenderedPageBreak/>
        <w:t>Strengths of focus group research:</w:t>
      </w:r>
    </w:p>
    <w:p w14:paraId="2C90C420" w14:textId="77777777" w:rsidR="00CA525B" w:rsidRDefault="00CA525B" w:rsidP="00061F09">
      <w:pPr>
        <w:pStyle w:val="ListParagraph"/>
        <w:numPr>
          <w:ilvl w:val="0"/>
          <w:numId w:val="206"/>
        </w:numPr>
      </w:pPr>
      <w:r>
        <w:t>Provides rich, qualitative data: Focus groups allow researchers to collect detailed, in-depth data about participants' opinions, beliefs, and experiences related to the topic of interest.</w:t>
      </w:r>
    </w:p>
    <w:p w14:paraId="25196D4F" w14:textId="77777777" w:rsidR="00CA525B" w:rsidRDefault="00CA525B" w:rsidP="00061F09">
      <w:pPr>
        <w:pStyle w:val="ListParagraph"/>
        <w:numPr>
          <w:ilvl w:val="0"/>
          <w:numId w:val="206"/>
        </w:numPr>
      </w:pPr>
      <w:r>
        <w:t>Allows for group interaction: The group setting of a focus group encourages participants to interact with and respond to each other's ideas, which can lead to new insights and perspectives that may not have emerged in individual interviews.</w:t>
      </w:r>
    </w:p>
    <w:p w14:paraId="510BC578" w14:textId="77777777" w:rsidR="00CA525B" w:rsidRDefault="00CA525B" w:rsidP="00061F09">
      <w:pPr>
        <w:pStyle w:val="ListParagraph"/>
        <w:numPr>
          <w:ilvl w:val="0"/>
          <w:numId w:val="206"/>
        </w:numPr>
      </w:pPr>
      <w:r>
        <w:t>Offers flexibility: Focus group discussions can be adapted to explore a wide range of topics and can be structured to allow for open-ended responses and follow-up questions.</w:t>
      </w:r>
    </w:p>
    <w:p w14:paraId="54E2D5E9" w14:textId="77777777" w:rsidR="00CA525B" w:rsidRDefault="00CA525B" w:rsidP="00CA525B">
      <w:r>
        <w:t>Limitations of focus group research:</w:t>
      </w:r>
    </w:p>
    <w:p w14:paraId="1DF9B48B" w14:textId="77777777" w:rsidR="00CA525B" w:rsidRDefault="00CA525B" w:rsidP="00061F09">
      <w:pPr>
        <w:pStyle w:val="ListParagraph"/>
        <w:numPr>
          <w:ilvl w:val="0"/>
          <w:numId w:val="207"/>
        </w:numPr>
      </w:pPr>
      <w:r>
        <w:t>Lack of internal validity: Due to the absence of experimental controls, focus group research cannot establish cause-and-effect relationships or internal validity.</w:t>
      </w:r>
    </w:p>
    <w:p w14:paraId="23C90E2D" w14:textId="77777777" w:rsidR="00CA525B" w:rsidRDefault="00CA525B" w:rsidP="00061F09">
      <w:pPr>
        <w:pStyle w:val="ListParagraph"/>
        <w:numPr>
          <w:ilvl w:val="0"/>
          <w:numId w:val="207"/>
        </w:numPr>
      </w:pPr>
      <w:r>
        <w:t>Limited generalizability: The small sample size and non-random selection of participants in focus groups mean that the findings may not be representative of the larger population, limiting the external validity of the results.</w:t>
      </w:r>
    </w:p>
    <w:p w14:paraId="5205CF5A" w14:textId="77777777" w:rsidR="00CA525B" w:rsidRDefault="00CA525B" w:rsidP="00061F09">
      <w:pPr>
        <w:pStyle w:val="ListParagraph"/>
        <w:numPr>
          <w:ilvl w:val="0"/>
          <w:numId w:val="207"/>
        </w:numPr>
      </w:pPr>
      <w:r>
        <w:t>Potential for bias: The group setting may lead to conformity or social desirability bias, where participants modify their responses to fit in with the group or to present themselves in a favorable light.</w:t>
      </w:r>
    </w:p>
    <w:p w14:paraId="008AFF68" w14:textId="77777777" w:rsidR="00CA525B" w:rsidRDefault="00CA525B" w:rsidP="00CA525B">
      <w:r>
        <w:t>Given these limitations, focus groups are generally not used for explanatory or descriptive research, which require more robust and generalizable data. Instead, focus groups are best suited for exploratory research projects, where the goal is to generate new ideas, gather preliminary data, or gain insights into a problem or phenomenon that is not well understood.</w:t>
      </w:r>
    </w:p>
    <w:p w14:paraId="5327D1B5" w14:textId="74C923F0" w:rsidR="00A626FE" w:rsidRPr="000E309B" w:rsidRDefault="00CA525B" w:rsidP="00CA525B">
      <w:r>
        <w:t>In summary, focus group research is a valuable qualitative research method that involves bringing together a small group of participants to discuss a specific topic or phenomenon. While focus groups provide rich, detailed data and allow for group interaction and flexibility, they have limitations in terms of internal validity and generalizability. As such, focus groups are most appropriate for exploratory research projects rather than explanatory or descriptive studies.</w:t>
      </w:r>
    </w:p>
    <w:p w14:paraId="5327D1B6" w14:textId="77442FD2" w:rsidR="00A626FE" w:rsidRPr="000E309B" w:rsidRDefault="001C4A74" w:rsidP="00990086">
      <w:pPr>
        <w:pStyle w:val="Heading4"/>
      </w:pPr>
      <w:r>
        <w:rPr>
          <w:noProof/>
        </w:rPr>
        <w:drawing>
          <wp:anchor distT="0" distB="0" distL="114300" distR="114300" simplePos="0" relativeHeight="251658291" behindDoc="0" locked="0" layoutInCell="1" allowOverlap="1" wp14:anchorId="68EFB7A4" wp14:editId="44DCE61B">
            <wp:simplePos x="0" y="0"/>
            <wp:positionH relativeFrom="column">
              <wp:posOffset>4943475</wp:posOffset>
            </wp:positionH>
            <wp:positionV relativeFrom="paragraph">
              <wp:posOffset>223520</wp:posOffset>
            </wp:positionV>
            <wp:extent cx="996315" cy="850265"/>
            <wp:effectExtent l="0" t="0" r="0" b="698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96315" cy="850265"/>
                    </a:xfrm>
                    <a:prstGeom prst="rect">
                      <a:avLst/>
                    </a:prstGeom>
                    <a:noFill/>
                  </pic:spPr>
                </pic:pic>
              </a:graphicData>
            </a:graphic>
            <wp14:sizeRelH relativeFrom="margin">
              <wp14:pctWidth>0</wp14:pctWidth>
            </wp14:sizeRelH>
            <wp14:sizeRelV relativeFrom="margin">
              <wp14:pctHeight>0</wp14:pctHeight>
            </wp14:sizeRelV>
          </wp:anchor>
        </w:drawing>
      </w:r>
      <w:r w:rsidR="00D14B33" w:rsidRPr="000E309B">
        <w:t>Action Research</w:t>
      </w:r>
    </w:p>
    <w:p w14:paraId="5597DE4F" w14:textId="77777777" w:rsidR="00851EF6" w:rsidRDefault="00851EF6" w:rsidP="00851EF6">
      <w:r>
        <w:t>Action research is a unique research method that involves introducing interventions or "actions" into complex social phenomena and then observing the effects of those actions. The goal of action research is to simultaneously solve practical problems and generate new knowledge and insights about the phenomenon being studied.</w:t>
      </w:r>
    </w:p>
    <w:p w14:paraId="1356D28E" w14:textId="1D5A5FE6" w:rsidR="00851EF6" w:rsidRDefault="00851EF6" w:rsidP="00851EF6">
      <w:r>
        <w:t xml:space="preserve">In action research, the researcher is typically a </w:t>
      </w:r>
      <w:r w:rsidR="006E331C">
        <w:t>consultant,</w:t>
      </w:r>
      <w:r>
        <w:t xml:space="preserve"> or a person embedded within a social context, such as an organization, who initiates an action in response to a real-world problem. For example, a researcher working with a company facing declining profitability might introduce new organizational procedures or technologies to address the issue.</w:t>
      </w:r>
    </w:p>
    <w:p w14:paraId="7B8FFDEF" w14:textId="77777777" w:rsidR="00851EF6" w:rsidRDefault="00851EF6" w:rsidP="00851EF6">
      <w:r>
        <w:lastRenderedPageBreak/>
        <w:t>The researcher's choice of action must be grounded in a theory that explains why and how the proposed intervention is expected to bring about the desired change. As the action is implemented, the researcher observes the results, modifying the action as necessary while simultaneously learning from the process and generating theoretical insights about the problem and the intervention.</w:t>
      </w:r>
    </w:p>
    <w:p w14:paraId="4D9E27C6" w14:textId="77777777" w:rsidR="00851EF6" w:rsidRDefault="00851EF6" w:rsidP="00851EF6">
      <w:r>
        <w:t>The success of the action in solving the target problem serves to validate the initial theory. This simultaneous problem-solving and insight generation is the key distinguishing feature of action research compared to other research methods.</w:t>
      </w:r>
    </w:p>
    <w:p w14:paraId="152474D2" w14:textId="77777777" w:rsidR="00851EF6" w:rsidRDefault="00851EF6" w:rsidP="00851EF6">
      <w:r>
        <w:t>Strengths of action research:</w:t>
      </w:r>
    </w:p>
    <w:p w14:paraId="1964B229" w14:textId="77777777" w:rsidR="00851EF6" w:rsidRDefault="00851EF6" w:rsidP="006E331C">
      <w:pPr>
        <w:pStyle w:val="ListParagraph"/>
        <w:numPr>
          <w:ilvl w:val="0"/>
          <w:numId w:val="208"/>
        </w:numPr>
      </w:pPr>
      <w:r>
        <w:t>Bridges research and practice: Action research is an excellent method for connecting academic research with real-world practice, as it involves applying theoretical knowledge to solve practical problems.</w:t>
      </w:r>
    </w:p>
    <w:p w14:paraId="540CD635" w14:textId="77777777" w:rsidR="00851EF6" w:rsidRDefault="00851EF6" w:rsidP="006E331C">
      <w:pPr>
        <w:pStyle w:val="ListParagraph"/>
        <w:numPr>
          <w:ilvl w:val="0"/>
          <w:numId w:val="208"/>
        </w:numPr>
      </w:pPr>
      <w:r>
        <w:t>Addresses unique social problems: This method is well-suited for studying complex social problems that are specific to a particular context and cannot be easily replicated or studied outside that setting.</w:t>
      </w:r>
    </w:p>
    <w:p w14:paraId="2A258BA4" w14:textId="77777777" w:rsidR="00851EF6" w:rsidRDefault="00851EF6" w:rsidP="006E331C">
      <w:pPr>
        <w:pStyle w:val="ListParagraph"/>
        <w:numPr>
          <w:ilvl w:val="0"/>
          <w:numId w:val="208"/>
        </w:numPr>
      </w:pPr>
      <w:r>
        <w:t>Generates context-specific insights: Action research produces knowledge and insights that are grounded in the specific context of the study, which can be highly valuable for understanding and addressing problems within that context.</w:t>
      </w:r>
    </w:p>
    <w:p w14:paraId="0941BEF4" w14:textId="77777777" w:rsidR="00851EF6" w:rsidRDefault="00851EF6" w:rsidP="00851EF6">
      <w:r>
        <w:t>Limitations of action research:</w:t>
      </w:r>
    </w:p>
    <w:p w14:paraId="5BCAF461" w14:textId="77777777" w:rsidR="00851EF6" w:rsidRDefault="00851EF6" w:rsidP="006E331C">
      <w:pPr>
        <w:pStyle w:val="ListParagraph"/>
        <w:numPr>
          <w:ilvl w:val="0"/>
          <w:numId w:val="209"/>
        </w:numPr>
      </w:pPr>
      <w:r>
        <w:t>Researcher bias: As the researcher is actively involved in the intervention and may have a stake in its success, there is a risk of researcher bias influencing the study's design, implementation, and interpretation of results.</w:t>
      </w:r>
    </w:p>
    <w:p w14:paraId="7C06BB58" w14:textId="77777777" w:rsidR="00851EF6" w:rsidRDefault="00851EF6" w:rsidP="006E331C">
      <w:pPr>
        <w:pStyle w:val="ListParagraph"/>
        <w:numPr>
          <w:ilvl w:val="0"/>
          <w:numId w:val="209"/>
        </w:numPr>
      </w:pPr>
      <w:r>
        <w:t>Limited generalizability: Because action research is highly context-specific, the findings may not be broadly generalizable to other settings or populations.</w:t>
      </w:r>
    </w:p>
    <w:p w14:paraId="3495F22A" w14:textId="77777777" w:rsidR="00851EF6" w:rsidRDefault="00851EF6" w:rsidP="006E331C">
      <w:pPr>
        <w:pStyle w:val="ListParagraph"/>
        <w:numPr>
          <w:ilvl w:val="0"/>
          <w:numId w:val="209"/>
        </w:numPr>
      </w:pPr>
      <w:r>
        <w:t>Difficulty in replication: The unique nature of each action research project makes it challenging to replicate the study in other contexts, which can limit the reliability and validity of the findings.</w:t>
      </w:r>
    </w:p>
    <w:p w14:paraId="521378D5" w14:textId="77777777" w:rsidR="00851EF6" w:rsidRDefault="00851EF6" w:rsidP="00851EF6">
      <w:r>
        <w:t>To mitigate these limitations, action researchers should be transparent about their role and potential biases, carefully document the research process and context, and seek input and collaboration from other stakeholders to ensure the credibility and trustworthiness of the findings.</w:t>
      </w:r>
    </w:p>
    <w:p w14:paraId="5327D1B7" w14:textId="7B57DDE8" w:rsidR="00A626FE" w:rsidRPr="000E309B" w:rsidRDefault="00851EF6" w:rsidP="00851EF6">
      <w:r>
        <w:t xml:space="preserve">In summary, action research is a distinctive research method that combines problem-solving and knowledge generation by introducing interventions into complex social phenomena and observing their effects. While it offers valuable opportunities to bridge research and practice and address unique social problems, action research also has limitations in terms of researcher bias and the generalizability of findings. By being aware of these strengths and limitations, researchers can </w:t>
      </w:r>
      <w:r>
        <w:lastRenderedPageBreak/>
        <w:t>effectively use action research to generate actionable insights and drive positive change in real-world settings.</w:t>
      </w:r>
    </w:p>
    <w:p w14:paraId="5327D1B8" w14:textId="23F299D2" w:rsidR="00A626FE" w:rsidRPr="000E309B" w:rsidRDefault="001C4A74" w:rsidP="00990086">
      <w:pPr>
        <w:pStyle w:val="Heading4"/>
      </w:pPr>
      <w:r>
        <w:rPr>
          <w:noProof/>
        </w:rPr>
        <w:drawing>
          <wp:anchor distT="0" distB="0" distL="114300" distR="114300" simplePos="0" relativeHeight="251658292" behindDoc="0" locked="0" layoutInCell="1" allowOverlap="1" wp14:anchorId="03DD9DDD" wp14:editId="3AC0C5D0">
            <wp:simplePos x="0" y="0"/>
            <wp:positionH relativeFrom="column">
              <wp:posOffset>4943475</wp:posOffset>
            </wp:positionH>
            <wp:positionV relativeFrom="paragraph">
              <wp:posOffset>225425</wp:posOffset>
            </wp:positionV>
            <wp:extent cx="996315" cy="850265"/>
            <wp:effectExtent l="0" t="0" r="0" b="6985"/>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96315" cy="850265"/>
                    </a:xfrm>
                    <a:prstGeom prst="rect">
                      <a:avLst/>
                    </a:prstGeom>
                    <a:noFill/>
                  </pic:spPr>
                </pic:pic>
              </a:graphicData>
            </a:graphic>
            <wp14:sizeRelH relativeFrom="margin">
              <wp14:pctWidth>0</wp14:pctWidth>
            </wp14:sizeRelH>
            <wp14:sizeRelV relativeFrom="margin">
              <wp14:pctHeight>0</wp14:pctHeight>
            </wp14:sizeRelV>
          </wp:anchor>
        </w:drawing>
      </w:r>
      <w:r w:rsidR="00D14B33" w:rsidRPr="000E309B">
        <w:t>Ethnography</w:t>
      </w:r>
    </w:p>
    <w:p w14:paraId="6775FF3F" w14:textId="77777777" w:rsidR="00936F87" w:rsidRDefault="00936F87" w:rsidP="00936F87">
      <w:r>
        <w:t>Ethnography is an interpretive research design that originates from anthropology and focuses on studying a phenomenon within its cultural context. In this approach, the researcher becomes deeply immersed in a specific culture for an extended period, ranging from a few months to several years. During this time, the researcher engages with, observes, and records the daily life and practices of the studied culture.</w:t>
      </w:r>
    </w:p>
    <w:p w14:paraId="5EAC61A2" w14:textId="77777777" w:rsidR="00936F87" w:rsidRDefault="00936F87" w:rsidP="00936F87">
      <w:r>
        <w:t>The primary goal of ethnographic research is to develop a comprehensive theory about the behaviors, beliefs, and social dynamics within the studied culture. This is achieved through extensive fieldwork, where the researcher collects data primarily through observational techniques, formal and informal interactions with participants, and personal field notes.</w:t>
      </w:r>
    </w:p>
    <w:p w14:paraId="73D48FE6" w14:textId="77777777" w:rsidR="00936F87" w:rsidRDefault="00936F87" w:rsidP="00936F87">
      <w:r>
        <w:t>Data analysis in ethnographic research involves a process of "sense-making," where the researcher interprets and synthesizes the collected data to generate a rich, nuanced understanding of the culture and the phenomenon under study. This process often involves iterative cycles of data collection, analysis, and theory refinement.</w:t>
      </w:r>
    </w:p>
    <w:p w14:paraId="166FB2E6" w14:textId="77777777" w:rsidR="00936F87" w:rsidRDefault="00936F87" w:rsidP="00936F87">
      <w:r>
        <w:t>Advantages of ethnographic research:</w:t>
      </w:r>
    </w:p>
    <w:p w14:paraId="61B19768" w14:textId="77777777" w:rsidR="00936F87" w:rsidRDefault="00936F87" w:rsidP="00936F87">
      <w:pPr>
        <w:pStyle w:val="ListParagraph"/>
        <w:numPr>
          <w:ilvl w:val="0"/>
          <w:numId w:val="210"/>
        </w:numPr>
      </w:pPr>
      <w:r>
        <w:t>Contextual sensitivity: Ethnography is highly sensitive to the cultural context in which the phenomenon is studied, allowing for a deep understanding of how the cultural factors influence the phenomenon.</w:t>
      </w:r>
    </w:p>
    <w:p w14:paraId="2A897D25" w14:textId="77777777" w:rsidR="00936F87" w:rsidRDefault="00936F87" w:rsidP="00936F87">
      <w:pPr>
        <w:pStyle w:val="ListParagraph"/>
        <w:numPr>
          <w:ilvl w:val="0"/>
          <w:numId w:val="210"/>
        </w:numPr>
      </w:pPr>
      <w:r>
        <w:t>Rich and nuanced understanding: The immersive nature of ethnographic research enables the researcher to gain a detailed, nuanced understanding of the culture and the phenomenon being studied.</w:t>
      </w:r>
    </w:p>
    <w:p w14:paraId="55373AE1" w14:textId="77777777" w:rsidR="00936F87" w:rsidRDefault="00936F87" w:rsidP="00936F87">
      <w:pPr>
        <w:pStyle w:val="ListParagraph"/>
        <w:numPr>
          <w:ilvl w:val="0"/>
          <w:numId w:val="210"/>
        </w:numPr>
      </w:pPr>
      <w:r>
        <w:t>Minimal respondent bias: Because ethnographic data is collected through observation and informal interactions, there is less risk of respondent bias compared to other research methods that rely on self-reported data.</w:t>
      </w:r>
    </w:p>
    <w:p w14:paraId="5BAD94D0" w14:textId="77777777" w:rsidR="00936F87" w:rsidRDefault="00936F87" w:rsidP="00936F87">
      <w:r>
        <w:t>Limitations of ethnographic research:</w:t>
      </w:r>
    </w:p>
    <w:p w14:paraId="10BB8237" w14:textId="77777777" w:rsidR="00936F87" w:rsidRDefault="00936F87" w:rsidP="00936F87">
      <w:pPr>
        <w:pStyle w:val="ListParagraph"/>
        <w:numPr>
          <w:ilvl w:val="0"/>
          <w:numId w:val="211"/>
        </w:numPr>
      </w:pPr>
      <w:r>
        <w:t>Time and resource-intensive: Ethnographic research requires a significant investment of time and resources, as the researcher must spend an extended period immersed in the studied culture.</w:t>
      </w:r>
    </w:p>
    <w:p w14:paraId="1C5A08B3" w14:textId="77777777" w:rsidR="00936F87" w:rsidRDefault="00936F87" w:rsidP="00936F87">
      <w:pPr>
        <w:pStyle w:val="ListParagraph"/>
        <w:numPr>
          <w:ilvl w:val="0"/>
          <w:numId w:val="211"/>
        </w:numPr>
      </w:pPr>
      <w:r>
        <w:t>Limited generalizability: The findings of ethnographic research are highly specific to the studied culture and may not be readily generalizable to other cultural contexts.</w:t>
      </w:r>
    </w:p>
    <w:p w14:paraId="0845E48F" w14:textId="77777777" w:rsidR="00936F87" w:rsidRDefault="00936F87" w:rsidP="00936F87">
      <w:pPr>
        <w:pStyle w:val="ListParagraph"/>
        <w:numPr>
          <w:ilvl w:val="0"/>
          <w:numId w:val="211"/>
        </w:numPr>
      </w:pPr>
      <w:r>
        <w:t>Researcher bias: The researcher's own cultural background, biases, and interpretations can influence the data collection and analysis process, potentially affecting the credibility of the findings.</w:t>
      </w:r>
    </w:p>
    <w:p w14:paraId="3997BF8D" w14:textId="77777777" w:rsidR="00936F87" w:rsidRDefault="00936F87" w:rsidP="00936F87">
      <w:r>
        <w:lastRenderedPageBreak/>
        <w:t>To address these limitations, ethnographic researchers should engage in reflexivity, acknowledging their own biases and cultural perspectives, and seek to validate their findings through triangulation with other data sources or by seeking feedback from cultural insiders.</w:t>
      </w:r>
    </w:p>
    <w:p w14:paraId="5327D1B9" w14:textId="3EF489F9" w:rsidR="00A626FE" w:rsidRDefault="00936F87" w:rsidP="00936F87">
      <w:r>
        <w:t>In summary, ethnography is an interpretive research design that involves the researcher becoming deeply immersed in a specific culture to study a phenomenon within its cultural context. While this approach offers advantages such as contextual sensitivity, rich understanding, and minimal respondent bias, it also has limitations in terms of time and resource requirements, generalizability, and potential researcher bias. Despite these challenges, ethnography remains a valuable research design for gaining in-depth, culturally grounded insights into complex social phenomena.</w:t>
      </w:r>
    </w:p>
    <w:p w14:paraId="2E51A919" w14:textId="4CCB70DD" w:rsidR="0072632A" w:rsidRDefault="00F32768" w:rsidP="00F32768">
      <w:pPr>
        <w:pStyle w:val="Heading3"/>
      </w:pPr>
      <w:bookmarkStart w:id="57" w:name="_Toc169156711"/>
      <w:r>
        <w:t xml:space="preserve">Collaboration and Interdisciplinary </w:t>
      </w:r>
      <w:r w:rsidR="00EE3C45">
        <w:t>Research</w:t>
      </w:r>
      <w:bookmarkEnd w:id="57"/>
    </w:p>
    <w:p w14:paraId="1D137215" w14:textId="77777777" w:rsidR="00A903E5" w:rsidRDefault="00A903E5" w:rsidP="00A903E5">
      <w:r>
        <w:t>In today's complex research landscape, collaboration has become an essential component of many successful projects. Researchers increasingly recognize the value of working together, pooling their expertise, and leveraging diverse perspectives to tackle multifaceted problems. This is particularly true in the context of interdisciplinary research, which brings together scholars from different fields to address issues that transcend traditional disciplinary boundaries.</w:t>
      </w:r>
    </w:p>
    <w:p w14:paraId="0E0C444F" w14:textId="77777777" w:rsidR="00A903E5" w:rsidRDefault="00A903E5" w:rsidP="00A903E5">
      <w:r>
        <w:t>The benefits of collaborative and interdisciplinary research are numerous. By combining the knowledge, skills, and resources of multiple researchers, these approaches can lead to more comprehensive and innovative solutions to research problems. Collaborative teams can draw upon a wider range of theoretical frameworks, methodological approaches, and analytical tools, enabling them to develop richer and more nuanced understandings of the phenomena they study.</w:t>
      </w:r>
    </w:p>
    <w:p w14:paraId="07A5326A" w14:textId="77777777" w:rsidR="00A903E5" w:rsidRDefault="00A903E5" w:rsidP="00A903E5">
      <w:r>
        <w:t>For example, consider a research project investigating the impact of urban development on public health. Such a study would likely require the expertise of researchers from fields as diverse as urban planning, public health, sociology, environmental science, and economics. Each discipline would bring its own unique insights and methods to bear on the problem, from the analysis of demographic data and health indicators to the assessment of environmental risks and the evaluation of policy interventions. By working together, the research team could develop a more holistic understanding of the complex interrelationships between urban environments and human well-being.</w:t>
      </w:r>
    </w:p>
    <w:p w14:paraId="678BCA52" w14:textId="77777777" w:rsidR="00A903E5" w:rsidRDefault="00A903E5" w:rsidP="00A903E5">
      <w:r>
        <w:t>Interdisciplinary collaboration can also help to break down the silos that often exist between different academic fields, fostering cross-pollination of ideas and the emergence of new research directions. When researchers from different backgrounds come together, they may identify unexpected connections or synergies between their areas of expertise, leading to innovative research questions and approaches. This process of intellectual exchange and discovery can be highly rewarding for individual researchers and can contribute to the advancement of knowledge in multiple fields.</w:t>
      </w:r>
    </w:p>
    <w:p w14:paraId="78DDA65E" w14:textId="77777777" w:rsidR="00A903E5" w:rsidRDefault="00A903E5" w:rsidP="00A903E5">
      <w:r>
        <w:lastRenderedPageBreak/>
        <w:t>However, collaborative and interdisciplinary research also presents unique challenges that researchers must navigate. One key issue is the need for effective communication and coordination among team members. Researchers from different disciplines may have different terminologies, research practices, and communication styles, which can lead to misunderstandings or conflicts if not addressed proactively. To overcome these barriers, collaborative teams must invest time and effort in establishing clear roles and responsibilities, developing shared language and frameworks, and maintaining open and frequent communication throughout the research process.</w:t>
      </w:r>
    </w:p>
    <w:p w14:paraId="6A446AA4" w14:textId="77777777" w:rsidR="00A903E5" w:rsidRDefault="00A903E5" w:rsidP="00A903E5">
      <w:r>
        <w:t>Another challenge is the need to integrate diverse forms of data, methods, and analyses in a coherent and meaningful way. Interdisciplinary projects often involve multiple streams of data collection and analysis, each with its own standards, formats, and interpretive frameworks. Researchers must find ways to harmonize these disparate elements and develop a unified narrative that captures the complexity of the problem while remaining accessible to a broad audience. This may require the development of new analytical tools, visualization techniques, or data management strategies that can bridge disciplinary divides.</w:t>
      </w:r>
    </w:p>
    <w:p w14:paraId="5DBC1794" w14:textId="77777777" w:rsidR="00A903E5" w:rsidRDefault="00A903E5" w:rsidP="00A903E5">
      <w:r>
        <w:t>Despite these challenges, the rewards of collaborative and interdisciplinary research make it an increasingly attractive option for many scholars. By working together across disciplinary boundaries, researchers can tackle some of the most pressing and complex problems facing society today, from climate change and global health to social inequality and technological disruption. As the research landscape continues to evolve, the ability to collaborate effectively and engage in interdisciplinary dialogue will become an increasingly valuable skill for researchers in all fields.</w:t>
      </w:r>
    </w:p>
    <w:p w14:paraId="13E1683A" w14:textId="091D86F4" w:rsidR="00A903E5" w:rsidRDefault="00A903E5" w:rsidP="00A903E5">
      <w:r>
        <w:t>To illustrate the potential of collaborative and interdisciplinary research, consider the work of the Global Burden of Disease (GBD) Study, a massive international collaboration involving over 3,600 researchers from more than 145 countries</w:t>
      </w:r>
      <w:r w:rsidR="00BC2666">
        <w:t xml:space="preserve"> </w:t>
      </w:r>
      <w:r w:rsidR="00BC2666">
        <w:fldChar w:fldCharType="begin"/>
      </w:r>
      <w:r w:rsidR="007C07B4">
        <w:instrText xml:space="preserve"> ADDIN ZOTERO_ITEM CSL_CITATION {"citationID":"a2dqph7i2r1","properties":{"formattedCitation":"[50]","plainCitation":"[50]","noteIndex":0},"citationItems":[{"id":1,"uris":["http://zotero.org/users/5015692/items/2MRWJXM5"],"itemData":{"id":1,"type":"article-journal","abstract":"The Global Burden of Disease Study (GBD) began 30 years ago with the goal of providing timely, valid and relevant assessments of critical health outcomes. Over this period, the GBD has become progressively more granular. The latest iteration provides assessments of thousands of outcomes for diseases, injuries and risk factors in more than 200 countries and territories and at the subnational level in more than 20 countries. The GBD is now produced by an active collaboration of over 8,000 scientists and analysts from more than 150 countries. With each GBD iteration, the data, data processing and methods used for data synthesis have evolved, with the goal of enhancing transparency and comparability of measurements and communicating various sources of uncertainty. The GBD has many limitations, but it remains a dynamic, iterative and rigorous attempt to provide meaningful health measurement to a wide range of stakeholders.","container-title":"Nature Medicine","DOI":"10.1038/s41591-022-01990-1","ISSN":"1546-170X","issue":"10","journalAbbreviation":"Nature Medicine","page":"2019-2026","title":"The Global Burden of Disease Study at 30 years","volume":"28","author":[{"family":"Murray","given":"Christopher J. L."}],"issued":{"date-parts":[["2022",10,1]]}}}],"schema":"https://github.com/citation-style-language/schema/raw/master/csl-citation.json"} </w:instrText>
      </w:r>
      <w:r w:rsidR="00BC2666">
        <w:fldChar w:fldCharType="separate"/>
      </w:r>
      <w:r w:rsidR="007C07B4" w:rsidRPr="007C07B4">
        <w:t>[50]</w:t>
      </w:r>
      <w:r w:rsidR="00BC2666">
        <w:fldChar w:fldCharType="end"/>
      </w:r>
      <w:r>
        <w:t>. The GBD Study brings together experts from a wide range of disciplines, including epidemiology, demography, statistics, and health economics, to provide comprehensive estimates of mortality and morbidity for over 350 diseases and injuries worldwide. By combining data from multiple sources and applying innovative modeling techniques, the GBD Study has produced invaluable insights into global health trends, risk factors, and intervention priorities, informing policy decisions and research agendas around the world. This remarkable achievement would not have been possible without the sustained collaboration and interdisciplinary exchange among its many contributors.</w:t>
      </w:r>
    </w:p>
    <w:p w14:paraId="0337316D" w14:textId="49683C48" w:rsidR="00F32768" w:rsidRPr="00F32768" w:rsidRDefault="00A903E5" w:rsidP="00A903E5">
      <w:r>
        <w:t>As this example demonstrates, collaborative and interdisciplinary research has the potential to transform our understanding of complex problems and drive meaningful change in the world. By embracing this approach and developing the skills needed for effective teamwork and cross-disciplinary engagement, researchers can expand the frontiers of knowledge and contribute to the betterment of society.</w:t>
      </w:r>
    </w:p>
    <w:p w14:paraId="5327D1BA" w14:textId="6FD1DABB" w:rsidR="00A626FE" w:rsidRPr="000E309B" w:rsidRDefault="0097778D" w:rsidP="0097778D">
      <w:pPr>
        <w:pStyle w:val="Heading3"/>
      </w:pPr>
      <w:bookmarkStart w:id="58" w:name="_Toc169156712"/>
      <w:r>
        <w:lastRenderedPageBreak/>
        <w:t>S</w:t>
      </w:r>
      <w:r w:rsidR="00D14B33" w:rsidRPr="000E309B">
        <w:t xml:space="preserve">electing the </w:t>
      </w:r>
      <w:r>
        <w:t>R</w:t>
      </w:r>
      <w:r w:rsidR="00D14B33" w:rsidRPr="000E309B">
        <w:t xml:space="preserve">esearch </w:t>
      </w:r>
      <w:r>
        <w:t>D</w:t>
      </w:r>
      <w:r w:rsidR="00D14B33" w:rsidRPr="000E309B">
        <w:t>esign</w:t>
      </w:r>
      <w:bookmarkEnd w:id="58"/>
    </w:p>
    <w:p w14:paraId="49925C9C" w14:textId="77777777" w:rsidR="00FB0931" w:rsidRDefault="00FB0931" w:rsidP="00FB0931">
      <w:r>
        <w:t>The choice of research design should ideally be guided by the nature of the research problem and the current state of knowledge about the phenomenon of interest. However, researchers often tend to select designs that align with their comfort level and expertise.</w:t>
      </w:r>
    </w:p>
    <w:p w14:paraId="4DCD007C" w14:textId="77777777" w:rsidR="00FB0931" w:rsidRDefault="00FB0931" w:rsidP="00FB0931">
      <w:r>
        <w:t>In the early stages of research, when the problem is not well-defined, exploratory designs such as focus groups (for individual-level analysis) or case studies (for organizational-level analysis) are particularly useful. These designs allow researchers to scope out the nature and extent of the phenomenon and generate initial insights and hypotheses.</w:t>
      </w:r>
    </w:p>
    <w:p w14:paraId="10DCB561" w14:textId="77777777" w:rsidR="00FB0931" w:rsidRDefault="00FB0931" w:rsidP="00FB0931">
      <w:r>
        <w:t>As the research progresses and the problem becomes more defined, interpretive designs like case research or ethnography may be appropriate. These designs are well-suited for developing deep, contextualized understanding of the phenomenon and generating new theories or insights.</w:t>
      </w:r>
    </w:p>
    <w:p w14:paraId="3958E1B9" w14:textId="77777777" w:rsidR="00FB0931" w:rsidRDefault="00FB0931" w:rsidP="00FB0931">
      <w:r>
        <w:t>If the literature review reveals competing theories or explanations for the phenomenon, positivist designs such as experiments, surveys, or secondary data analysis may be more appropriate. These designs are better suited for testing hypotheses, establishing causal relationships, and generalizing findings to larger populations.</w:t>
      </w:r>
    </w:p>
    <w:p w14:paraId="7F8150B0" w14:textId="77777777" w:rsidR="00FB0931" w:rsidRDefault="00FB0931" w:rsidP="00FB0931">
      <w:r>
        <w:t>Regardless of the specific design chosen, researchers should strive to collect both quantitative and qualitative data using a variety of data collection techniques. This approach, known as methodological triangulation, can help to generate a more comprehensive and nuanced understanding of the phenomenon.</w:t>
      </w:r>
    </w:p>
    <w:p w14:paraId="13F03592" w14:textId="77777777" w:rsidR="00FB0931" w:rsidRDefault="00FB0931" w:rsidP="00FB0931">
      <w:r>
        <w:t>For example, structured surveys are typically used to collect quantitative data, but including a few open-ended questions can provide valuable qualitative insights that may not have been anticipated. Similarly, case research often relies on qualitative data collected through interviews, but administering a concurrent survey can provide complementary quantitative data that enriches the analysis.</w:t>
      </w:r>
    </w:p>
    <w:p w14:paraId="24C73F15" w14:textId="77777777" w:rsidR="00FB0931" w:rsidRDefault="00FB0931" w:rsidP="00FB0931">
      <w:r>
        <w:t>An example of this mixed-methods approach could be a case study investigating organizational decision-making processes. While face-to-face interviews provide rich, qualitative data about the decision-making process, a survey could collect quantitative data such as the average time taken to make decisions. This quantitative data can provide additional insights that may not be captured in the qualitative responses alone.</w:t>
      </w:r>
    </w:p>
    <w:p w14:paraId="459A4DDE" w14:textId="77777777" w:rsidR="00FB0931" w:rsidRDefault="00FB0931" w:rsidP="00FB0931">
      <w:r>
        <w:t>The key principle is that researchers should aim to collect as much and as diverse data as possible, using multiple methods and sources. This approach maximizes the potential for generating robust, comprehensive insights into the phenomenon of interest.</w:t>
      </w:r>
    </w:p>
    <w:p w14:paraId="5327D1BF" w14:textId="7D569473" w:rsidR="00A626FE" w:rsidRPr="000E309B" w:rsidRDefault="00FB0931" w:rsidP="003B1F89">
      <w:r>
        <w:t xml:space="preserve">In summary, the choice of research design should be driven by the research problem and the state of existing knowledge. Researchers should be open to using a variety of designs and data collection methods, as each approach offers unique strengths and can contribute to a more holistic understanding of the phenomenon. By combining quantitative and qualitative data from multiple </w:t>
      </w:r>
      <w:r>
        <w:lastRenderedPageBreak/>
        <w:t>sources, researchers can generate the best possible insights to advance knowledge and inform practice in their field of study.</w:t>
      </w:r>
    </w:p>
    <w:p w14:paraId="5327D1C0" w14:textId="424C8700" w:rsidR="00A626FE" w:rsidRPr="000E309B" w:rsidRDefault="00B52873" w:rsidP="0072120F">
      <w:pPr>
        <w:pStyle w:val="Heading3"/>
      </w:pPr>
      <w:bookmarkStart w:id="59" w:name="_Toc169156713"/>
      <w:r>
        <w:rPr>
          <w:noProof/>
        </w:rPr>
        <w:drawing>
          <wp:anchor distT="0" distB="0" distL="114300" distR="114300" simplePos="0" relativeHeight="251990100" behindDoc="0" locked="0" layoutInCell="1" allowOverlap="1" wp14:anchorId="0CE3F46D" wp14:editId="22C4F4DF">
            <wp:simplePos x="0" y="0"/>
            <wp:positionH relativeFrom="column">
              <wp:align>right</wp:align>
            </wp:positionH>
            <wp:positionV relativeFrom="paragraph">
              <wp:posOffset>0</wp:posOffset>
            </wp:positionV>
            <wp:extent cx="914400" cy="914400"/>
            <wp:effectExtent l="19050" t="19050" r="19050" b="19050"/>
            <wp:wrapSquare wrapText="bothSides"/>
            <wp:docPr id="556233680" name="Picture 4" descr="A drawing of a dra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33680" name="Picture 4" descr="A drawing of a draw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2120F">
        <w:t>A</w:t>
      </w:r>
      <w:r w:rsidR="00D14B33" w:rsidRPr="000E309B">
        <w:t xml:space="preserve"> </w:t>
      </w:r>
      <w:r w:rsidR="0072120F">
        <w:t>S</w:t>
      </w:r>
      <w:r w:rsidR="00D14B33" w:rsidRPr="000E309B">
        <w:t xml:space="preserve">ampling of </w:t>
      </w:r>
      <w:r w:rsidR="0072120F">
        <w:t>R</w:t>
      </w:r>
      <w:r w:rsidR="00D14B33" w:rsidRPr="000E309B">
        <w:t>esearch</w:t>
      </w:r>
      <w:bookmarkEnd w:id="59"/>
    </w:p>
    <w:p w14:paraId="5327D1C1" w14:textId="0F2C23B5" w:rsidR="00A626FE" w:rsidRPr="000E309B" w:rsidRDefault="00D14B33" w:rsidP="00234FFB">
      <w:pPr>
        <w:pStyle w:val="Heading4"/>
      </w:pPr>
      <w:r w:rsidRPr="000E309B">
        <w:t>Does Human Capital Matter?</w:t>
      </w:r>
    </w:p>
    <w:p w14:paraId="3EADC6A3" w14:textId="54FF7F48" w:rsidR="00650170" w:rsidRDefault="00D14B33" w:rsidP="007E2E63">
      <w:r w:rsidRPr="000E309B">
        <w:t xml:space="preserve">Any given topic will generate numerous published research reports. Consequently, one </w:t>
      </w:r>
      <w:r w:rsidR="00DE6627">
        <w:t>exci</w:t>
      </w:r>
      <w:r w:rsidRPr="000E309B">
        <w:t xml:space="preserve">ting research method is to examine already published reports in a meta-analysis that attempts to find patterns that may not be evident from a single study. </w:t>
      </w:r>
      <w:r w:rsidR="003E60FC">
        <w:t>For</w:t>
      </w:r>
      <w:r w:rsidRPr="000E309B">
        <w:t xml:space="preserve"> example, Crook </w:t>
      </w:r>
      <w:r w:rsidR="00FC4FD9">
        <w:t>et al</w:t>
      </w:r>
      <w:r w:rsidR="005A0123">
        <w:t>.</w:t>
      </w:r>
      <w:r w:rsidR="00FC4FD9">
        <w:t xml:space="preserve"> </w:t>
      </w:r>
      <w:r w:rsidRPr="000E309B">
        <w:t>conducted a meta-analysis of 66 studies focused on the relationship between human capital and firm performance</w:t>
      </w:r>
      <w:r w:rsidR="00730F32">
        <w:t xml:space="preserve"> </w:t>
      </w:r>
      <w:r w:rsidR="00730F32">
        <w:fldChar w:fldCharType="begin"/>
      </w:r>
      <w:r w:rsidR="007C07B4">
        <w:instrText xml:space="preserve"> ADDIN ZOTERO_ITEM CSL_CITATION {"citationID":"ah5ic6n1ai","properties":{"formattedCitation":"[51]","plainCitation":"[51]","noteIndex":0},"citationItems":[{"id":29,"uris":["http://zotero.org/users/5015692/items/WPARNUGW"],"itemData":{"id":29,"type":"article-journal","container-title":"Journal of applied psychology","issue":"3","page":"443","title":"Does human capital matter? A meta-analysis of the relationship between human capital and firm performance.","volume":"96","author":[{"family":"Crook","given":"T Russell"},{"family":"Todd","given":"Samuel Y"},{"family":"Combs","given":"James G"},{"family":"Woehr","given":"David J"},{"family":"Ketchen Jr","given":"David J"}],"issued":{"date-parts":[["2011"]]}}}],"schema":"https://github.com/citation-style-language/schema/raw/master/csl-citation.json"} </w:instrText>
      </w:r>
      <w:r w:rsidR="00730F32">
        <w:fldChar w:fldCharType="separate"/>
      </w:r>
      <w:r w:rsidR="007C07B4" w:rsidRPr="007C07B4">
        <w:t>[51]</w:t>
      </w:r>
      <w:r w:rsidR="00730F32">
        <w:fldChar w:fldCharType="end"/>
      </w:r>
      <w:r w:rsidRPr="000E309B">
        <w:t>. Their goal was to determine to what extent investment in human capital (</w:t>
      </w:r>
      <w:r w:rsidR="004E4680">
        <w:t xml:space="preserve">like </w:t>
      </w:r>
      <w:r w:rsidRPr="000E309B">
        <w:t>hiring</w:t>
      </w:r>
      <w:r w:rsidR="004E4680">
        <w:t xml:space="preserve"> and training</w:t>
      </w:r>
      <w:r w:rsidRPr="000E309B">
        <w:t>) improves a firm’s performance. Performing a meta-analysis is a challenging form of research.</w:t>
      </w:r>
    </w:p>
    <w:p w14:paraId="5327D1C2" w14:textId="6217A926" w:rsidR="00A626FE" w:rsidRPr="000E309B" w:rsidRDefault="00D14B33" w:rsidP="007E2E63">
      <w:r w:rsidRPr="000E309B">
        <w:t>On</w:t>
      </w:r>
      <w:r w:rsidR="004E4680">
        <w:t xml:space="preserve"> the</w:t>
      </w:r>
      <w:r w:rsidRPr="000E309B">
        <w:t xml:space="preserve"> one hand, there is no reason to “reinvent the wheel” if a study has already been completed. On the other hand, prior studies have widely divergent goals, methods, and analys</w:t>
      </w:r>
      <w:r w:rsidR="00637DD6">
        <w:t>e</w:t>
      </w:r>
      <w:r w:rsidRPr="000E309B">
        <w:t xml:space="preserve">s that make them challenging to merge into a single outcome. In Crook’s study, the researchers found that human capital is strongly related to firm </w:t>
      </w:r>
      <w:r w:rsidR="009B2181" w:rsidRPr="000E309B">
        <w:t>performance</w:t>
      </w:r>
      <w:r w:rsidR="00637DD6">
        <w:t>. However,</w:t>
      </w:r>
      <w:r w:rsidRPr="000E309B">
        <w:t xml:space="preserve"> that relationship is influenced by the </w:t>
      </w:r>
      <w:r w:rsidR="003E60FC">
        <w:t>market's competitiveness</w:t>
      </w:r>
      <w:r w:rsidRPr="000E309B">
        <w:t xml:space="preserve"> for the type of human capital under consideration. In other words, while human capital is </w:t>
      </w:r>
      <w:r w:rsidR="00637DD6">
        <w:t>essential</w:t>
      </w:r>
      <w:r w:rsidRPr="000E309B">
        <w:t xml:space="preserve"> to a firm’s performance</w:t>
      </w:r>
      <w:r w:rsidR="006511B2">
        <w:t xml:space="preserve">, </w:t>
      </w:r>
      <w:r w:rsidR="00637DD6">
        <w:t>the cost of acquisition and development must temper importance</w:t>
      </w:r>
      <w:r w:rsidRPr="000E309B">
        <w:t xml:space="preserve">. This result would not have been easy to determine from a single study but is more apparent from a </w:t>
      </w:r>
      <w:r w:rsidR="009B2181" w:rsidRPr="000E309B">
        <w:t>metanalysis</w:t>
      </w:r>
      <w:r w:rsidRPr="000E309B">
        <w:t xml:space="preserve"> of other studies.</w:t>
      </w:r>
    </w:p>
    <w:p w14:paraId="5327D1C3" w14:textId="2DFAD413" w:rsidR="00A626FE" w:rsidRDefault="00254084" w:rsidP="0072120F">
      <w:pPr>
        <w:pStyle w:val="Heading3"/>
      </w:pPr>
      <w:bookmarkStart w:id="60" w:name="_Toc169156714"/>
      <w:r>
        <w:rPr>
          <w:noProof/>
        </w:rPr>
        <w:drawing>
          <wp:anchor distT="0" distB="0" distL="114300" distR="114300" simplePos="0" relativeHeight="251961428" behindDoc="0" locked="0" layoutInCell="1" allowOverlap="1" wp14:anchorId="0AA6AB5B" wp14:editId="78535C44">
            <wp:simplePos x="0" y="0"/>
            <wp:positionH relativeFrom="column">
              <wp:align>right</wp:align>
            </wp:positionH>
            <wp:positionV relativeFrom="paragraph">
              <wp:posOffset>0</wp:posOffset>
            </wp:positionV>
            <wp:extent cx="914400" cy="914400"/>
            <wp:effectExtent l="19050" t="19050" r="19050" b="19050"/>
            <wp:wrapSquare wrapText="bothSides"/>
            <wp:docPr id="293472428"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9D3BA7">
        <w:t xml:space="preserve">Summary of </w:t>
      </w:r>
      <w:r w:rsidR="00554757">
        <w:t>Chapter 4: Research Design</w:t>
      </w:r>
      <w:bookmarkEnd w:id="60"/>
    </w:p>
    <w:p w14:paraId="2E017F20" w14:textId="77777777" w:rsidR="002E7177" w:rsidRDefault="002E7177" w:rsidP="002E7177">
      <w:r>
        <w:t>In this chapter, we explored the fundamental concepts and considerations for designing a successful research project. We discussed the importance of self-reflection, the different types of research, the empirical nature of research topics, crafting a well-designed research question, the role of hypotheses in positivist research, and feasibility considerations.</w:t>
      </w:r>
    </w:p>
    <w:p w14:paraId="057D4261" w14:textId="77777777" w:rsidR="002E7177" w:rsidRDefault="002E7177" w:rsidP="002E7177">
      <w:r>
        <w:t>Here are the primary concepts covered in this chapter:</w:t>
      </w:r>
    </w:p>
    <w:p w14:paraId="048C6D3A" w14:textId="1572A006" w:rsidR="002E7177" w:rsidRDefault="002E7177" w:rsidP="002E7177">
      <w:pPr>
        <w:pStyle w:val="ListParagraph"/>
        <w:numPr>
          <w:ilvl w:val="0"/>
          <w:numId w:val="264"/>
        </w:numPr>
      </w:pPr>
      <w:r>
        <w:t>Reflecting on existing beliefs, biases, and sources of knowledge before starting a research project</w:t>
      </w:r>
      <w:r w:rsidR="00313F79">
        <w:t>.</w:t>
      </w:r>
    </w:p>
    <w:p w14:paraId="1A4703FE" w14:textId="6971C1D2" w:rsidR="002E7177" w:rsidRDefault="002E7177" w:rsidP="002E7177">
      <w:pPr>
        <w:pStyle w:val="ListParagraph"/>
        <w:numPr>
          <w:ilvl w:val="0"/>
          <w:numId w:val="264"/>
        </w:numPr>
      </w:pPr>
      <w:r>
        <w:t>Differentiating between exploratory, descriptive, and explanatory research</w:t>
      </w:r>
      <w:r w:rsidR="00313F79">
        <w:t>.</w:t>
      </w:r>
    </w:p>
    <w:p w14:paraId="3170EA69" w14:textId="4C25859B" w:rsidR="002E7177" w:rsidRDefault="002E7177" w:rsidP="002E7177">
      <w:pPr>
        <w:pStyle w:val="ListParagraph"/>
        <w:numPr>
          <w:ilvl w:val="0"/>
          <w:numId w:val="264"/>
        </w:numPr>
      </w:pPr>
      <w:r>
        <w:t>Evaluating the empirical nature of a research topic</w:t>
      </w:r>
      <w:r w:rsidR="00313F79">
        <w:t>.</w:t>
      </w:r>
    </w:p>
    <w:p w14:paraId="53DD8E64" w14:textId="56836FDC" w:rsidR="002E7177" w:rsidRDefault="002E7177" w:rsidP="002E7177">
      <w:pPr>
        <w:pStyle w:val="ListParagraph"/>
        <w:numPr>
          <w:ilvl w:val="0"/>
          <w:numId w:val="264"/>
        </w:numPr>
      </w:pPr>
      <w:r>
        <w:t>Crafting a well-designed research question that is focused, open-ended, and allows for multiple plausible answers</w:t>
      </w:r>
      <w:r w:rsidR="00313F79">
        <w:t>.</w:t>
      </w:r>
    </w:p>
    <w:p w14:paraId="75AC80C5" w14:textId="0B6741FD" w:rsidR="002E7177" w:rsidRDefault="002E7177" w:rsidP="002E7177">
      <w:pPr>
        <w:pStyle w:val="ListParagraph"/>
        <w:numPr>
          <w:ilvl w:val="0"/>
          <w:numId w:val="264"/>
        </w:numPr>
      </w:pPr>
      <w:r>
        <w:t>Understanding the role of hypotheses in positivist research as testable statements derived from theory</w:t>
      </w:r>
      <w:r w:rsidR="00313F79">
        <w:t>.</w:t>
      </w:r>
    </w:p>
    <w:p w14:paraId="75D4FBBA" w14:textId="135B2C14" w:rsidR="002E7177" w:rsidRDefault="002E7177" w:rsidP="002E7177">
      <w:pPr>
        <w:pStyle w:val="ListParagraph"/>
        <w:numPr>
          <w:ilvl w:val="0"/>
          <w:numId w:val="264"/>
        </w:numPr>
      </w:pPr>
      <w:r>
        <w:t>Considering feasibility issues such as access to populations, time constraints, and available funding</w:t>
      </w:r>
      <w:r w:rsidR="00313F79">
        <w:t>.</w:t>
      </w:r>
    </w:p>
    <w:p w14:paraId="06C9F9A6" w14:textId="77777777" w:rsidR="002E7177" w:rsidRDefault="002E7177" w:rsidP="002E7177">
      <w:r>
        <w:lastRenderedPageBreak/>
        <w:t>By understanding and applying these concepts, you will be better equipped to design a research project that is not only theoretically sound but also practically achievable. A well-crafted research question, grounded in empirical investigation and supported by testable hypotheses, forms the foundation of a successful research endeavor.</w:t>
      </w:r>
    </w:p>
    <w:p w14:paraId="418E8F0A" w14:textId="3138CCE2" w:rsidR="002E7177" w:rsidRDefault="002E7177" w:rsidP="002E7177">
      <w:r>
        <w:t>I encourage you to continue exploring these concepts beyond this class, as they will serve you well in your future academic and professional pursuits. Embrace the iterative nature of the research process and remain open to refining your questions and approaches as new insights and challenges emerge.</w:t>
      </w:r>
    </w:p>
    <w:p w14:paraId="433D3633" w14:textId="791B1A7D" w:rsidR="00DF6737" w:rsidRDefault="002E7177" w:rsidP="002E7177">
      <w:r>
        <w:t>Remember, designing a research project is a journey of discovery, and the skills you develop in this process will be invaluable throughout your career. I look forward to seeing the exciting and impactful research projects you will create as you apply the principles covered in this chapter.</w:t>
      </w:r>
    </w:p>
    <w:p w14:paraId="7EC6DB09" w14:textId="136FCDF7" w:rsidR="000035A7" w:rsidRDefault="000035A7" w:rsidP="000E309B">
      <w:pPr>
        <w:spacing w:line="360" w:lineRule="auto"/>
        <w:sectPr w:rsidR="000035A7" w:rsidSect="00FD08D0">
          <w:headerReference w:type="default" r:id="rId145"/>
          <w:pgSz w:w="12240" w:h="15840"/>
          <w:pgMar w:top="1440" w:right="1440" w:bottom="1440" w:left="1440" w:header="720" w:footer="720" w:gutter="0"/>
          <w:cols w:space="720"/>
          <w:docGrid w:linePitch="299"/>
        </w:sectPr>
      </w:pPr>
    </w:p>
    <w:p w14:paraId="5327D1CE" w14:textId="76F499DC" w:rsidR="00A626FE" w:rsidRPr="000E309B" w:rsidRDefault="000B3E6E" w:rsidP="000B3E6E">
      <w:pPr>
        <w:pStyle w:val="Heading1"/>
      </w:pPr>
      <w:bookmarkStart w:id="61" w:name="_Toc169156715"/>
      <w:r>
        <w:lastRenderedPageBreak/>
        <w:t>Quantitative Methods</w:t>
      </w:r>
      <w:bookmarkEnd w:id="61"/>
    </w:p>
    <w:p w14:paraId="24C28083" w14:textId="3CF3E04C" w:rsidR="00DF6737" w:rsidRDefault="00D14B33" w:rsidP="00F52DA7">
      <w:pPr>
        <w:sectPr w:rsidR="00DF6737" w:rsidSect="00FD08D0">
          <w:pgSz w:w="12240" w:h="15840"/>
          <w:pgMar w:top="1440" w:right="1440" w:bottom="1440" w:left="1440" w:header="720" w:footer="720" w:gutter="0"/>
          <w:cols w:space="720"/>
          <w:vAlign w:val="center"/>
          <w:titlePg/>
          <w:docGrid w:linePitch="299"/>
        </w:sectPr>
      </w:pPr>
      <w:r w:rsidRPr="000E309B">
        <w:t xml:space="preserve">Quantitative methods are based </w:t>
      </w:r>
      <w:r w:rsidR="006511B2">
        <w:t>o</w:t>
      </w:r>
      <w:r w:rsidRPr="000E309B">
        <w:t>n the measurement of concepts and the statistical analysis of those measures. Quantitative methods include activities like sampling, surveys, and experimental research.</w:t>
      </w:r>
    </w:p>
    <w:p w14:paraId="5327D1D4" w14:textId="53535187" w:rsidR="00A626FE" w:rsidRPr="000E309B" w:rsidRDefault="0050001F" w:rsidP="005D7EB8">
      <w:pPr>
        <w:pStyle w:val="Heading2"/>
      </w:pPr>
      <w:bookmarkStart w:id="62" w:name="_Toc169156716"/>
      <w:r>
        <w:lastRenderedPageBreak/>
        <w:t xml:space="preserve">5: </w:t>
      </w:r>
      <w:r w:rsidR="00AE14DD" w:rsidRPr="000E309B">
        <w:t xml:space="preserve">Defining </w:t>
      </w:r>
      <w:r w:rsidR="005F77A9">
        <w:t>a</w:t>
      </w:r>
      <w:r w:rsidR="005F77A9" w:rsidRPr="000E309B">
        <w:t>nd Measuring Concepts</w:t>
      </w:r>
      <w:bookmarkEnd w:id="62"/>
    </w:p>
    <w:p w14:paraId="5327D1D5" w14:textId="39F59C70" w:rsidR="00A626FE" w:rsidRPr="000E309B" w:rsidRDefault="00D77DCD" w:rsidP="00AE477B">
      <w:pPr>
        <w:pStyle w:val="Heading3"/>
      </w:pPr>
      <w:bookmarkStart w:id="63" w:name="_Toc169156717"/>
      <w:r>
        <w:rPr>
          <w:noProof/>
        </w:rPr>
        <w:drawing>
          <wp:anchor distT="0" distB="0" distL="114300" distR="114300" simplePos="0" relativeHeight="251658275" behindDoc="0" locked="0" layoutInCell="1" allowOverlap="1" wp14:anchorId="316AC54E" wp14:editId="0F2BE69D">
            <wp:simplePos x="0" y="0"/>
            <wp:positionH relativeFrom="column">
              <wp:align>right</wp:align>
            </wp:positionH>
            <wp:positionV relativeFrom="paragraph">
              <wp:posOffset>0</wp:posOffset>
            </wp:positionV>
            <wp:extent cx="1828800" cy="1828800"/>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margin">
              <wp14:pctWidth>0</wp14:pctWidth>
            </wp14:sizeRelH>
            <wp14:sizeRelV relativeFrom="margin">
              <wp14:pctHeight>0</wp14:pctHeight>
            </wp14:sizeRelV>
          </wp:anchor>
        </w:drawing>
      </w:r>
      <w:r w:rsidR="005D7EB8">
        <w:t>M</w:t>
      </w:r>
      <w:r w:rsidR="00D14B33" w:rsidRPr="000E309B">
        <w:t>easurement</w:t>
      </w:r>
      <w:bookmarkEnd w:id="63"/>
    </w:p>
    <w:p w14:paraId="0637E53B" w14:textId="77777777" w:rsidR="00860D0E" w:rsidRDefault="00860D0E" w:rsidP="009B455F">
      <w:r w:rsidRPr="00860D0E">
        <w:t>Imagine trying to bake a cake without measuring the ingredients. Odds are, you'd end up with a disastrous dessert rather than a sweet treat. In the same way, measurement is essential for researchers to obtain meaningful results. At its core, measurement is the process of precisely defining and quantifying the key concepts, variables, and phenomena in a research project. While research measurement is more complex than using a measuring cup, there are some fundamental principles most researchers follow.</w:t>
      </w:r>
    </w:p>
    <w:p w14:paraId="1AE47A7D" w14:textId="15E31D20" w:rsidR="00313F79" w:rsidRDefault="00E0031F" w:rsidP="00241F46">
      <w:pPr>
        <w:pStyle w:val="IntenseQuote"/>
      </w:pPr>
      <w:r>
        <w:rPr>
          <w:noProof/>
        </w:rPr>
        <w:drawing>
          <wp:anchor distT="0" distB="0" distL="114300" distR="114300" simplePos="0" relativeHeight="251931732" behindDoc="0" locked="0" layoutInCell="1" allowOverlap="1" wp14:anchorId="44E1015B" wp14:editId="4A2393F4">
            <wp:simplePos x="0" y="0"/>
            <wp:positionH relativeFrom="column">
              <wp:align>right</wp:align>
            </wp:positionH>
            <wp:positionV relativeFrom="paragraph">
              <wp:posOffset>0</wp:posOffset>
            </wp:positionV>
            <wp:extent cx="914400" cy="914400"/>
            <wp:effectExtent l="19050" t="19050" r="19050" b="19050"/>
            <wp:wrapSquare wrapText="bothSides"/>
            <wp:docPr id="452474061"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313F79">
        <w:t>Objectives</w:t>
      </w:r>
    </w:p>
    <w:p w14:paraId="72AADCF0" w14:textId="4585CEAC" w:rsidR="006C1C24" w:rsidRDefault="006C1C24" w:rsidP="00241F46">
      <w:pPr>
        <w:pStyle w:val="Quote"/>
        <w:numPr>
          <w:ilvl w:val="0"/>
          <w:numId w:val="265"/>
        </w:numPr>
      </w:pPr>
      <w:r>
        <w:t>Define and explain the concept of measurement in the context of research, distinguishing between direct observables, indirect observables, and constructs, and provide examples of each to demonstrate understanding.</w:t>
      </w:r>
    </w:p>
    <w:p w14:paraId="1FEAD29C" w14:textId="39566A7C" w:rsidR="006C1C24" w:rsidRDefault="006C1C24" w:rsidP="00241F46">
      <w:pPr>
        <w:pStyle w:val="Quote"/>
        <w:numPr>
          <w:ilvl w:val="0"/>
          <w:numId w:val="265"/>
        </w:numPr>
      </w:pPr>
      <w:r>
        <w:t>Describe the process of measurement in research, including the key steps of conceptualization, operationalization, data collection, data analysis, and reporting, and explain how these steps are interconnected and iterative to ensure the quality and meaningfulness of research findings.</w:t>
      </w:r>
    </w:p>
    <w:p w14:paraId="0E9E620C" w14:textId="433FF442" w:rsidR="006C1C24" w:rsidRDefault="006C1C24" w:rsidP="00241F46">
      <w:pPr>
        <w:pStyle w:val="Quote"/>
        <w:numPr>
          <w:ilvl w:val="0"/>
          <w:numId w:val="265"/>
        </w:numPr>
      </w:pPr>
      <w:r>
        <w:t>Differentiate between qualitative and quantitative data types and explain how the choice of data type affects the measurement strategy and the appropriate statistical analyses to be used in a research project.</w:t>
      </w:r>
    </w:p>
    <w:p w14:paraId="6D2422C0" w14:textId="078A6052" w:rsidR="006C1C24" w:rsidRDefault="006C1C24" w:rsidP="00241F46">
      <w:pPr>
        <w:pStyle w:val="Quote"/>
        <w:numPr>
          <w:ilvl w:val="0"/>
          <w:numId w:val="265"/>
        </w:numPr>
      </w:pPr>
      <w:r>
        <w:t>Define and distinguish between the concepts of conceptualization and operationalization, and explain their roles in the measurement process, providing examples of how constructs are conceptually defined and operationally measured in research.</w:t>
      </w:r>
    </w:p>
    <w:p w14:paraId="1E560907" w14:textId="629DE32F" w:rsidR="006C1C24" w:rsidRDefault="006C1C24" w:rsidP="00241F46">
      <w:pPr>
        <w:pStyle w:val="Quote"/>
        <w:numPr>
          <w:ilvl w:val="0"/>
          <w:numId w:val="265"/>
        </w:numPr>
      </w:pPr>
      <w:r>
        <w:t>Identify and define the different types of variables used in research, including independent, dependent, mediating, moderating, control, and confounding variables, and explain their roles in research design and analysis.</w:t>
      </w:r>
    </w:p>
    <w:p w14:paraId="65A50CF6" w14:textId="5E216128" w:rsidR="006C1C24" w:rsidRDefault="006C1C24" w:rsidP="00241F46">
      <w:pPr>
        <w:pStyle w:val="Quote"/>
        <w:numPr>
          <w:ilvl w:val="0"/>
          <w:numId w:val="265"/>
        </w:numPr>
      </w:pPr>
      <w:r>
        <w:t>Define and differentiate between the concepts of reliability and validity in the context of research measurement and explain their importance in ensuring the quality and trustworthiness of research findings.</w:t>
      </w:r>
    </w:p>
    <w:p w14:paraId="07EF14C9" w14:textId="419928A1" w:rsidR="006C1C24" w:rsidRDefault="006C1C24" w:rsidP="00241F46">
      <w:pPr>
        <w:pStyle w:val="Quote"/>
        <w:numPr>
          <w:ilvl w:val="0"/>
          <w:numId w:val="265"/>
        </w:numPr>
      </w:pPr>
      <w:r>
        <w:lastRenderedPageBreak/>
        <w:t>Describe the different types of reliability, including test-retest, inter-rater, split-half, and internal consistency reliability, and explain how each type is assessed and interpreted in research.</w:t>
      </w:r>
    </w:p>
    <w:p w14:paraId="79FD0735" w14:textId="2BB86DF3" w:rsidR="006C1C24" w:rsidRDefault="006C1C24" w:rsidP="00241F46">
      <w:pPr>
        <w:pStyle w:val="Quote"/>
        <w:numPr>
          <w:ilvl w:val="0"/>
          <w:numId w:val="265"/>
        </w:numPr>
      </w:pPr>
      <w:r>
        <w:t>Explain the different types of validity, including face, content, criterion, construct, and hypothesis validity, and describe how each type is established and evaluated in research.</w:t>
      </w:r>
    </w:p>
    <w:p w14:paraId="7B0A7230" w14:textId="5D5EC55D" w:rsidR="006C1C24" w:rsidRDefault="006C1C24" w:rsidP="00241F46">
      <w:pPr>
        <w:pStyle w:val="Quote"/>
        <w:numPr>
          <w:ilvl w:val="0"/>
          <w:numId w:val="265"/>
        </w:numPr>
      </w:pPr>
      <w:r>
        <w:t>Analyze the relationship between reliability and validity, using the dart board analogy to illustrate how measures can be reliable without being valid, and explain the importance of achieving both reliability and validity in research measurement.</w:t>
      </w:r>
    </w:p>
    <w:p w14:paraId="2424F78F" w14:textId="59C20417" w:rsidR="00876C2D" w:rsidRPr="000E309B" w:rsidRDefault="006C1C24" w:rsidP="00241F46">
      <w:pPr>
        <w:pStyle w:val="Quote"/>
        <w:numPr>
          <w:ilvl w:val="0"/>
          <w:numId w:val="265"/>
        </w:numPr>
      </w:pPr>
      <w:r>
        <w:t>Evaluate the challenges and trade-offs involved in achieving reliable and valid measurement of complex constructs, such as intelligence or job satisfaction, and discuss strategies for improving measurement quality in research, such as using multiple indicators, pilot testing, and triangulation.</w:t>
      </w:r>
    </w:p>
    <w:p w14:paraId="5327D1DE" w14:textId="2CA63906" w:rsidR="00A626FE" w:rsidRPr="000E309B" w:rsidRDefault="00D14B33" w:rsidP="00234FFB">
      <w:pPr>
        <w:pStyle w:val="Heading4"/>
      </w:pPr>
      <w:r w:rsidRPr="000E309B">
        <w:t>What Do Researchers Measure?</w:t>
      </w:r>
    </w:p>
    <w:p w14:paraId="5327D1E3" w14:textId="50AC667B" w:rsidR="00A626FE" w:rsidRDefault="004B304C" w:rsidP="00420E1B">
      <w:r>
        <w:rPr>
          <w:noProof/>
        </w:rPr>
        <w:drawing>
          <wp:anchor distT="0" distB="0" distL="114300" distR="114300" simplePos="0" relativeHeight="251817044" behindDoc="0" locked="0" layoutInCell="1" allowOverlap="1" wp14:anchorId="3A9D1B4E" wp14:editId="1385298A">
            <wp:simplePos x="0" y="0"/>
            <wp:positionH relativeFrom="column">
              <wp:posOffset>791210</wp:posOffset>
            </wp:positionH>
            <wp:positionV relativeFrom="paragraph">
              <wp:posOffset>834415</wp:posOffset>
            </wp:positionV>
            <wp:extent cx="4361180" cy="2541905"/>
            <wp:effectExtent l="0" t="38100" r="0" b="48895"/>
            <wp:wrapTopAndBottom/>
            <wp:docPr id="258024" name="Diagram 2580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14:sizeRelH relativeFrom="margin">
              <wp14:pctWidth>0</wp14:pctWidth>
            </wp14:sizeRelH>
            <wp14:sizeRelV relativeFrom="margin">
              <wp14:pctHeight>0</wp14:pctHeight>
            </wp14:sizeRelV>
          </wp:anchor>
        </w:drawing>
      </w:r>
      <w:r w:rsidR="00695AE6" w:rsidRPr="00695AE6">
        <w:t xml:space="preserve">The short answer </w:t>
      </w:r>
      <w:r w:rsidR="00CE7F9D" w:rsidRPr="00695AE6">
        <w:t>is</w:t>
      </w:r>
      <w:r w:rsidR="00695AE6" w:rsidRPr="00695AE6">
        <w:t xml:space="preserve"> researchers measure what they study. Business researchers investigate a wide range of topics, from corporate culture</w:t>
      </w:r>
      <w:r w:rsidR="00730F32">
        <w:t xml:space="preserve"> </w:t>
      </w:r>
      <w:r w:rsidR="00730F32">
        <w:fldChar w:fldCharType="begin"/>
      </w:r>
      <w:r w:rsidR="007C07B4">
        <w:instrText xml:space="preserve"> ADDIN ZOTERO_ITEM CSL_CITATION {"citationID":"a272mnkautr","properties":{"formattedCitation":"[52]","plainCitation":"[52]","noteIndex":0},"citationItems":[{"id":10,"uris":["http://zotero.org/users/5015692/items/BCBEJ89Y"],"itemData":{"id":10,"type":"book","publisher":"John Wiley &amp; Sons","title":"Corporate culture and organizational effectiveness.","author":[{"family":"Denison","given":"Daniel R"}],"issued":{"date-parts":[["1990"]]}}}],"schema":"https://github.com/citation-style-language/schema/raw/master/csl-citation.json"} </w:instrText>
      </w:r>
      <w:r w:rsidR="00730F32">
        <w:fldChar w:fldCharType="separate"/>
      </w:r>
      <w:r w:rsidR="007C07B4" w:rsidRPr="007C07B4">
        <w:t>[52]</w:t>
      </w:r>
      <w:r w:rsidR="00730F32">
        <w:fldChar w:fldCharType="end"/>
      </w:r>
      <w:r w:rsidR="00695AE6" w:rsidRPr="00695AE6">
        <w:t xml:space="preserve"> and employee turnover</w:t>
      </w:r>
      <w:r w:rsidR="00DC052E">
        <w:t xml:space="preserve"> </w:t>
      </w:r>
      <w:r w:rsidR="00F87437">
        <w:fldChar w:fldCharType="begin"/>
      </w:r>
      <w:r w:rsidR="007C07B4">
        <w:instrText xml:space="preserve"> ADDIN ZOTERO_ITEM CSL_CITATION {"citationID":"a2ejq9ettod","properties":{"formattedCitation":"[53]","plainCitation":"[53]","noteIndex":0},"citationItems":[{"id":7,"uris":["http://zotero.org/users/5015692/items/EAFJ9LH5"],"itemData":{"id":7,"type":"book","publisher":"South-Western Pub","title":"Employee turnover","author":[{"family":"Hom","given":"Peter W"},{"family":"Griffeth","given":"Rodger W"}],"issued":{"date-parts":[["1995"]]}}}],"schema":"https://github.com/citation-style-language/schema/raw/master/csl-citation.json"} </w:instrText>
      </w:r>
      <w:r w:rsidR="00F87437">
        <w:fldChar w:fldCharType="separate"/>
      </w:r>
      <w:r w:rsidR="007C07B4" w:rsidRPr="007C07B4">
        <w:t>[53]</w:t>
      </w:r>
      <w:r w:rsidR="00F87437">
        <w:fldChar w:fldCharType="end"/>
      </w:r>
      <w:r w:rsidR="00695AE6" w:rsidRPr="00695AE6">
        <w:t xml:space="preserve"> to the price elasticity of gasoline</w:t>
      </w:r>
      <w:r w:rsidR="00F25FA1">
        <w:t xml:space="preserve"> </w:t>
      </w:r>
      <w:r w:rsidR="00F25FA1">
        <w:fldChar w:fldCharType="begin"/>
      </w:r>
      <w:r w:rsidR="007C07B4">
        <w:instrText xml:space="preserve"> ADDIN ZOTERO_ITEM CSL_CITATION {"citationID":"ae3fvhktpa","properties":{"formattedCitation":"[54]","plainCitation":"[54]","noteIndex":0},"citationItems":[{"id":2,"uris":["http://zotero.org/users/5015692/items/JMWBG4UF"],"itemData":{"id":2,"type":"report","publisher":"National Bureau of Economic Research","title":"Evidence of a shift in the short-run price elasticity of gasoline demand","author":[{"family":"Hughes","given":"Jonathan E"},{"family":"Knittel","given":"Christopher R"},{"family":"Sperling","given":"Daniel"}],"issued":{"date-parts":[["2006"]]}}}],"schema":"https://github.com/citation-style-language/schema/raw/master/csl-citation.json"} </w:instrText>
      </w:r>
      <w:r w:rsidR="00F25FA1">
        <w:fldChar w:fldCharType="separate"/>
      </w:r>
      <w:r w:rsidR="007C07B4" w:rsidRPr="007C07B4">
        <w:t>[54]</w:t>
      </w:r>
      <w:r w:rsidR="00F25FA1">
        <w:fldChar w:fldCharType="end"/>
      </w:r>
      <w:r w:rsidR="00695AE6" w:rsidRPr="00695AE6">
        <w:t xml:space="preserve"> and "lemon" automobiles</w:t>
      </w:r>
      <w:r w:rsidR="00F25FA1">
        <w:t xml:space="preserve"> </w:t>
      </w:r>
      <w:r w:rsidR="00F25FA1">
        <w:fldChar w:fldCharType="begin"/>
      </w:r>
      <w:r w:rsidR="007C07B4">
        <w:instrText xml:space="preserve"> ADDIN ZOTERO_ITEM CSL_CITATION {"citationID":"a2k3umkohhc","properties":{"formattedCitation":"[55]","plainCitation":"[55]","noteIndex":0},"citationItems":[{"id":11,"uris":["http://zotero.org/users/5015692/items/UYAARADV"],"itemData":{"id":11,"type":"chapter","container-title":"Uncertainty in Economics","page":"235–251","publisher":"Elsevier","title":"The market for “lemons”: Quality uncertainty and the market mechanism","author":[{"family":"Akerlof","given":"George A"}],"issued":{"date-parts":[["1978"]]}}}],"schema":"https://github.com/citation-style-language/schema/raw/master/csl-citation.json"} </w:instrText>
      </w:r>
      <w:r w:rsidR="00F25FA1">
        <w:fldChar w:fldCharType="separate"/>
      </w:r>
      <w:r w:rsidR="007C07B4" w:rsidRPr="007C07B4">
        <w:t>[55]</w:t>
      </w:r>
      <w:r w:rsidR="00F25FA1">
        <w:fldChar w:fldCharType="end"/>
      </w:r>
      <w:r w:rsidR="00695AE6" w:rsidRPr="00695AE6">
        <w:t>. Each of these studies required measuring relevant variables in a systematic way.</w:t>
      </w:r>
    </w:p>
    <w:p w14:paraId="3F070AB0" w14:textId="475CA383" w:rsidR="00676D8C" w:rsidRDefault="00676D8C" w:rsidP="00676D8C">
      <w:r>
        <w:t>In his classic methodology text, The Conduct of Inquiry, philosopher Abraham Kaplan</w:t>
      </w:r>
      <w:r w:rsidR="00F72637">
        <w:t xml:space="preserve"> </w:t>
      </w:r>
      <w:r>
        <w:t xml:space="preserve"> described different categories of things behavioral scientists observe and measure</w:t>
      </w:r>
      <w:r w:rsidR="00084F84">
        <w:t xml:space="preserve"> </w:t>
      </w:r>
      <w:r w:rsidR="00084F84">
        <w:fldChar w:fldCharType="begin"/>
      </w:r>
      <w:r w:rsidR="007C07B4">
        <w:instrText xml:space="preserve"> ADDIN ZOTERO_ITEM CSL_CITATION {"citationID":"acofp2mh20","properties":{"formattedCitation":"[56]","plainCitation":"[56]","noteIndex":0},"citationItems":[{"id":5,"uris":["http://zotero.org/users/5015692/items/7DK8YLVV"],"itemData":{"id":5,"type":"book","publisher":"Routledge","title":"The conduct of inquiry: Methodology for behavioural science","author":[{"family":"Kaplan","given":"Abraham"}],"issued":{"date-parts":[["2017"]]}}}],"schema":"https://github.com/citation-style-language/schema/raw/master/csl-citation.json"} </w:instrText>
      </w:r>
      <w:r w:rsidR="00084F84">
        <w:fldChar w:fldCharType="separate"/>
      </w:r>
      <w:r w:rsidR="007C07B4" w:rsidRPr="007C07B4">
        <w:t>[56]</w:t>
      </w:r>
      <w:r w:rsidR="00084F84">
        <w:fldChar w:fldCharType="end"/>
      </w:r>
      <w:r>
        <w:t>:</w:t>
      </w:r>
    </w:p>
    <w:p w14:paraId="0C31E9B7" w14:textId="77777777" w:rsidR="00676D8C" w:rsidRDefault="00676D8C" w:rsidP="005E67C1">
      <w:pPr>
        <w:pStyle w:val="ListParagraph"/>
        <w:numPr>
          <w:ilvl w:val="0"/>
          <w:numId w:val="214"/>
        </w:numPr>
      </w:pPr>
      <w:r>
        <w:t>Observational terms refer to characteristics that can be directly observed and easily verified, such as the condition of playground equipment in different neighborhoods.</w:t>
      </w:r>
    </w:p>
    <w:p w14:paraId="33DDF6C9" w14:textId="77777777" w:rsidR="00676D8C" w:rsidRDefault="00676D8C" w:rsidP="005E67C1">
      <w:pPr>
        <w:pStyle w:val="ListParagraph"/>
        <w:numPr>
          <w:ilvl w:val="0"/>
          <w:numId w:val="214"/>
        </w:numPr>
      </w:pPr>
      <w:r>
        <w:lastRenderedPageBreak/>
        <w:t>Indirect observables are variables that require more inference to measure, based on presumed connections to observable data. For example, a person's income or birthplace could be indirectly observed by asking them in a survey or interview.</w:t>
      </w:r>
    </w:p>
    <w:p w14:paraId="79B527AA" w14:textId="06549603" w:rsidR="00676D8C" w:rsidRDefault="00676D8C" w:rsidP="005E67C1">
      <w:pPr>
        <w:pStyle w:val="ListParagraph"/>
        <w:numPr>
          <w:ilvl w:val="0"/>
          <w:numId w:val="214"/>
        </w:numPr>
      </w:pPr>
      <w:r>
        <w:t>Constructs</w:t>
      </w:r>
      <w:r w:rsidR="00134EAC">
        <w:t xml:space="preserve"> </w:t>
      </w:r>
      <w:r w:rsidR="00134EAC" w:rsidRPr="000E309B">
        <w:t>(pronounced “CON-structs”)</w:t>
      </w:r>
      <w:r>
        <w:t xml:space="preserve"> are abstract concepts that cannot be directly </w:t>
      </w:r>
      <w:r w:rsidR="00D87038">
        <w:t>observed but</w:t>
      </w:r>
      <w:r>
        <w:t xml:space="preserve"> are inferred based on related observable variables. A construct is a cluster of behaviors or attributes that tend to occur together. For example, anxiety is a construct indicated by observable behaviors like fidgeting or nail biting. Other examples of constructs that would be difficult to measure directly include ethnocentrism (how a person judges other cultures) and bureaucracy.</w:t>
      </w:r>
    </w:p>
    <w:p w14:paraId="12061BB0" w14:textId="77777777" w:rsidR="00676D8C" w:rsidRDefault="00676D8C" w:rsidP="00676D8C">
      <w:r>
        <w:t>While constructs represent ideas researchers want to investigate, the actual measurement focuses on observable variables that tap into those underlying constructs. Suppose a researcher wants to study ethnocentrism. Since it is an abstract construct, the researcher must find measurable variables that serve as indicators of ethnocentrism, such as attitudes toward other cultural practices or degree of cross-cultural contact. By precisely defining constructs and determining observable variables, researchers make intangible concepts measurable.</w:t>
      </w:r>
    </w:p>
    <w:p w14:paraId="0676D000" w14:textId="5ED56DA0" w:rsidR="00676D8C" w:rsidRPr="000E309B" w:rsidRDefault="00676D8C" w:rsidP="00676D8C">
      <w:r>
        <w:t>To further illustrate, consider the construct of intelligence. We can't see intelligence itself, but we can observe behaviors and outcomes thought to represent intelligence, such as problem-solving ability, quick learning, and strong academic performance. Researchers could operationalize the construct of intelligence by measuring variables like IQ scores, grades, and performance on cognitive tasks. Multiple measurable variables are often used to adequately capture complex constructs.</w:t>
      </w:r>
    </w:p>
    <w:p w14:paraId="5327D1E6" w14:textId="3E8F3401" w:rsidR="00A626FE" w:rsidRDefault="00D14B33" w:rsidP="005E67C1">
      <w:r w:rsidRPr="000E309B">
        <w:t xml:space="preserve">In both cases, ethnocentrism and </w:t>
      </w:r>
      <w:r w:rsidR="008B6533">
        <w:t>intelligence</w:t>
      </w:r>
      <w:r w:rsidRPr="000E309B">
        <w:t xml:space="preserve">, the </w:t>
      </w:r>
      <w:r w:rsidR="00BF1E1D">
        <w:t>constructs</w:t>
      </w:r>
      <w:r w:rsidRPr="000E309B">
        <w:t xml:space="preserve"> represent ideas whose meaning is known</w:t>
      </w:r>
      <w:r w:rsidR="00197AF5">
        <w:t>, but the concept's measuremen</w:t>
      </w:r>
      <w:r w:rsidRPr="000E309B">
        <w:t>t may be nearly impossible. Constructs are a cluster of behaviors that are often seen together. As an example, anxiety could be considered a construct that includes behaviors like fidgeting and fingernail biting. Constructs are “not observational either directly or indirectly</w:t>
      </w:r>
      <w:r w:rsidR="00197AF5">
        <w:t>,</w:t>
      </w:r>
      <w:r w:rsidRPr="000E309B">
        <w:t>” but they can be defined based on other observable factors, called variables.</w:t>
      </w:r>
    </w:p>
    <w:p w14:paraId="49388DF5" w14:textId="77777777" w:rsidR="005F2E1A" w:rsidRDefault="005F2E1A" w:rsidP="005F2E1A">
      <w:pPr>
        <w:pStyle w:val="Heading4"/>
      </w:pPr>
      <w:r w:rsidRPr="000E309B">
        <w:t>How Do Researchers Measure?</w:t>
      </w:r>
    </w:p>
    <w:p w14:paraId="2BBDF4A7" w14:textId="77777777" w:rsidR="00C616C3" w:rsidRDefault="00C616C3" w:rsidP="00C616C3">
      <w:r>
        <w:t>Measurement is an ongoing process that occurs at various stages throughout a research project, from planning and data collection to analysis and reporting. Let's walk through an example to illustrate this process.</w:t>
      </w:r>
    </w:p>
    <w:p w14:paraId="369F5597" w14:textId="77777777" w:rsidR="00C616C3" w:rsidRDefault="00C616C3" w:rsidP="00C616C3">
      <w:r>
        <w:t>Suppose a researcher wants to investigate the question: How do new college students cope with the adjustment to college?</w:t>
      </w:r>
    </w:p>
    <w:p w14:paraId="2C0441B3" w14:textId="77777777" w:rsidR="00C616C3" w:rsidRDefault="00C616C3" w:rsidP="005A4CC5">
      <w:pPr>
        <w:pStyle w:val="ListParagraph"/>
        <w:numPr>
          <w:ilvl w:val="0"/>
          <w:numId w:val="215"/>
        </w:numPr>
      </w:pPr>
      <w:r w:rsidRPr="00AE547E">
        <w:rPr>
          <w:b/>
          <w:bCs/>
        </w:rPr>
        <w:t>Conceptualization</w:t>
      </w:r>
      <w:r>
        <w:t>: The first step is to clearly define the central concept - in this case, "coping." The researcher must specify what they mean by coping in the context of adjusting to college. Is it about managing stress? Forming new social connections? Adapting to new academic demands? A clear conceptual definition guides the rest of the measurement process.</w:t>
      </w:r>
    </w:p>
    <w:p w14:paraId="0A8B4854" w14:textId="77777777" w:rsidR="00C616C3" w:rsidRDefault="00C616C3" w:rsidP="005A4CC5">
      <w:pPr>
        <w:pStyle w:val="ListParagraph"/>
        <w:numPr>
          <w:ilvl w:val="0"/>
          <w:numId w:val="215"/>
        </w:numPr>
      </w:pPr>
      <w:r w:rsidRPr="00AE547E">
        <w:rPr>
          <w:b/>
          <w:bCs/>
        </w:rPr>
        <w:lastRenderedPageBreak/>
        <w:t>Operationalization</w:t>
      </w:r>
      <w:r>
        <w:t>: Next, the researcher decides how to translate the conceptual definition of coping into observable, measurable variables. For instance, they might operationalize coping as scores on a stress management scale, frequency of social interactions, or GPA in the first semester. The key is choosing indicators that validly represent the underlying concept.</w:t>
      </w:r>
    </w:p>
    <w:p w14:paraId="09DE1661" w14:textId="77777777" w:rsidR="00C616C3" w:rsidRDefault="00C616C3" w:rsidP="005A4CC5">
      <w:pPr>
        <w:pStyle w:val="ListParagraph"/>
        <w:numPr>
          <w:ilvl w:val="0"/>
          <w:numId w:val="215"/>
        </w:numPr>
      </w:pPr>
      <w:r w:rsidRPr="00AE547E">
        <w:rPr>
          <w:b/>
          <w:bCs/>
        </w:rPr>
        <w:t>Data Collection</w:t>
      </w:r>
      <w:r>
        <w:t>: With the measures defined, the researcher selects a method to gather data. They might use surveys, interviews, observation, or a combination of approaches. The data collection instruments and procedures must be designed to accurately capture the chosen measures.</w:t>
      </w:r>
    </w:p>
    <w:p w14:paraId="1C256C17" w14:textId="77777777" w:rsidR="00C616C3" w:rsidRDefault="00C616C3" w:rsidP="005A4CC5">
      <w:pPr>
        <w:pStyle w:val="ListParagraph"/>
        <w:numPr>
          <w:ilvl w:val="0"/>
          <w:numId w:val="215"/>
        </w:numPr>
      </w:pPr>
      <w:r w:rsidRPr="00AE547E">
        <w:rPr>
          <w:b/>
          <w:bCs/>
        </w:rPr>
        <w:t>Data Analysis</w:t>
      </w:r>
      <w:r>
        <w:t>: Once data is collected, the researcher analyzes it to draw conclusions about the research question. During analysis, the researcher might discover an unexpected aspect of coping not captured by the original measures. In that case, they may need to revisit the measurement process to account for this new facet.</w:t>
      </w:r>
    </w:p>
    <w:p w14:paraId="24BFAD61" w14:textId="77777777" w:rsidR="00C616C3" w:rsidRDefault="00C616C3" w:rsidP="005A4CC5">
      <w:pPr>
        <w:pStyle w:val="ListParagraph"/>
        <w:numPr>
          <w:ilvl w:val="0"/>
          <w:numId w:val="215"/>
        </w:numPr>
      </w:pPr>
      <w:r w:rsidRPr="00AE547E">
        <w:rPr>
          <w:b/>
          <w:bCs/>
        </w:rPr>
        <w:t>Reporting and Future Directions</w:t>
      </w:r>
      <w:r>
        <w:t>: Finally, the researcher reports their findings and makes recommendations for future studies. If the results suggest a particular coping method is most effective, the researcher might advise further studies focused on measuring that specific strategy.</w:t>
      </w:r>
    </w:p>
    <w:p w14:paraId="71D340A1" w14:textId="77777777" w:rsidR="00C616C3" w:rsidRDefault="00C616C3" w:rsidP="00C616C3">
      <w:r>
        <w:t>In sum, measurement considerations shape the entire research process, from start to finish.</w:t>
      </w:r>
    </w:p>
    <w:p w14:paraId="4C27150E" w14:textId="77777777" w:rsidR="00C616C3" w:rsidRDefault="00C616C3" w:rsidP="00C616C3">
      <w:r>
        <w:t>Measurement itself often involves multiple steps:</w:t>
      </w:r>
    </w:p>
    <w:p w14:paraId="766D4BC5" w14:textId="1F359FEF" w:rsidR="00C616C3" w:rsidRDefault="00C616C3" w:rsidP="00D70020">
      <w:pPr>
        <w:pStyle w:val="ListParagraph"/>
        <w:numPr>
          <w:ilvl w:val="0"/>
          <w:numId w:val="216"/>
        </w:numPr>
      </w:pPr>
      <w:r>
        <w:t>Identify and define key concepts</w:t>
      </w:r>
      <w:r w:rsidR="00D70020">
        <w:t>.</w:t>
      </w:r>
    </w:p>
    <w:p w14:paraId="5A00AFA3" w14:textId="67455E60" w:rsidR="00C616C3" w:rsidRDefault="00C616C3" w:rsidP="00D70020">
      <w:pPr>
        <w:pStyle w:val="ListParagraph"/>
        <w:numPr>
          <w:ilvl w:val="0"/>
          <w:numId w:val="216"/>
        </w:numPr>
      </w:pPr>
      <w:r>
        <w:t>Determine how those concepts can be observed and quantified</w:t>
      </w:r>
      <w:r w:rsidR="00D70020">
        <w:t>.</w:t>
      </w:r>
    </w:p>
    <w:p w14:paraId="675EEFC8" w14:textId="6B427ECF" w:rsidR="00C616C3" w:rsidRDefault="00C616C3" w:rsidP="00D70020">
      <w:pPr>
        <w:pStyle w:val="ListParagraph"/>
        <w:numPr>
          <w:ilvl w:val="0"/>
          <w:numId w:val="216"/>
        </w:numPr>
      </w:pPr>
      <w:r>
        <w:t>Select appropriate measurement techniques (e.g., survey scales, behavioral observations)</w:t>
      </w:r>
      <w:r w:rsidR="00D70020">
        <w:t>.</w:t>
      </w:r>
    </w:p>
    <w:p w14:paraId="4021B741" w14:textId="7107C7A7" w:rsidR="00C616C3" w:rsidRDefault="00C616C3" w:rsidP="00D70020">
      <w:pPr>
        <w:pStyle w:val="ListParagraph"/>
        <w:numPr>
          <w:ilvl w:val="0"/>
          <w:numId w:val="216"/>
        </w:numPr>
      </w:pPr>
      <w:r>
        <w:t>Evaluate the quality of the measurements (reliability and validity)</w:t>
      </w:r>
      <w:r w:rsidR="00D70020">
        <w:t>.</w:t>
      </w:r>
    </w:p>
    <w:p w14:paraId="68800C28" w14:textId="77777777" w:rsidR="00C616C3" w:rsidRDefault="00C616C3" w:rsidP="00C616C3">
      <w:r>
        <w:t>Another important measurement decision is what type of data to collect. Data can be:</w:t>
      </w:r>
    </w:p>
    <w:p w14:paraId="4973EF23" w14:textId="77777777" w:rsidR="00C616C3" w:rsidRDefault="00C616C3" w:rsidP="003319FF">
      <w:pPr>
        <w:pStyle w:val="ListParagraph"/>
        <w:numPr>
          <w:ilvl w:val="0"/>
          <w:numId w:val="217"/>
        </w:numPr>
      </w:pPr>
      <w:r>
        <w:t>Qualitative (non-numerical, like interview responses)</w:t>
      </w:r>
    </w:p>
    <w:p w14:paraId="7FA9E6D4" w14:textId="77777777" w:rsidR="00C616C3" w:rsidRDefault="00C616C3" w:rsidP="003319FF">
      <w:pPr>
        <w:pStyle w:val="ListParagraph"/>
        <w:numPr>
          <w:ilvl w:val="0"/>
          <w:numId w:val="217"/>
        </w:numPr>
      </w:pPr>
      <w:r>
        <w:t>Quantitative (numerical, like survey ratings)</w:t>
      </w:r>
    </w:p>
    <w:p w14:paraId="34096068" w14:textId="7DEAFCE7" w:rsidR="00C616C3" w:rsidRDefault="003319FF" w:rsidP="003319FF">
      <w:pPr>
        <w:pStyle w:val="ListParagraph"/>
        <w:numPr>
          <w:ilvl w:val="0"/>
          <w:numId w:val="217"/>
        </w:numPr>
      </w:pPr>
      <w:r>
        <w:t>A</w:t>
      </w:r>
      <w:r w:rsidR="00C616C3">
        <w:t xml:space="preserve"> </w:t>
      </w:r>
      <w:r>
        <w:t>m</w:t>
      </w:r>
      <w:r w:rsidR="00C616C3">
        <w:t>ix of both</w:t>
      </w:r>
    </w:p>
    <w:p w14:paraId="66C44654" w14:textId="77777777" w:rsidR="00C616C3" w:rsidRDefault="00C616C3" w:rsidP="00C616C3">
      <w:r>
        <w:t>The data type chosen affects the measurement strategy and the appropriate statistical analyses to use.</w:t>
      </w:r>
    </w:p>
    <w:p w14:paraId="0D452946" w14:textId="77777777" w:rsidR="00C616C3" w:rsidRDefault="00C616C3" w:rsidP="00C616C3">
      <w:r>
        <w:t>For example, if the researcher decides to measure coping via in-depth interviews, they would be gathering qualitative data. This data type provides rich detail but requires different analysis methods than quantitative data, like calculating average scores on a coping scale.</w:t>
      </w:r>
    </w:p>
    <w:p w14:paraId="07AF5F67" w14:textId="7819F6BF" w:rsidR="004C1432" w:rsidRPr="000E309B" w:rsidRDefault="00C616C3" w:rsidP="00C616C3">
      <w:r>
        <w:t>Ultimately, the goal is to choose measures and data types that validly capture the variables of interest and align with the research aims. By following a systematic measurement process and carefully considering data options, researchers ensure they gather meaningful information to answer their research questions.</w:t>
      </w:r>
    </w:p>
    <w:p w14:paraId="5327D1F6" w14:textId="5E428580" w:rsidR="00A626FE" w:rsidRPr="000E309B" w:rsidRDefault="00031935" w:rsidP="00031935">
      <w:pPr>
        <w:pStyle w:val="Heading3"/>
      </w:pPr>
      <w:bookmarkStart w:id="64" w:name="_Toc169156718"/>
      <w:r>
        <w:lastRenderedPageBreak/>
        <w:t>C</w:t>
      </w:r>
      <w:r w:rsidR="00D14B33" w:rsidRPr="000E309B">
        <w:t>onceptualization</w:t>
      </w:r>
      <w:r w:rsidR="00755A3C">
        <w:t>: Defining Terms and Constructs</w:t>
      </w:r>
      <w:bookmarkEnd w:id="64"/>
    </w:p>
    <w:p w14:paraId="2DE0B22B" w14:textId="0379E7A8" w:rsidR="00794F65" w:rsidRDefault="00162AC5" w:rsidP="00794F65">
      <w:pPr>
        <w:rPr>
          <w:noProof/>
        </w:rPr>
      </w:pPr>
      <w:r>
        <w:rPr>
          <w:noProof/>
        </w:rPr>
        <w:drawing>
          <wp:anchor distT="0" distB="0" distL="114300" distR="114300" simplePos="0" relativeHeight="251993172" behindDoc="0" locked="0" layoutInCell="1" allowOverlap="1" wp14:anchorId="76B8D099" wp14:editId="4F3FA656">
            <wp:simplePos x="0" y="0"/>
            <wp:positionH relativeFrom="column">
              <wp:align>right</wp:align>
            </wp:positionH>
            <wp:positionV relativeFrom="paragraph">
              <wp:posOffset>2286</wp:posOffset>
            </wp:positionV>
            <wp:extent cx="910336" cy="512064"/>
            <wp:effectExtent l="0" t="0" r="4445" b="2540"/>
            <wp:wrapSquare wrapText="bothSides"/>
            <wp:docPr id="252904365" name="Picture 1" descr="Different colored question 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04365" name="Picture 252904365" descr="Different colored question mark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10336" cy="512064"/>
                    </a:xfrm>
                    <a:prstGeom prst="rect">
                      <a:avLst/>
                    </a:prstGeom>
                  </pic:spPr>
                </pic:pic>
              </a:graphicData>
            </a:graphic>
            <wp14:sizeRelV relativeFrom="margin">
              <wp14:pctHeight>0</wp14:pctHeight>
            </wp14:sizeRelV>
          </wp:anchor>
        </w:drawing>
      </w:r>
      <w:r w:rsidR="00794F65">
        <w:rPr>
          <w:noProof/>
        </w:rPr>
        <w:t>One of the first steps in the measurement process is conceptualization, which involves clearly defining the key terms and concepts in a research project. It's crucial to remember that terms only mean what the researcher specifies - no more, no less.</w:t>
      </w:r>
    </w:p>
    <w:p w14:paraId="03BF9110" w14:textId="41815306" w:rsidR="00794F65" w:rsidRDefault="00794F65" w:rsidP="00794F65">
      <w:pPr>
        <w:rPr>
          <w:noProof/>
        </w:rPr>
      </w:pPr>
      <w:r>
        <w:rPr>
          <w:noProof/>
        </w:rPr>
        <w:t>A concept is an abstract idea or notion that comes to mind when thinking about related observations or ideas. For example, "masculinity" is a concept that might evoke images of certain behaviors or self-presentation styles. However, the exact meaning conjured up can vary from person to person and across time and cultures. As historian George Mosse</w:t>
      </w:r>
      <w:r w:rsidR="00837ABD">
        <w:rPr>
          <w:noProof/>
        </w:rPr>
        <w:t xml:space="preserve"> </w:t>
      </w:r>
      <w:r>
        <w:rPr>
          <w:noProof/>
        </w:rPr>
        <w:t>explained, the definition of masculinity can shift based on historical and cultural context</w:t>
      </w:r>
      <w:r w:rsidR="00084F84">
        <w:rPr>
          <w:noProof/>
        </w:rPr>
        <w:t xml:space="preserve"> </w:t>
      </w:r>
      <w:r w:rsidR="00004DB2">
        <w:rPr>
          <w:noProof/>
        </w:rPr>
        <w:fldChar w:fldCharType="begin"/>
      </w:r>
      <w:r w:rsidR="007C07B4">
        <w:rPr>
          <w:noProof/>
        </w:rPr>
        <w:instrText xml:space="preserve"> ADDIN ZOTERO_ITEM CSL_CITATION {"citationID":"a1j996s3mv","properties":{"formattedCitation":"[57]","plainCitation":"[57]","noteIndex":0},"citationItems":[{"id":6,"uris":["http://zotero.org/users/5015692/items/5A4MQD3P"],"itemData":{"id":6,"type":"book","publisher":"New York/Oxford","title":"The image of man","author":[{"family":"George","given":"Mosse"}],"issued":{"date-parts":[["1996"]]}}}],"schema":"https://github.com/citation-style-language/schema/raw/master/csl-citation.json"} </w:instrText>
      </w:r>
      <w:r w:rsidR="00004DB2">
        <w:rPr>
          <w:noProof/>
        </w:rPr>
        <w:fldChar w:fldCharType="separate"/>
      </w:r>
      <w:r w:rsidR="007C07B4" w:rsidRPr="007C07B4">
        <w:t>[57]</w:t>
      </w:r>
      <w:r w:rsidR="00004DB2">
        <w:rPr>
          <w:noProof/>
        </w:rPr>
        <w:fldChar w:fldCharType="end"/>
      </w:r>
      <w:r>
        <w:rPr>
          <w:noProof/>
        </w:rPr>
        <w:t>.</w:t>
      </w:r>
    </w:p>
    <w:p w14:paraId="3B0D9E93" w14:textId="77777777" w:rsidR="00794F65" w:rsidRDefault="00794F65" w:rsidP="00794F65">
      <w:pPr>
        <w:rPr>
          <w:noProof/>
        </w:rPr>
      </w:pPr>
      <w:r>
        <w:rPr>
          <w:noProof/>
        </w:rPr>
        <w:t>Given this variability in meaning, it's essential for researchers to precisely define their concepts before beginning data collection. This is true even for seemingly straightforward terms. As former U.S. President Bill Clinton famously stated, "It depends upon what the meaning of the word 'is' is." Without clear conceptual definitions, it would be impossible to interpret a study's findings accurately.</w:t>
      </w:r>
    </w:p>
    <w:p w14:paraId="6F797E79" w14:textId="77777777" w:rsidR="00794F65" w:rsidRDefault="00794F65" w:rsidP="001D0E3B">
      <w:pPr>
        <w:rPr>
          <w:noProof/>
        </w:rPr>
      </w:pPr>
      <w:r>
        <w:rPr>
          <w:noProof/>
        </w:rPr>
        <w:t>Conceptualization involves more than just copying a dictionary definition. Researchers must carefully consider various meanings and construct clear, specific definitions tailored to their research context. It's helpful to consult past research and theory to see how key concepts have been defined, but ultimately the researcher must decide on the most appropriate definitions for their particular study.</w:t>
      </w:r>
    </w:p>
    <w:p w14:paraId="4AF5AB63" w14:textId="77777777" w:rsidR="00794F65" w:rsidRDefault="00794F65" w:rsidP="001D0E3B">
      <w:pPr>
        <w:rPr>
          <w:noProof/>
        </w:rPr>
      </w:pPr>
      <w:r>
        <w:rPr>
          <w:noProof/>
        </w:rPr>
        <w:t>Part of the conceptualization process is identifying whether the main concepts are unidimensional or multidimensional constructs. Unidimensional constructs have a single underlying dimension that can be measured with one test. Examples include simple concepts like weight or wind speed. Multidimensional constructs have multiple underlying dimensions that must be measured separately. For instance, academic aptitude could be conceptualized as the two separate dimensions of math and verbal ability. Each dimension would be measured with a different test, and the results combined for an overall academic aptitude score.</w:t>
      </w:r>
    </w:p>
    <w:p w14:paraId="6147D022" w14:textId="77777777" w:rsidR="00794F65" w:rsidRDefault="00794F65" w:rsidP="001D0E3B">
      <w:pPr>
        <w:rPr>
          <w:noProof/>
        </w:rPr>
      </w:pPr>
      <w:r>
        <w:rPr>
          <w:noProof/>
        </w:rPr>
        <w:t>While building on past definitions is useful, researchers should also think critically about whether those conceptualizations fit their research context. Definitions may need to be updated or adapted. The concept of "family" provides a prime example. The meaning of family has evolved significantly over the past century, and even the past decade. Thus, a current study on family dynamics would need to conceptualize the term in a way that makes sense for today's social reality.</w:t>
      </w:r>
    </w:p>
    <w:p w14:paraId="32CA68B4" w14:textId="2E2ABDF2" w:rsidR="00794F65" w:rsidRDefault="00794F65" w:rsidP="001D0E3B">
      <w:pPr>
        <w:rPr>
          <w:noProof/>
        </w:rPr>
      </w:pPr>
      <w:r>
        <w:rPr>
          <w:noProof/>
        </w:rPr>
        <w:t>It's also important to avoid reification</w:t>
      </w:r>
      <w:r w:rsidR="00D45193">
        <w:rPr>
          <w:noProof/>
        </w:rPr>
        <w:t>—</w:t>
      </w:r>
      <w:r>
        <w:rPr>
          <w:noProof/>
        </w:rPr>
        <w:t xml:space="preserve">treating an abstract concept as if it were a real, concrete thing. Concepts are mental constructions, not tangible objects. They derive their meaning from the definitions researchers assign, which are shaped by social and historical context. No single </w:t>
      </w:r>
      <w:r>
        <w:rPr>
          <w:noProof/>
        </w:rPr>
        <w:lastRenderedPageBreak/>
        <w:t>conceptualization is inherently "correct." Rather, definitions are more or less useful for understanding particular research questions.</w:t>
      </w:r>
    </w:p>
    <w:p w14:paraId="4825E888" w14:textId="23C02854" w:rsidR="00794F65" w:rsidRDefault="00794F65" w:rsidP="001D0E3B">
      <w:pPr>
        <w:rPr>
          <w:noProof/>
        </w:rPr>
      </w:pPr>
      <w:r>
        <w:rPr>
          <w:noProof/>
        </w:rPr>
        <w:t>Concepts are the building blocks of theory, which is a carefully researched explanation for a phenomenon. Sutton and Staw</w:t>
      </w:r>
      <w:r w:rsidR="00B8375E">
        <w:rPr>
          <w:noProof/>
        </w:rPr>
        <w:t xml:space="preserve"> </w:t>
      </w:r>
      <w:r>
        <w:rPr>
          <w:noProof/>
        </w:rPr>
        <w:t>define theory as "the answer to queries of why. Theory is about the connections among phenomena, a story about why acts, events, structure, and thoughts occur."</w:t>
      </w:r>
      <w:r w:rsidR="00775791">
        <w:rPr>
          <w:noProof/>
        </w:rPr>
        <w:t xml:space="preserve"> </w:t>
      </w:r>
      <w:r w:rsidR="00837ABD">
        <w:rPr>
          <w:noProof/>
        </w:rPr>
        <w:fldChar w:fldCharType="begin"/>
      </w:r>
      <w:r w:rsidR="007C07B4">
        <w:rPr>
          <w:noProof/>
        </w:rPr>
        <w:instrText xml:space="preserve"> ADDIN ZOTERO_ITEM CSL_CITATION {"citationID":"a1mj1htk79l","properties":{"formattedCitation":"[58]","plainCitation":"[58]","noteIndex":0},"citationItems":[{"id":199,"uris":["http://zotero.org/users/5015692/items/YKA3GPK4"],"itemData":{"id":199,"type":"article-journal","container-title":"Administrative science quarterly","page":"371–384","title":"What theory is not","author":[{"family":"Sutton","given":"Robert I"},{"family":"Staw","given":"Barry M"}],"issued":{"date-parts":[["1995"]]}}}],"schema":"https://github.com/citation-style-language/schema/raw/master/csl-citation.json"} </w:instrText>
      </w:r>
      <w:r w:rsidR="00837ABD">
        <w:rPr>
          <w:noProof/>
        </w:rPr>
        <w:fldChar w:fldCharType="separate"/>
      </w:r>
      <w:r w:rsidR="007C07B4" w:rsidRPr="007C07B4">
        <w:t>[58]</w:t>
      </w:r>
      <w:r w:rsidR="00837ABD">
        <w:rPr>
          <w:noProof/>
        </w:rPr>
        <w:fldChar w:fldCharType="end"/>
      </w:r>
      <w:r w:rsidR="00775791">
        <w:rPr>
          <w:noProof/>
        </w:rPr>
        <w:t>.</w:t>
      </w:r>
      <w:r>
        <w:rPr>
          <w:noProof/>
        </w:rPr>
        <w:t xml:space="preserve"> Theories specify proposed causal relationships and underlying processes that systematically account for events. While often dismissed as "just a theory," in science, theories represent rigorously tested and widely accepted explanations.</w:t>
      </w:r>
    </w:p>
    <w:p w14:paraId="1CD69201" w14:textId="77777777" w:rsidR="00794F65" w:rsidRDefault="00794F65" w:rsidP="001D0E3B">
      <w:pPr>
        <w:rPr>
          <w:noProof/>
        </w:rPr>
      </w:pPr>
      <w:r>
        <w:rPr>
          <w:noProof/>
        </w:rPr>
        <w:t>In quantitative research, theories serve as the starting point for hypothesis testing. In qualitative research, theory building is often the end goal, derived from analyzing patterns in data. In both cases, clear conceptualization of key constructs is the foundation for developing and evaluating theory.</w:t>
      </w:r>
    </w:p>
    <w:p w14:paraId="5327D201" w14:textId="54FFAD61" w:rsidR="00A626FE" w:rsidRPr="000E309B" w:rsidRDefault="00794F65" w:rsidP="001D0E3B">
      <w:r>
        <w:rPr>
          <w:noProof/>
        </w:rPr>
        <w:t>In sum, conceptualization is a crucial first step in the measurement process. By carefully defining terms, identifying constructs, and thinking critically about past definitions, researchers lay the groundwork for valid, meaningful measurement throughout a research project.</w:t>
      </w:r>
    </w:p>
    <w:p w14:paraId="5327D202" w14:textId="17B6B19E" w:rsidR="00A626FE" w:rsidRPr="000E309B" w:rsidRDefault="00177ED5" w:rsidP="00177ED5">
      <w:pPr>
        <w:pStyle w:val="Heading3"/>
      </w:pPr>
      <w:bookmarkStart w:id="65" w:name="_Toc169156719"/>
      <w:r>
        <w:t>O</w:t>
      </w:r>
      <w:r w:rsidR="00D14B33" w:rsidRPr="000E309B">
        <w:t>perationalization</w:t>
      </w:r>
      <w:r w:rsidR="00281260">
        <w:t>: Translating Constructs into Measures</w:t>
      </w:r>
      <w:bookmarkEnd w:id="65"/>
    </w:p>
    <w:p w14:paraId="1F3ADF76" w14:textId="7367798E" w:rsidR="00DA4DA8" w:rsidRDefault="00683B48" w:rsidP="00DA4DA8">
      <w:r>
        <w:rPr>
          <w:noProof/>
        </w:rPr>
        <w:drawing>
          <wp:anchor distT="0" distB="0" distL="114300" distR="114300" simplePos="0" relativeHeight="251994196" behindDoc="0" locked="0" layoutInCell="1" allowOverlap="1" wp14:anchorId="63AF3EA9" wp14:editId="3B833637">
            <wp:simplePos x="0" y="0"/>
            <wp:positionH relativeFrom="column">
              <wp:align>right</wp:align>
            </wp:positionH>
            <wp:positionV relativeFrom="paragraph">
              <wp:posOffset>1016</wp:posOffset>
            </wp:positionV>
            <wp:extent cx="918972" cy="612648"/>
            <wp:effectExtent l="0" t="0" r="0" b="0"/>
            <wp:wrapSquare wrapText="bothSides"/>
            <wp:docPr id="1771960677" name="Picture 2" descr="Two people working on STEM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60677" name="Picture 1771960677" descr="Two people working on STEM project"/>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18972" cy="612648"/>
                    </a:xfrm>
                    <a:prstGeom prst="rect">
                      <a:avLst/>
                    </a:prstGeom>
                  </pic:spPr>
                </pic:pic>
              </a:graphicData>
            </a:graphic>
            <wp14:sizeRelV relativeFrom="margin">
              <wp14:pctHeight>0</wp14:pctHeight>
            </wp14:sizeRelV>
          </wp:anchor>
        </w:drawing>
      </w:r>
      <w:r w:rsidR="00DA4DA8">
        <w:t>Once a researcher has defined the key constructs at a theoretical level (conceptualization), the next step is operationalization - developing specific measures or indicators for those constructs. Operationalization takes abstract concepts and translates them into concrete, observable variables that can be empirically measured.</w:t>
      </w:r>
    </w:p>
    <w:p w14:paraId="588824BB" w14:textId="78D2D927" w:rsidR="00DA4DA8" w:rsidRDefault="00DA4DA8" w:rsidP="00DA4DA8">
      <w:r>
        <w:t>For example, let's say a researcher conceptualizes socioeconomic status as a family's income level. To operationalize this construct, the researcher could include a question on a survey asking respondents to report their annual household income. The survey question is the operational definition - it specifies exactly how the conceptual variable will be measured in that study.</w:t>
      </w:r>
    </w:p>
    <w:p w14:paraId="6ABE2E4C" w14:textId="77777777" w:rsidR="00DA4DA8" w:rsidRDefault="00DA4DA8" w:rsidP="00DA4DA8">
      <w:r>
        <w:t>Given the complexity and subjectivity of many social science constructs, researchers often use multiple indicators to capture different facets or dimensions of a concept. This is especially important for multidimensional constructs.</w:t>
      </w:r>
    </w:p>
    <w:p w14:paraId="2525E053" w14:textId="56C8C9E5" w:rsidR="00DA4DA8" w:rsidRDefault="00712D6C" w:rsidP="00712D6C">
      <w:r>
        <w:rPr>
          <w:noProof/>
        </w:rPr>
        <w:lastRenderedPageBreak/>
        <w:drawing>
          <wp:anchor distT="0" distB="0" distL="114300" distR="114300" simplePos="0" relativeHeight="251658310" behindDoc="0" locked="0" layoutInCell="1" allowOverlap="1" wp14:anchorId="430873BA" wp14:editId="616B63BF">
            <wp:simplePos x="0" y="0"/>
            <wp:positionH relativeFrom="column">
              <wp:posOffset>676275</wp:posOffset>
            </wp:positionH>
            <wp:positionV relativeFrom="paragraph">
              <wp:posOffset>0</wp:posOffset>
            </wp:positionV>
            <wp:extent cx="4572000" cy="3200400"/>
            <wp:effectExtent l="0" t="0" r="19050" b="19050"/>
            <wp:wrapTopAndBottom/>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4" r:lo="rId155" r:qs="rId156" r:cs="rId157"/>
              </a:graphicData>
            </a:graphic>
          </wp:anchor>
        </w:drawing>
      </w:r>
      <w:r w:rsidR="00DA4DA8">
        <w:t>While constructs exist at the theoretical or conceptual level, the indicators used to measure them are concrete variables that operate at the empirical level. There are several types of variables researchers may use:</w:t>
      </w:r>
    </w:p>
    <w:p w14:paraId="71A0B19F" w14:textId="0FFD604E" w:rsidR="00DA4DA8" w:rsidRDefault="00DA4DA8" w:rsidP="00D3235A">
      <w:pPr>
        <w:pStyle w:val="ListParagraph"/>
        <w:numPr>
          <w:ilvl w:val="0"/>
          <w:numId w:val="145"/>
        </w:numPr>
      </w:pPr>
      <w:r w:rsidRPr="00FF2B7A">
        <w:rPr>
          <w:b/>
          <w:bCs/>
        </w:rPr>
        <w:t>Independent variables</w:t>
      </w:r>
      <w:r>
        <w:t xml:space="preserve"> are the presumed cause or predictor of an outcome. If a researcher hypothesizes that age affects the number of traffic accidents, age would be the independent variable.</w:t>
      </w:r>
    </w:p>
    <w:p w14:paraId="54809AB9" w14:textId="4B8CFAC6" w:rsidR="00DA4DA8" w:rsidRDefault="00DA4DA8" w:rsidP="00D3235A">
      <w:pPr>
        <w:pStyle w:val="ListParagraph"/>
        <w:numPr>
          <w:ilvl w:val="0"/>
          <w:numId w:val="145"/>
        </w:numPr>
      </w:pPr>
      <w:r w:rsidRPr="00FF2B7A">
        <w:rPr>
          <w:b/>
          <w:bCs/>
        </w:rPr>
        <w:t>Dependent variables</w:t>
      </w:r>
      <w:r>
        <w:t xml:space="preserve"> are the presumed effect or outcome. In the example above, the number of traffic accidents is the dependent variable.</w:t>
      </w:r>
    </w:p>
    <w:p w14:paraId="2FE707EB" w14:textId="7C38AE8B" w:rsidR="00DA4DA8" w:rsidRDefault="00DA4DA8" w:rsidP="00D3235A">
      <w:pPr>
        <w:pStyle w:val="ListParagraph"/>
        <w:numPr>
          <w:ilvl w:val="0"/>
          <w:numId w:val="145"/>
        </w:numPr>
      </w:pPr>
      <w:r w:rsidRPr="00FF2B7A">
        <w:rPr>
          <w:b/>
          <w:bCs/>
        </w:rPr>
        <w:t>Mediating (or intervening) variables</w:t>
      </w:r>
      <w:r>
        <w:t xml:space="preserve"> explain the relationship between an independent and dependent variable. If a researcher proposes that poverty (independent variable) affects lifespan (dependent variable), access to healthcare could be a mediating variable that accounts for the relationship.</w:t>
      </w:r>
    </w:p>
    <w:p w14:paraId="04166FFE" w14:textId="1CB92BDD" w:rsidR="00DA4DA8" w:rsidRDefault="00DA4DA8" w:rsidP="00D3235A">
      <w:pPr>
        <w:pStyle w:val="ListParagraph"/>
        <w:numPr>
          <w:ilvl w:val="0"/>
          <w:numId w:val="145"/>
        </w:numPr>
      </w:pPr>
      <w:r w:rsidRPr="00FF2B7A">
        <w:rPr>
          <w:b/>
          <w:bCs/>
        </w:rPr>
        <w:t>Moderating variables</w:t>
      </w:r>
      <w:r>
        <w:t xml:space="preserve"> influence the strength or direction of the relationship between independent and dependent variables. In a medical study on the effects of a drug, dosage could be a moderating variable.</w:t>
      </w:r>
    </w:p>
    <w:p w14:paraId="19B850F9" w14:textId="1832C9F7" w:rsidR="00DA4DA8" w:rsidRDefault="00DA4DA8" w:rsidP="00D3235A">
      <w:pPr>
        <w:pStyle w:val="ListParagraph"/>
        <w:numPr>
          <w:ilvl w:val="0"/>
          <w:numId w:val="145"/>
        </w:numPr>
      </w:pPr>
      <w:r w:rsidRPr="00FF2B7A">
        <w:rPr>
          <w:b/>
          <w:bCs/>
        </w:rPr>
        <w:t>Control variables</w:t>
      </w:r>
      <w:r>
        <w:t xml:space="preserve"> are used in experiments to isolate the effects of the independent variable. One group receives the experimental treatment while a control group does not, allowing researchers to compare outcomes between the two.</w:t>
      </w:r>
    </w:p>
    <w:p w14:paraId="5CD6D208" w14:textId="4F383C8C" w:rsidR="00DA4DA8" w:rsidRDefault="00DA4DA8" w:rsidP="00D3235A">
      <w:pPr>
        <w:pStyle w:val="ListParagraph"/>
        <w:numPr>
          <w:ilvl w:val="0"/>
          <w:numId w:val="145"/>
        </w:numPr>
      </w:pPr>
      <w:r w:rsidRPr="00FF2B7A">
        <w:rPr>
          <w:b/>
          <w:bCs/>
        </w:rPr>
        <w:t>Confounding variables</w:t>
      </w:r>
      <w:r>
        <w:t xml:space="preserve"> are additional factors that may unexpectedly influence the relationship between the independent and dependent variables, potentially confusing the results if not accounted for.</w:t>
      </w:r>
    </w:p>
    <w:p w14:paraId="3133A9E3" w14:textId="77777777" w:rsidR="00DA4DA8" w:rsidRDefault="00DA4DA8" w:rsidP="00D3235A">
      <w:r>
        <w:t xml:space="preserve">Variables can be measured at different levels. Each variable has a set of attributes (or levels) representing different values the variable can take on. For example, a "homeownership" variable </w:t>
      </w:r>
      <w:r>
        <w:lastRenderedPageBreak/>
        <w:t>might have two attributes: owns home or rents home. A Likert scale measuring customer satisfaction could have five attributes: strongly disagree, somewhat disagree, neutral, somewhat agree, strongly agree.</w:t>
      </w:r>
    </w:p>
    <w:p w14:paraId="4AA1AD71" w14:textId="456DA06A" w:rsidR="00DA4DA8" w:rsidRDefault="00DA4DA8" w:rsidP="00D3235A">
      <w:r>
        <w:t xml:space="preserve">Variables can be classified as quantitative (numeric) or qualitative (textual or categorical). Quantitative variables are analyzed with statistical techniques like regression, while qualitative variables are analyzed using coding methods. However, even variables represented numerically may </w:t>
      </w:r>
      <w:r w:rsidR="00D3235A">
        <w:t>be</w:t>
      </w:r>
      <w:r>
        <w:t xml:space="preserve"> qualitative in nature. A customer satisfaction scale numbered 1-5 uses numbers as labels, but the underlying attribute (satisfaction) is qualitative.</w:t>
      </w:r>
    </w:p>
    <w:p w14:paraId="6920FC16" w14:textId="77777777" w:rsidR="00DA4DA8" w:rsidRDefault="00DA4DA8" w:rsidP="00D3235A">
      <w:r>
        <w:t>Another distinction is between reflective and formative indicators. Reflective indicators are measures that reflect or are caused by an underlying construct. Attending religious services could be a reflective indicator of the construct "religiosity." In contrast, formative indicators are measures that combine to form or cause the construct. If religiosity is defined as having belief, devotional, and ritual dimensions, indicators of each dimension would be formative - they determine the level of religiosity.</w:t>
      </w:r>
    </w:p>
    <w:p w14:paraId="3F434100" w14:textId="77777777" w:rsidR="00DA4DA8" w:rsidRDefault="00DA4DA8" w:rsidP="00D3235A">
      <w:r>
        <w:t>Developing valid indicators requires more than casual intuition. Researchers should consult prior theoretical and empirical work to identify established measures and generate ideas. The data collection method also shapes operationalization - a survey will require different measures than a field study.</w:t>
      </w:r>
    </w:p>
    <w:p w14:paraId="5327D213" w14:textId="25CB0AF5" w:rsidR="00A626FE" w:rsidRDefault="00DA4DA8" w:rsidP="00D3235A">
      <w:r>
        <w:t>The goal is to create a clear operational definition that validly captures the construct of interest in an empirically measurable way. Careful operationalization lays the foundation for meaningful measurement and analysis throughout the research process.</w:t>
      </w:r>
    </w:p>
    <w:p w14:paraId="5327D214" w14:textId="34D58E52" w:rsidR="00A626FE" w:rsidRPr="000E309B" w:rsidRDefault="005910EF" w:rsidP="00177ED5">
      <w:pPr>
        <w:pStyle w:val="Heading3"/>
      </w:pPr>
      <w:bookmarkStart w:id="66" w:name="_Toc169156720"/>
      <w:r w:rsidRPr="005910EF">
        <w:t>Evaluating Measurement Quality: Reliability and Validity</w:t>
      </w:r>
      <w:bookmarkEnd w:id="66"/>
    </w:p>
    <w:p w14:paraId="6142E971" w14:textId="77777777" w:rsidR="000359D0" w:rsidRDefault="000359D0" w:rsidP="00FF57B3">
      <w:r>
        <w:t>Measuring abstract, multidimensional constructs is a complex undertaking. Researchers can't just use any arbitrary scale - they must carefully evaluate the quality of their measures. The two key criteria for assessing measurement quality are reliability and validity.</w:t>
      </w:r>
    </w:p>
    <w:p w14:paraId="7C1BEB8A" w14:textId="77777777" w:rsidR="000359D0" w:rsidRDefault="000359D0" w:rsidP="00FF57B3">
      <w:r>
        <w:t>Reliability refers to the consistency or stability of a measure. A reliable measure produces similar results under consistent conditions. If a scale is reliable, it will yield consistent scores across different times, raters, or samples (assuming the underlying phenomenon isn't changing).</w:t>
      </w:r>
    </w:p>
    <w:p w14:paraId="57F3A0D1" w14:textId="77777777" w:rsidR="000359D0" w:rsidRDefault="000359D0" w:rsidP="00FF57B3">
      <w:r>
        <w:t>There are a few different types of reliability:</w:t>
      </w:r>
    </w:p>
    <w:p w14:paraId="539614A9" w14:textId="76ED37E3" w:rsidR="000359D0" w:rsidRDefault="000359D0" w:rsidP="00FF57B3">
      <w:pPr>
        <w:pStyle w:val="ListParagraph"/>
        <w:numPr>
          <w:ilvl w:val="0"/>
          <w:numId w:val="219"/>
        </w:numPr>
      </w:pPr>
      <w:r>
        <w:t>Test-retest reliability: consistency of scores on the same measure over time</w:t>
      </w:r>
      <w:r w:rsidR="00FF57B3">
        <w:t>.</w:t>
      </w:r>
    </w:p>
    <w:p w14:paraId="3FA36FCF" w14:textId="0585E632" w:rsidR="000359D0" w:rsidRDefault="000359D0" w:rsidP="00FF57B3">
      <w:pPr>
        <w:pStyle w:val="ListParagraph"/>
        <w:numPr>
          <w:ilvl w:val="0"/>
          <w:numId w:val="219"/>
        </w:numPr>
      </w:pPr>
      <w:r>
        <w:t>Inter-rater reliability: consistency of scores across different observers</w:t>
      </w:r>
      <w:r w:rsidR="00FF57B3">
        <w:t>.</w:t>
      </w:r>
    </w:p>
    <w:p w14:paraId="7C053EEC" w14:textId="29942502" w:rsidR="000359D0" w:rsidRDefault="000359D0" w:rsidP="00FF57B3">
      <w:r>
        <w:t>Internal consistency reliability: consistency of scores across items intended to measure the same construct</w:t>
      </w:r>
      <w:r w:rsidR="00972881">
        <w:t>.</w:t>
      </w:r>
    </w:p>
    <w:p w14:paraId="704BE50F" w14:textId="2BD36737" w:rsidR="000359D0" w:rsidRDefault="000359D0" w:rsidP="00FF57B3">
      <w:r>
        <w:t xml:space="preserve">Validity refers to the accuracy of a measure - does it </w:t>
      </w:r>
      <w:r w:rsidR="00FF57B3">
        <w:t>measure</w:t>
      </w:r>
      <w:r>
        <w:t xml:space="preserve"> the construct it claims to? A scale can be reliable without being valid. For instance, a scale intending to measure self-esteem could </w:t>
      </w:r>
      <w:r>
        <w:lastRenderedPageBreak/>
        <w:t xml:space="preserve">yield consistent scores, but if the items </w:t>
      </w:r>
      <w:r w:rsidR="00FF57B3">
        <w:t>measure</w:t>
      </w:r>
      <w:r>
        <w:t xml:space="preserve"> self-confidence instead, the scale would not be valid.</w:t>
      </w:r>
    </w:p>
    <w:p w14:paraId="3EE8A87D" w14:textId="77777777" w:rsidR="000359D0" w:rsidRDefault="000359D0" w:rsidP="00FF57B3">
      <w:r>
        <w:t>Like reliability, validity comes in multiple forms:</w:t>
      </w:r>
    </w:p>
    <w:p w14:paraId="254A9E78" w14:textId="77777777" w:rsidR="000359D0" w:rsidRDefault="000359D0" w:rsidP="00FF57B3">
      <w:pPr>
        <w:pStyle w:val="ListParagraph"/>
        <w:numPr>
          <w:ilvl w:val="0"/>
          <w:numId w:val="220"/>
        </w:numPr>
      </w:pPr>
      <w:r>
        <w:t>Face validity: on the surface, do the items seem to measure the intended construct?</w:t>
      </w:r>
    </w:p>
    <w:p w14:paraId="3AAE24CE" w14:textId="77777777" w:rsidR="000359D0" w:rsidRDefault="000359D0" w:rsidP="00FF57B3">
      <w:pPr>
        <w:pStyle w:val="ListParagraph"/>
        <w:numPr>
          <w:ilvl w:val="0"/>
          <w:numId w:val="220"/>
        </w:numPr>
      </w:pPr>
      <w:r>
        <w:t>Content validity: do the items fully capture the conceptual space of the construct?</w:t>
      </w:r>
    </w:p>
    <w:p w14:paraId="45C6CA0D" w14:textId="77777777" w:rsidR="000359D0" w:rsidRDefault="000359D0" w:rsidP="00FF57B3">
      <w:pPr>
        <w:pStyle w:val="ListParagraph"/>
        <w:numPr>
          <w:ilvl w:val="0"/>
          <w:numId w:val="220"/>
        </w:numPr>
      </w:pPr>
      <w:r>
        <w:t>Criterion validity: do scores on the measure relate to other established measures of the same construct?</w:t>
      </w:r>
    </w:p>
    <w:p w14:paraId="76423F0B" w14:textId="77777777" w:rsidR="000359D0" w:rsidRDefault="000359D0" w:rsidP="00FF57B3">
      <w:pPr>
        <w:pStyle w:val="ListParagraph"/>
        <w:numPr>
          <w:ilvl w:val="0"/>
          <w:numId w:val="220"/>
        </w:numPr>
      </w:pPr>
      <w:r>
        <w:t>Construct validity: does the measure "behave" in theoretically expected ways, relating to other variables as predicted?</w:t>
      </w:r>
    </w:p>
    <w:p w14:paraId="5327D218" w14:textId="7E416FA8" w:rsidR="00A626FE" w:rsidRPr="000E309B" w:rsidRDefault="00FF57B3" w:rsidP="00FF57B3">
      <w:r>
        <w:t xml:space="preserve">The following figure </w:t>
      </w:r>
      <w:r w:rsidR="000359D0">
        <w:t xml:space="preserve">illustrates reliability and validity with the analogy of a dart board. Each </w:t>
      </w:r>
      <w:r w:rsidR="00180EB3">
        <w:t>target</w:t>
      </w:r>
      <w:r w:rsidR="000359D0">
        <w:t xml:space="preserve"> shows a different combination of reliability and validity.</w:t>
      </w:r>
    </w:p>
    <w:p w14:paraId="5327D21A" w14:textId="3EFE9FE0" w:rsidR="00A626FE" w:rsidRDefault="00D14B33" w:rsidP="00CF0963">
      <w:pPr>
        <w:pStyle w:val="Caption"/>
        <w:jc w:val="center"/>
      </w:pPr>
      <w:r w:rsidRPr="000E309B">
        <w:rPr>
          <w:noProof/>
        </w:rPr>
        <w:drawing>
          <wp:inline distT="0" distB="0" distL="0" distR="0" wp14:anchorId="5327DD7F" wp14:editId="5327DD80">
            <wp:extent cx="2746303" cy="3445018"/>
            <wp:effectExtent l="0" t="0" r="0" b="0"/>
            <wp:docPr id="8098" name="Picture 8098"/>
            <wp:cNvGraphicFramePr/>
            <a:graphic xmlns:a="http://schemas.openxmlformats.org/drawingml/2006/main">
              <a:graphicData uri="http://schemas.openxmlformats.org/drawingml/2006/picture">
                <pic:pic xmlns:pic="http://schemas.openxmlformats.org/drawingml/2006/picture">
                  <pic:nvPicPr>
                    <pic:cNvPr id="8098" name="Picture 8098"/>
                    <pic:cNvPicPr/>
                  </pic:nvPicPr>
                  <pic:blipFill>
                    <a:blip r:embed="rId159"/>
                    <a:stretch>
                      <a:fillRect/>
                    </a:stretch>
                  </pic:blipFill>
                  <pic:spPr>
                    <a:xfrm>
                      <a:off x="0" y="0"/>
                      <a:ext cx="2746303" cy="3445018"/>
                    </a:xfrm>
                    <a:prstGeom prst="rect">
                      <a:avLst/>
                    </a:prstGeom>
                  </pic:spPr>
                </pic:pic>
              </a:graphicData>
            </a:graphic>
          </wp:inline>
        </w:drawing>
      </w:r>
    </w:p>
    <w:p w14:paraId="49482393" w14:textId="2BA7B3F0" w:rsidR="00613B1F" w:rsidRPr="00613B1F" w:rsidRDefault="00613B1F" w:rsidP="00613B1F">
      <w:pPr>
        <w:pStyle w:val="Caption"/>
        <w:jc w:val="center"/>
      </w:pPr>
      <w:bookmarkStart w:id="67" w:name="_Ref66884670"/>
      <w:r>
        <w:t xml:space="preserve">Figure </w:t>
      </w:r>
      <w:r w:rsidR="006D77BF">
        <w:fldChar w:fldCharType="begin"/>
      </w:r>
      <w:r w:rsidR="006D77BF">
        <w:instrText xml:space="preserve"> SEQ Figure \* ARABIC </w:instrText>
      </w:r>
      <w:r w:rsidR="006D77BF">
        <w:fldChar w:fldCharType="separate"/>
      </w:r>
      <w:r w:rsidR="00980002">
        <w:rPr>
          <w:noProof/>
        </w:rPr>
        <w:t>9</w:t>
      </w:r>
      <w:r w:rsidR="006D77BF">
        <w:rPr>
          <w:noProof/>
        </w:rPr>
        <w:fldChar w:fldCharType="end"/>
      </w:r>
      <w:bookmarkEnd w:id="67"/>
      <w:r>
        <w:t xml:space="preserve">: </w:t>
      </w:r>
      <w:r w:rsidRPr="00880C99">
        <w:t>The Relationship Between Reliability And Validity</w:t>
      </w:r>
    </w:p>
    <w:p w14:paraId="5FE94E23" w14:textId="77777777" w:rsidR="00B27B2C" w:rsidRDefault="00B27B2C" w:rsidP="00203112">
      <w:pPr>
        <w:pStyle w:val="ListParagraph"/>
        <w:numPr>
          <w:ilvl w:val="0"/>
          <w:numId w:val="221"/>
        </w:numPr>
      </w:pPr>
      <w:r w:rsidRPr="00180EB3">
        <w:rPr>
          <w:b/>
          <w:bCs/>
        </w:rPr>
        <w:t>High reliability, high validity</w:t>
      </w:r>
      <w:r>
        <w:t>: a tightly clustered set of darts centered on the bullseye. The measure consistently hits the intended target.</w:t>
      </w:r>
    </w:p>
    <w:p w14:paraId="6205ACDB" w14:textId="77777777" w:rsidR="00B27B2C" w:rsidRDefault="00B27B2C" w:rsidP="00203112">
      <w:pPr>
        <w:pStyle w:val="ListParagraph"/>
        <w:numPr>
          <w:ilvl w:val="0"/>
          <w:numId w:val="221"/>
        </w:numPr>
      </w:pPr>
      <w:r w:rsidRPr="00180EB3">
        <w:rPr>
          <w:b/>
          <w:bCs/>
        </w:rPr>
        <w:t>High reliability, low validity</w:t>
      </w:r>
      <w:r>
        <w:t>: a tightly clustered set of darts off-center. The measure is consistent but misses the target it aims for.</w:t>
      </w:r>
    </w:p>
    <w:p w14:paraId="3EE6AA4F" w14:textId="77777777" w:rsidR="00B27B2C" w:rsidRDefault="00B27B2C" w:rsidP="00203112">
      <w:pPr>
        <w:pStyle w:val="ListParagraph"/>
        <w:numPr>
          <w:ilvl w:val="0"/>
          <w:numId w:val="221"/>
        </w:numPr>
      </w:pPr>
      <w:r w:rsidRPr="00180EB3">
        <w:rPr>
          <w:b/>
          <w:bCs/>
        </w:rPr>
        <w:t>Low reliability, high validity</w:t>
      </w:r>
      <w:r>
        <w:t>: a widely scattered set of darts centered on the bullseye. On average the measure hits the intended target, but with a lot of error.</w:t>
      </w:r>
    </w:p>
    <w:p w14:paraId="23131B95" w14:textId="77777777" w:rsidR="00B27B2C" w:rsidRDefault="00B27B2C" w:rsidP="00203112">
      <w:pPr>
        <w:pStyle w:val="ListParagraph"/>
        <w:numPr>
          <w:ilvl w:val="0"/>
          <w:numId w:val="221"/>
        </w:numPr>
      </w:pPr>
      <w:r w:rsidRPr="00180EB3">
        <w:rPr>
          <w:b/>
          <w:bCs/>
        </w:rPr>
        <w:t>Low reliability, low validity</w:t>
      </w:r>
      <w:r>
        <w:t>: a widely scattered set of darts off-center. The measure is neither consistent nor accurate.</w:t>
      </w:r>
    </w:p>
    <w:p w14:paraId="74D3BE99" w14:textId="77777777" w:rsidR="00B27B2C" w:rsidRDefault="00B27B2C" w:rsidP="00203112">
      <w:r>
        <w:lastRenderedPageBreak/>
        <w:t>The goal is to develop measures that are both reliable and valid - consistently hitting the conceptual bullseye. However, this is often easier said than done, especially for complex constructs.</w:t>
      </w:r>
    </w:p>
    <w:p w14:paraId="1940168C" w14:textId="77777777" w:rsidR="00B27B2C" w:rsidRDefault="00B27B2C" w:rsidP="00B27B2C">
      <w:r>
        <w:t>Imagine a researcher wants to measure the construct of intelligence. First, they must define what intelligence means conceptually. Is it just cognitive ability or does it include emotional and social skills too? Different definitions would suggest different measures.</w:t>
      </w:r>
    </w:p>
    <w:p w14:paraId="07F7C008" w14:textId="77777777" w:rsidR="00B27B2C" w:rsidRDefault="00B27B2C" w:rsidP="00B27B2C">
      <w:r>
        <w:t>Then the researcher must develop a set of indicators to capture the chosen definition. A traditional IQ test might have high reliability (people's scores are consistent over time) but questionable validity (does an IQ score really represent all aspects of intelligence?).</w:t>
      </w:r>
    </w:p>
    <w:p w14:paraId="6BC535EC" w14:textId="77777777" w:rsidR="00B27B2C" w:rsidRDefault="00B27B2C" w:rsidP="00B27B2C">
      <w:r>
        <w:t>Adding measures of emotional and social intelligence could improve validity by capturing more facets of the construct. But measuring these additional dimensions reliably is challenging - how do you consistently quantify something as subjective as emotional awareness?</w:t>
      </w:r>
    </w:p>
    <w:p w14:paraId="0E5462EF" w14:textId="6A267354" w:rsidR="00B27B2C" w:rsidRDefault="00B27B2C" w:rsidP="00B27B2C">
      <w:r>
        <w:t>As this example illustrates, achieving reliable and valid measurement often involves tradeoffs and is an ongoing process. Researchers must carefully define their constructs, identify appropriate indicators, and then rigorously evaluate the reliability and validity of their measures using empirical testing and theoretical criteria. Only through this diligent process can researchers have confidence that their measures truly represent the constructs they aim to study.</w:t>
      </w:r>
    </w:p>
    <w:p w14:paraId="5327D21C" w14:textId="2FE70FDB" w:rsidR="00A626FE" w:rsidRPr="000E309B" w:rsidRDefault="00D14B33" w:rsidP="002A3AD7">
      <w:pPr>
        <w:pStyle w:val="Heading4"/>
      </w:pPr>
      <w:r w:rsidRPr="000E309B">
        <w:t>Reliability</w:t>
      </w:r>
      <w:r w:rsidR="0018513A">
        <w:t>: Ensuring Consistency in Measurement</w:t>
      </w:r>
    </w:p>
    <w:p w14:paraId="3549AAE6" w14:textId="3EFF3C90" w:rsidR="009E5D56" w:rsidRDefault="009E5D56" w:rsidP="00B00EEA">
      <w:r>
        <w:t>Reliability refers to the consistency or repeatability of a measure. As Drost states, reliability is "the extent to which measurements are repeatable – when different persons perform the measurements, on different occasions, under different conditions, with supposedly alternative instruments which measure the same thing."</w:t>
      </w:r>
      <w:r w:rsidR="008C6CC5">
        <w:fldChar w:fldCharType="begin"/>
      </w:r>
      <w:r w:rsidR="007C07B4">
        <w:instrText xml:space="preserve"> ADDIN ZOTERO_ITEM CSL_CITATION {"citationID":"aljlrmu8ei","properties":{"formattedCitation":"[59]","plainCitation":"[59]","noteIndex":0},"citationItems":[{"id":8,"uris":["http://zotero.org/users/5015692/items/XCFWS2VK"],"itemData":{"id":8,"type":"article-journal","container-title":"Education Research and perspectives","issue":"1","page":"105","title":"Validity and reliability in social science research","volume":"38","author":[{"family":"Drost","given":"Ellen A"},{"literal":"others"}],"issued":{"date-parts":[["2011"]]}}}],"schema":"https://github.com/citation-style-language/schema/raw/master/csl-citation.json"} </w:instrText>
      </w:r>
      <w:r w:rsidR="008C6CC5">
        <w:fldChar w:fldCharType="separate"/>
      </w:r>
      <w:r w:rsidR="007C07B4" w:rsidRPr="007C07B4">
        <w:t>[59]</w:t>
      </w:r>
      <w:r w:rsidR="008C6CC5">
        <w:fldChar w:fldCharType="end"/>
      </w:r>
    </w:p>
    <w:p w14:paraId="10491FC3" w14:textId="77777777" w:rsidR="009E5D56" w:rsidRDefault="009E5D56" w:rsidP="00B00EEA">
      <w:r>
        <w:t>Any observed score from a measure consists of two components: the "true" score (the score that would be obtained if measurement was perfect) and measurement error. Consider the example of a bathroom scale. If a person's true weight is 150 pounds, a perfectly reliable scale would read 150 every time. However, if the scale gave different readings across multiple weigh-ins, it would be considered unreliable.</w:t>
      </w:r>
    </w:p>
    <w:p w14:paraId="1C56DDAE" w14:textId="77777777" w:rsidR="009E5D56" w:rsidRDefault="009E5D56" w:rsidP="00B00EEA">
      <w:r>
        <w:t>There are two main types of measurement error that can affect reliability:</w:t>
      </w:r>
    </w:p>
    <w:p w14:paraId="025332B2" w14:textId="7DA9A637" w:rsidR="009E5D56" w:rsidRDefault="009E5D56" w:rsidP="00CC262D">
      <w:pPr>
        <w:pStyle w:val="ListParagraph"/>
        <w:numPr>
          <w:ilvl w:val="0"/>
          <w:numId w:val="222"/>
        </w:numPr>
      </w:pPr>
      <w:r w:rsidRPr="00432C89">
        <w:rPr>
          <w:b/>
          <w:bCs/>
        </w:rPr>
        <w:t>Systematic error</w:t>
      </w:r>
      <w:r>
        <w:t xml:space="preserve">: This type of error is consistent and predictable. If a scale always reads 5 pounds too heavy, that is a systematic error. While still an error, it is at least consistent and can be </w:t>
      </w:r>
      <w:r w:rsidR="00CC262D">
        <w:t>corrected</w:t>
      </w:r>
      <w:r>
        <w:t xml:space="preserve"> in the analysis.</w:t>
      </w:r>
    </w:p>
    <w:p w14:paraId="5327D21F" w14:textId="5E4D66F9" w:rsidR="00A626FE" w:rsidRPr="000E309B" w:rsidRDefault="009E5D56" w:rsidP="00CC262D">
      <w:pPr>
        <w:pStyle w:val="ListParagraph"/>
        <w:numPr>
          <w:ilvl w:val="0"/>
          <w:numId w:val="222"/>
        </w:numPr>
      </w:pPr>
      <w:r w:rsidRPr="00432C89">
        <w:rPr>
          <w:b/>
          <w:bCs/>
        </w:rPr>
        <w:t>Random error</w:t>
      </w:r>
      <w:r>
        <w:t xml:space="preserve">: This type of error is unpredictable and inconsistent. If a scale gives different readings each time, even when weighing the same object, that is random error. Random errors can't be corrected but will tend to cancel out with </w:t>
      </w:r>
      <w:r w:rsidR="00CC262D">
        <w:t>many</w:t>
      </w:r>
      <w:r>
        <w:t xml:space="preserve"> measurements.</w:t>
      </w:r>
    </w:p>
    <w:p w14:paraId="7B2DFA9A" w14:textId="77777777" w:rsidR="006940E6" w:rsidRDefault="006940E6" w:rsidP="006940E6">
      <w:r>
        <w:t>In business research, there are several potential sources of unreliable measurement:</w:t>
      </w:r>
    </w:p>
    <w:p w14:paraId="00F66FCD" w14:textId="77777777" w:rsidR="006940E6" w:rsidRDefault="006940E6" w:rsidP="0047523C">
      <w:pPr>
        <w:pStyle w:val="ListParagraph"/>
        <w:numPr>
          <w:ilvl w:val="0"/>
          <w:numId w:val="223"/>
        </w:numPr>
      </w:pPr>
      <w:r w:rsidRPr="00432C89">
        <w:rPr>
          <w:b/>
          <w:bCs/>
        </w:rPr>
        <w:lastRenderedPageBreak/>
        <w:t>Researcher subjectivity</w:t>
      </w:r>
      <w:r>
        <w:t>: If a measure relies on subjective judgment (like rating employee morale based on observations of their behavior), different raters may give different assessments. Using more objective, quantitative measures (like the number of grievances filed) can improve reliability.</w:t>
      </w:r>
    </w:p>
    <w:p w14:paraId="6BF07CFA" w14:textId="77777777" w:rsidR="006940E6" w:rsidRDefault="006940E6" w:rsidP="0047523C">
      <w:pPr>
        <w:pStyle w:val="ListParagraph"/>
        <w:numPr>
          <w:ilvl w:val="0"/>
          <w:numId w:val="223"/>
        </w:numPr>
      </w:pPr>
      <w:r w:rsidRPr="00432C89">
        <w:rPr>
          <w:b/>
          <w:bCs/>
        </w:rPr>
        <w:t>Imprecise or ambiguous questions</w:t>
      </w:r>
      <w:r>
        <w:t>: If a survey asks unclear questions (like "Where do you like to shop?" without specifying the type of shopping), responses will be inconsistent and unreliable.</w:t>
      </w:r>
    </w:p>
    <w:p w14:paraId="47EA9027" w14:textId="3059A582" w:rsidR="006940E6" w:rsidRDefault="006940E6" w:rsidP="0047523C">
      <w:pPr>
        <w:pStyle w:val="ListParagraph"/>
        <w:numPr>
          <w:ilvl w:val="0"/>
          <w:numId w:val="223"/>
        </w:numPr>
      </w:pPr>
      <w:r w:rsidRPr="00432C89">
        <w:rPr>
          <w:b/>
          <w:bCs/>
        </w:rPr>
        <w:t>Asking about unfamiliar topics</w:t>
      </w:r>
      <w:r>
        <w:t>: Asking respondents about issues they don't understand or care about will yield unreliable data.</w:t>
      </w:r>
    </w:p>
    <w:p w14:paraId="5327D223" w14:textId="7A2F3FEB" w:rsidR="00A626FE" w:rsidRPr="000E309B" w:rsidRDefault="00104E9D" w:rsidP="0047523C">
      <w:r>
        <w:rPr>
          <w:noProof/>
        </w:rPr>
        <w:drawing>
          <wp:anchor distT="0" distB="0" distL="114300" distR="114300" simplePos="0" relativeHeight="251658312" behindDoc="0" locked="0" layoutInCell="1" allowOverlap="1" wp14:anchorId="5FB03603" wp14:editId="0B98E7CA">
            <wp:simplePos x="0" y="0"/>
            <wp:positionH relativeFrom="column">
              <wp:posOffset>1038225</wp:posOffset>
            </wp:positionH>
            <wp:positionV relativeFrom="paragraph">
              <wp:posOffset>-38100</wp:posOffset>
            </wp:positionV>
            <wp:extent cx="3858260" cy="3200400"/>
            <wp:effectExtent l="0" t="38100" r="0" b="38100"/>
            <wp:wrapTopAndBottom/>
            <wp:docPr id="277454" name="Diagram 2774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14:sizeRelH relativeFrom="margin">
              <wp14:pctWidth>0</wp14:pctWidth>
            </wp14:sizeRelH>
          </wp:anchor>
        </w:drawing>
      </w:r>
      <w:r w:rsidR="006940E6">
        <w:t>To improve reliability, researchers can use objective data collection methods, ask clear and relevant questions, and simplify the wording of measures. However, formal reliability testing is still essential. Key methods include:</w:t>
      </w:r>
    </w:p>
    <w:p w14:paraId="0ABA8EC9" w14:textId="4CE9B975" w:rsidR="008240C4" w:rsidRDefault="008240C4" w:rsidP="00104E9D">
      <w:pPr>
        <w:pStyle w:val="ListParagraph"/>
        <w:numPr>
          <w:ilvl w:val="0"/>
          <w:numId w:val="224"/>
        </w:numPr>
      </w:pPr>
      <w:r w:rsidRPr="00652D8C">
        <w:rPr>
          <w:b/>
          <w:bCs/>
        </w:rPr>
        <w:t>Inter-rater reliability</w:t>
      </w:r>
      <w:r>
        <w:t>: This assesses the consistency between two or more independent raters. For categorical measures, it's calculated as the percentage of agreement between raters. For continuous measures, it can be assessed with a correlation between the raters' scores.</w:t>
      </w:r>
    </w:p>
    <w:p w14:paraId="6E745E72" w14:textId="7C0EA0EB" w:rsidR="008240C4" w:rsidRDefault="008240C4" w:rsidP="00104E9D">
      <w:pPr>
        <w:pStyle w:val="ListParagraph"/>
        <w:numPr>
          <w:ilvl w:val="0"/>
          <w:numId w:val="224"/>
        </w:numPr>
      </w:pPr>
      <w:r w:rsidRPr="00652D8C">
        <w:rPr>
          <w:b/>
          <w:bCs/>
        </w:rPr>
        <w:t>Test-retest reliability</w:t>
      </w:r>
      <w:r>
        <w:t>: This measures consistency between two administrations of the same measure to the same sample at different times. If the construct hasn't changed, the scores should be consistent. The correlation between the two sets of scores estimates reliability. The length of time between administrations is important - the longer the interval, the more chances for random error to reduce reliability.</w:t>
      </w:r>
    </w:p>
    <w:p w14:paraId="2C53A36E" w14:textId="725CA144" w:rsidR="008240C4" w:rsidRDefault="008240C4" w:rsidP="00104E9D">
      <w:pPr>
        <w:pStyle w:val="ListParagraph"/>
        <w:numPr>
          <w:ilvl w:val="0"/>
          <w:numId w:val="224"/>
        </w:numPr>
      </w:pPr>
      <w:r w:rsidRPr="00652D8C">
        <w:rPr>
          <w:b/>
          <w:bCs/>
        </w:rPr>
        <w:t>Split-half reliability</w:t>
      </w:r>
      <w:r>
        <w:t xml:space="preserve">: This assesses consistency between two halves of a measure. The items are randomly divided into two sets and the scores on the two halves are correlated. </w:t>
      </w:r>
      <w:r>
        <w:lastRenderedPageBreak/>
        <w:t>This tends to overestimate reliability for longer measures since more items reduce random error.</w:t>
      </w:r>
    </w:p>
    <w:p w14:paraId="76293789" w14:textId="6BB63E90" w:rsidR="008240C4" w:rsidRDefault="008240C4" w:rsidP="00104E9D">
      <w:pPr>
        <w:pStyle w:val="ListParagraph"/>
        <w:numPr>
          <w:ilvl w:val="0"/>
          <w:numId w:val="224"/>
        </w:numPr>
      </w:pPr>
      <w:r w:rsidRPr="00652D8C">
        <w:rPr>
          <w:b/>
          <w:bCs/>
        </w:rPr>
        <w:t>Internal consistency reliability</w:t>
      </w:r>
      <w:r>
        <w:t>: This evaluates the consistency among the items intending to measure the same construct. It can be estimated with the average inter-item correlation, item-to-total correlation, or Cronbach's alpha coefficient.</w:t>
      </w:r>
    </w:p>
    <w:p w14:paraId="5327D228" w14:textId="040E61E6" w:rsidR="00A626FE" w:rsidRPr="000E309B" w:rsidRDefault="006B72C3" w:rsidP="00AD074B">
      <w:r>
        <w:t>I</w:t>
      </w:r>
      <w:r w:rsidR="008240C4">
        <w:t>n sum, reliability is a critical component of measurement quality, reflecting the consistency and repeatability of a measure. By understanding the sources of measurement error and using appropriate reliability testing techniques, researchers can have greater confidence that their measures will yield consistent results. However, reliability alone does not ensure that a measure is assessing the right construct - that is an issue of validity, which is discussed in the next section.</w:t>
      </w:r>
    </w:p>
    <w:p w14:paraId="5327D229" w14:textId="5D24C5F1" w:rsidR="00A626FE" w:rsidRPr="000E309B" w:rsidRDefault="00D14B33" w:rsidP="002A3AD7">
      <w:pPr>
        <w:pStyle w:val="Heading4"/>
      </w:pPr>
      <w:r w:rsidRPr="000E309B">
        <w:t>Validity</w:t>
      </w:r>
      <w:r w:rsidR="000E5122">
        <w:t>: Ensuring Measures Assess the Right Construct</w:t>
      </w:r>
    </w:p>
    <w:p w14:paraId="7DE71F65" w14:textId="3450995C" w:rsidR="00B22F46" w:rsidRDefault="00B22F46" w:rsidP="00B22F46">
      <w:r>
        <w:t xml:space="preserve">Measurement validity refers to how well a measure </w:t>
      </w:r>
      <w:r w:rsidR="00B807D3">
        <w:t>captures</w:t>
      </w:r>
      <w:r>
        <w:t xml:space="preserve"> the construct it is intended to assess. There are two main approaches to evaluating measurement validity: translational and criterion.</w:t>
      </w:r>
    </w:p>
    <w:p w14:paraId="4026C46B" w14:textId="64CBCFE6" w:rsidR="00B22F46" w:rsidRDefault="0018230D" w:rsidP="001C0A54">
      <w:pPr>
        <w:pStyle w:val="Heading5"/>
      </w:pPr>
      <w:r>
        <w:rPr>
          <w:noProof/>
        </w:rPr>
        <w:drawing>
          <wp:anchor distT="0" distB="0" distL="114300" distR="114300" simplePos="0" relativeHeight="251658314" behindDoc="0" locked="0" layoutInCell="1" allowOverlap="1" wp14:anchorId="5B2FD072" wp14:editId="15ADF486">
            <wp:simplePos x="0" y="0"/>
            <wp:positionH relativeFrom="column">
              <wp:posOffset>1714500</wp:posOffset>
            </wp:positionH>
            <wp:positionV relativeFrom="paragraph">
              <wp:posOffset>0</wp:posOffset>
            </wp:positionV>
            <wp:extent cx="2523744" cy="4096512"/>
            <wp:effectExtent l="0" t="0" r="0" b="0"/>
            <wp:wrapTopAndBottom/>
            <wp:docPr id="277449" name="Picture 27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23744" cy="4096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F46">
        <w:t>Translational Validity</w:t>
      </w:r>
    </w:p>
    <w:p w14:paraId="78F1234B" w14:textId="77777777" w:rsidR="00B22F46" w:rsidRDefault="00B22F46" w:rsidP="00B22F46">
      <w:r>
        <w:t>Translational validity focuses on how well a measure reflects the theoretical definition of a construct. It has two subtypes:</w:t>
      </w:r>
    </w:p>
    <w:p w14:paraId="2300AA27" w14:textId="5B340712" w:rsidR="00B22F46" w:rsidRDefault="00B22F46" w:rsidP="00B22F46">
      <w:r w:rsidRPr="001C0A54">
        <w:rPr>
          <w:b/>
          <w:bCs/>
        </w:rPr>
        <w:t>Face validity</w:t>
      </w:r>
      <w:r>
        <w:t xml:space="preserve">: This is a subjective judgment of whether a measure seems to be a reasonable indicator of the underlying construct on a superficial level. For example, church attendance </w:t>
      </w:r>
      <w:r>
        <w:lastRenderedPageBreak/>
        <w:t>frequency might have face validity as a measure of religiosity, but the number of library books checked out would probably lack face validity as a measure of employee morale. Face validity is a weak form of validity, but it can be useful for initial screening measures. An expert panel may be used to assess face validity, especially for abstract or overlapping constructs.</w:t>
      </w:r>
    </w:p>
    <w:p w14:paraId="0374031F" w14:textId="77777777" w:rsidR="00B22F46" w:rsidRDefault="00B22F46" w:rsidP="00B22F46">
      <w:r w:rsidRPr="001C0A54">
        <w:rPr>
          <w:b/>
          <w:bCs/>
        </w:rPr>
        <w:t>Content validity</w:t>
      </w:r>
      <w:r>
        <w:t>: This examines how well a measure covers the full conceptual domain of a construct. For instance, a measure of satisfaction with restaurant service should include items assessing food quality, staff courtesy, wait times, ambiance, etc. Establishing content validity requires a clear definition of the construct and its key facets. Again, expert judges may be used to evaluate content validity.</w:t>
      </w:r>
    </w:p>
    <w:p w14:paraId="1DCAAC36" w14:textId="64978051" w:rsidR="00B22F46" w:rsidRDefault="00B22F46" w:rsidP="00B22F46">
      <w:r>
        <w:t xml:space="preserve">Both face and content validity are qualitative and theory-driven rather than empirical. They are important for ensuring that measures are conceptually sound, but they don't provide hard evidence that a measure </w:t>
      </w:r>
      <w:r w:rsidR="001C0A54">
        <w:t>works</w:t>
      </w:r>
      <w:r>
        <w:t xml:space="preserve"> as intended. That's where criterion validity comes in.</w:t>
      </w:r>
    </w:p>
    <w:p w14:paraId="652D03BA" w14:textId="77777777" w:rsidR="00B22F46" w:rsidRDefault="00B22F46" w:rsidP="001C0A54">
      <w:pPr>
        <w:pStyle w:val="Heading5"/>
      </w:pPr>
      <w:r>
        <w:t>Criterion Validity</w:t>
      </w:r>
    </w:p>
    <w:p w14:paraId="712AC3EE" w14:textId="77777777" w:rsidR="00B22F46" w:rsidRDefault="00B22F46" w:rsidP="00B22F46">
      <w:r>
        <w:t>Criterion validity evaluates a measure by comparing it to other established criteria. It has several subtypes:</w:t>
      </w:r>
    </w:p>
    <w:p w14:paraId="1F71BEE2" w14:textId="77777777" w:rsidR="00B22F46" w:rsidRDefault="00B22F46" w:rsidP="00B22F46">
      <w:r w:rsidRPr="001C0A54">
        <w:rPr>
          <w:b/>
          <w:bCs/>
        </w:rPr>
        <w:t>Convergent validity</w:t>
      </w:r>
      <w:r>
        <w:t>: This assesses whether a measure relates to other measures of the same construct as expected. Indicators of the same construct should be highly correlated. For example, different measures of organizational knowledge should converge.</w:t>
      </w:r>
    </w:p>
    <w:p w14:paraId="51D9E6E9" w14:textId="77777777" w:rsidR="00B22F46" w:rsidRDefault="00B22F46" w:rsidP="00B22F46">
      <w:r w:rsidRPr="001C0A54">
        <w:rPr>
          <w:b/>
          <w:bCs/>
        </w:rPr>
        <w:t>Discriminant validity</w:t>
      </w:r>
      <w:r>
        <w:t>: This assesses whether a measure is unrelated to measures of different constructs as expected. Indicators of different constructs should have low correlations. For instance, measures of organizational knowledge should be distinct from measures of organizational performance. Convergent and discriminant validity are usually evaluated together to show that a measure relates to similar constructs but not to dissimilar ones.</w:t>
      </w:r>
    </w:p>
    <w:p w14:paraId="4E1F201C" w14:textId="77777777" w:rsidR="00B22F46" w:rsidRDefault="00B22F46" w:rsidP="00B22F46">
      <w:r w:rsidRPr="001C0A54">
        <w:rPr>
          <w:b/>
          <w:bCs/>
        </w:rPr>
        <w:t>Concurrent validity</w:t>
      </w:r>
      <w:r>
        <w:t>: This looks at whether a measure relates to other criteria assessed at the same time. For example, scores in a calculus class should be highly correlated with concurrent scores in a linear algebra class, since both reflect math ability.</w:t>
      </w:r>
    </w:p>
    <w:p w14:paraId="27C66FE5" w14:textId="77777777" w:rsidR="00B22F46" w:rsidRDefault="00B22F46" w:rsidP="00B22F46">
      <w:r w:rsidRPr="001C0A54">
        <w:rPr>
          <w:b/>
          <w:bCs/>
        </w:rPr>
        <w:t>Predictive validity</w:t>
      </w:r>
      <w:r>
        <w:t>: This evaluates whether a measure predicts later criteria as expected. For instance, SAT scores should predict college grades if the SAT is a valid measure of academic preparedness.</w:t>
      </w:r>
    </w:p>
    <w:p w14:paraId="04C647F0" w14:textId="0C3FDF6A" w:rsidR="00B22F46" w:rsidRDefault="00B22F46" w:rsidP="00B22F46">
      <w:r>
        <w:t xml:space="preserve">Criterion validity is </w:t>
      </w:r>
      <w:r w:rsidR="00DB77CF">
        <w:t>empirical,</w:t>
      </w:r>
      <w:r>
        <w:t xml:space="preserve"> and </w:t>
      </w:r>
      <w:r w:rsidR="001C0A54">
        <w:t>data driven</w:t>
      </w:r>
      <w:r>
        <w:t>. It requires collecting data on the measure of interest along with data on other relevant criteria. Statistical analyses are then used to examine the relationships between the measure and the criteria.</w:t>
      </w:r>
    </w:p>
    <w:p w14:paraId="524DEAB9" w14:textId="3847C655" w:rsidR="00B22F46" w:rsidRDefault="00B22F46" w:rsidP="00B22F46">
      <w:r>
        <w:t xml:space="preserve">In sum, translational validity and criterion validity offer complementary approaches to evaluating the quality of a measure. Translational validity ensures that a measure is a good reflection of the </w:t>
      </w:r>
      <w:r>
        <w:lastRenderedPageBreak/>
        <w:t xml:space="preserve">underlying construct definition, while criterion validity provides empirical evidence that a measure relates to other variables as it should </w:t>
      </w:r>
      <w:r w:rsidR="00DB77CF">
        <w:t>be based</w:t>
      </w:r>
      <w:r>
        <w:t xml:space="preserve"> on theory.</w:t>
      </w:r>
    </w:p>
    <w:p w14:paraId="1B6A77D5" w14:textId="389B49E5" w:rsidR="00952A93" w:rsidRDefault="00B22F46" w:rsidP="00B22F46">
      <w:r>
        <w:t>Establishing measurement validity requires both conceptual and empirical work. Researchers must carefully define their constructs, logically analyze whether measures represent those definitions, and then rigorously test those measures against empirical criteria. By using both translational and criterion approaches, researchers can build a strong validity argument to support the use of their measures.</w:t>
      </w:r>
    </w:p>
    <w:p w14:paraId="5327D237" w14:textId="08043F99" w:rsidR="00A626FE" w:rsidRPr="000E309B" w:rsidRDefault="00D14B33" w:rsidP="006E54BC">
      <w:pPr>
        <w:pStyle w:val="Heading5"/>
      </w:pPr>
      <w:r w:rsidRPr="000E309B">
        <w:t>Hypothesis Validity</w:t>
      </w:r>
    </w:p>
    <w:p w14:paraId="6B535106" w14:textId="77777777" w:rsidR="000E41A4" w:rsidRDefault="000E41A4" w:rsidP="0099594F">
      <w:r>
        <w:t>While measurement validity focuses on the quality of individual measures, hypothesis validity is concerned with the overall quality of the research conclusions drawn from those measures. There are four main types of hypothesis validity:</w:t>
      </w:r>
    </w:p>
    <w:p w14:paraId="3483D3EF" w14:textId="574C23FD" w:rsidR="000E41A4" w:rsidRDefault="000E41A4" w:rsidP="001F04DD">
      <w:pPr>
        <w:pStyle w:val="ListParagraph"/>
        <w:numPr>
          <w:ilvl w:val="0"/>
          <w:numId w:val="225"/>
        </w:numPr>
        <w:spacing w:after="240"/>
      </w:pPr>
      <w:r w:rsidRPr="00C128A2">
        <w:rPr>
          <w:b/>
          <w:bCs/>
        </w:rPr>
        <w:t>Internal validity</w:t>
      </w:r>
      <w:r>
        <w:t xml:space="preserve">: This examines whether observed changes in the dependent variable are </w:t>
      </w:r>
      <w:r w:rsidR="0099594F">
        <w:t>caused</w:t>
      </w:r>
      <w:r>
        <w:t xml:space="preserve"> by changes in the hypothesized independent variable, rather than by extraneous factors. Establishing internal validity requires showing:</w:t>
      </w:r>
    </w:p>
    <w:p w14:paraId="2FD93E1F" w14:textId="5314AA59" w:rsidR="000E41A4" w:rsidRDefault="000E41A4" w:rsidP="001F04DD">
      <w:pPr>
        <w:pStyle w:val="ListParagraph"/>
        <w:numPr>
          <w:ilvl w:val="1"/>
          <w:numId w:val="225"/>
        </w:numPr>
        <w:spacing w:before="120"/>
      </w:pPr>
      <w:r>
        <w:t>Covariation: The cause and effect occur together or not at all.</w:t>
      </w:r>
    </w:p>
    <w:p w14:paraId="3C30FA29" w14:textId="2AD47311" w:rsidR="000E41A4" w:rsidRDefault="000E41A4" w:rsidP="00265C56">
      <w:pPr>
        <w:pStyle w:val="ListParagraph"/>
        <w:numPr>
          <w:ilvl w:val="1"/>
          <w:numId w:val="225"/>
        </w:numPr>
      </w:pPr>
      <w:r>
        <w:t>Temporal precedence: The cause precedes the effect in time.</w:t>
      </w:r>
    </w:p>
    <w:p w14:paraId="3DF9DB00" w14:textId="0773EE2E" w:rsidR="000E41A4" w:rsidRDefault="000E41A4" w:rsidP="00265C56">
      <w:pPr>
        <w:pStyle w:val="ListParagraph"/>
        <w:numPr>
          <w:ilvl w:val="1"/>
          <w:numId w:val="225"/>
        </w:numPr>
      </w:pPr>
      <w:r>
        <w:t>No plausible alternative explanations: The relationship is not spurious.</w:t>
      </w:r>
    </w:p>
    <w:p w14:paraId="5A06E781" w14:textId="1608B576" w:rsidR="000E41A4" w:rsidRDefault="000E41A4" w:rsidP="008C6BBE">
      <w:pPr>
        <w:ind w:left="720"/>
      </w:pPr>
      <w:r>
        <w:t xml:space="preserve">Internal validity is strongest in experimental designs where researchers can manipulate the independent variable and </w:t>
      </w:r>
      <w:r w:rsidR="00265C56">
        <w:t>control</w:t>
      </w:r>
      <w:r>
        <w:t xml:space="preserve"> extraneous factors. It is weaker in non-experimental designs like surveys, especially if all variables are measured simultaneously so that temporal precedence cannot be established.</w:t>
      </w:r>
    </w:p>
    <w:p w14:paraId="5DD69DBC" w14:textId="77777777" w:rsidR="000E41A4" w:rsidRDefault="000E41A4" w:rsidP="00265C56">
      <w:pPr>
        <w:pStyle w:val="ListParagraph"/>
        <w:numPr>
          <w:ilvl w:val="0"/>
          <w:numId w:val="225"/>
        </w:numPr>
      </w:pPr>
      <w:r w:rsidRPr="00C128A2">
        <w:rPr>
          <w:b/>
          <w:bCs/>
        </w:rPr>
        <w:t>External validity</w:t>
      </w:r>
      <w:r>
        <w:t>: This refers to the generalizability of research findings. There are two subtypes:</w:t>
      </w:r>
    </w:p>
    <w:p w14:paraId="5297FFC4" w14:textId="26CDA106" w:rsidR="000E41A4" w:rsidRDefault="000E41A4" w:rsidP="00265C56">
      <w:pPr>
        <w:pStyle w:val="ListParagraph"/>
        <w:numPr>
          <w:ilvl w:val="1"/>
          <w:numId w:val="225"/>
        </w:numPr>
      </w:pPr>
      <w:r>
        <w:t>Population validity: Can the results be generalized from the sample to the full population of interest?</w:t>
      </w:r>
    </w:p>
    <w:p w14:paraId="2C3BDB4B" w14:textId="2203DF66" w:rsidR="000E41A4" w:rsidRDefault="000E41A4" w:rsidP="00265C56">
      <w:pPr>
        <w:pStyle w:val="ListParagraph"/>
        <w:numPr>
          <w:ilvl w:val="1"/>
          <w:numId w:val="225"/>
        </w:numPr>
      </w:pPr>
      <w:r>
        <w:t>Ecological validity: Can the results be generalized to other contexts or populations?</w:t>
      </w:r>
    </w:p>
    <w:p w14:paraId="56BD4D9A" w14:textId="77777777" w:rsidR="000E41A4" w:rsidRDefault="000E41A4" w:rsidP="008C6BBE">
      <w:pPr>
        <w:ind w:left="720"/>
      </w:pPr>
      <w:r>
        <w:t>External validity is often a strength of survey research with representative samples, but a weakness of highly controlled experiments with limited generalizability.</w:t>
      </w:r>
    </w:p>
    <w:p w14:paraId="1F52F6FE" w14:textId="37F0A987" w:rsidR="000E41A4" w:rsidRDefault="000E41A4" w:rsidP="00265C56">
      <w:pPr>
        <w:pStyle w:val="ListParagraph"/>
        <w:numPr>
          <w:ilvl w:val="0"/>
          <w:numId w:val="225"/>
        </w:numPr>
      </w:pPr>
      <w:r w:rsidRPr="00C128A2">
        <w:rPr>
          <w:b/>
          <w:bCs/>
        </w:rPr>
        <w:t>Construct validity</w:t>
      </w:r>
      <w:r>
        <w:t xml:space="preserve">: This assesses how well the measures used </w:t>
      </w:r>
      <w:r w:rsidR="00250B0C">
        <w:t>represent</w:t>
      </w:r>
      <w:r>
        <w:t xml:space="preserve"> the theoretical constructs of interest. Constructs must be carefully defined in measurable terms. Confounding variables that affect the construct but are not part of its definition can threaten construct validity. For example, measuring the impact of property ownership on local economies is challenging because property ownership is affected by hard-to-control factors like local politics and market conditions.</w:t>
      </w:r>
    </w:p>
    <w:p w14:paraId="675BF3C6" w14:textId="77777777" w:rsidR="000E41A4" w:rsidRDefault="000E41A4" w:rsidP="00265C56">
      <w:pPr>
        <w:pStyle w:val="ListParagraph"/>
        <w:numPr>
          <w:ilvl w:val="0"/>
          <w:numId w:val="225"/>
        </w:numPr>
      </w:pPr>
      <w:r w:rsidRPr="00C128A2">
        <w:rPr>
          <w:b/>
          <w:bCs/>
        </w:rPr>
        <w:t>Statistical conclusion validity</w:t>
      </w:r>
      <w:r>
        <w:t>: This examines the soundness of the statistical inferences drawn from the data. Key questions include:</w:t>
      </w:r>
    </w:p>
    <w:p w14:paraId="228B755E" w14:textId="1D727564" w:rsidR="000E41A4" w:rsidRDefault="000E41A4" w:rsidP="00265C56">
      <w:pPr>
        <w:pStyle w:val="ListParagraph"/>
        <w:numPr>
          <w:ilvl w:val="1"/>
          <w:numId w:val="225"/>
        </w:numPr>
      </w:pPr>
      <w:r>
        <w:lastRenderedPageBreak/>
        <w:t>Was an appropriate statistical test used given the research question and data characteristics?</w:t>
      </w:r>
    </w:p>
    <w:p w14:paraId="5B22514B" w14:textId="7DF9FE8C" w:rsidR="000E41A4" w:rsidRDefault="000E41A4" w:rsidP="00265C56">
      <w:pPr>
        <w:pStyle w:val="ListParagraph"/>
        <w:numPr>
          <w:ilvl w:val="1"/>
          <w:numId w:val="225"/>
        </w:numPr>
      </w:pPr>
      <w:r>
        <w:t>Were the assumptions of the statistical test met (e.g., sample size, distribution, independence)?</w:t>
      </w:r>
    </w:p>
    <w:p w14:paraId="4E958249" w14:textId="561FADC7" w:rsidR="000E41A4" w:rsidRDefault="000E41A4" w:rsidP="00265C56">
      <w:pPr>
        <w:pStyle w:val="ListParagraph"/>
        <w:numPr>
          <w:ilvl w:val="1"/>
          <w:numId w:val="225"/>
        </w:numPr>
      </w:pPr>
      <w:r>
        <w:t>Is the statistical power adequate to detect meaningful effects?</w:t>
      </w:r>
    </w:p>
    <w:p w14:paraId="58B414C4" w14:textId="33EEA1C5" w:rsidR="000E41A4" w:rsidRDefault="000E41A4" w:rsidP="00265C56">
      <w:pPr>
        <w:pStyle w:val="ListParagraph"/>
        <w:numPr>
          <w:ilvl w:val="1"/>
          <w:numId w:val="225"/>
        </w:numPr>
      </w:pPr>
      <w:r>
        <w:t>Are the results substantively meaningful in addition to being statistically significant?</w:t>
      </w:r>
    </w:p>
    <w:p w14:paraId="45447B2A" w14:textId="77777777" w:rsidR="000E41A4" w:rsidRDefault="000E41A4" w:rsidP="008C6BBE">
      <w:pPr>
        <w:ind w:left="720"/>
      </w:pPr>
      <w:r>
        <w:t>Statistical conclusion validity requires careful selection and application of statistical methods along with informed interpretation of results.</w:t>
      </w:r>
    </w:p>
    <w:p w14:paraId="7E251F9D" w14:textId="69F0DA7B" w:rsidR="000E41A4" w:rsidRDefault="000E41A4" w:rsidP="0058563F">
      <w:r>
        <w:t xml:space="preserve">These four types of hypothesis validity build on each other. Statistical conclusion validity is necessary but not sufficient for internal validity (we need to draw correct statistical </w:t>
      </w:r>
      <w:r w:rsidR="00250B0C">
        <w:t>conclusions but</w:t>
      </w:r>
      <w:r>
        <w:t xml:space="preserve"> must also rule out alternative causal explanations). Internal validity is necessary but not sufficient for construct validity (we need to show causal </w:t>
      </w:r>
      <w:r w:rsidR="00250B0C">
        <w:t>relationships but</w:t>
      </w:r>
      <w:r>
        <w:t xml:space="preserve"> must also ensure we are measuring the right constructs). And construct validity is necessary but not sufficient for external validity (we need to have valid </w:t>
      </w:r>
      <w:r w:rsidR="00250B0C">
        <w:t>constructs but</w:t>
      </w:r>
      <w:r>
        <w:t xml:space="preserve"> must also ensure they generalize to relevant populations and contexts).</w:t>
      </w:r>
    </w:p>
    <w:p w14:paraId="778456DF" w14:textId="77777777" w:rsidR="000E41A4" w:rsidRDefault="000E41A4" w:rsidP="0058563F">
      <w:r>
        <w:t>Establishing hypothesis validity requires careful research design, appropriate statistical analysis, and cautious interpretation of results. Researchers must think critically about potential threats to each type of validity and take steps to mitigate them. Different research designs have different strengths and weaknesses in terms of hypothesis validity. For example, experiments are strong on internal validity but weak on external validity, while surveys are often the opposite.</w:t>
      </w:r>
    </w:p>
    <w:p w14:paraId="5327D245" w14:textId="0F45A241" w:rsidR="00A626FE" w:rsidRPr="000E309B" w:rsidRDefault="000E41A4" w:rsidP="0058563F">
      <w:r>
        <w:t>No study is perfect on all types of validity, but good research aims to maximize validity within the constraints of the research context and goals. By explicitly addressing issues of internal, external, construct, and statistical conclusion validity, researchers can make a convincing case for the credibility of their conclusions.</w:t>
      </w:r>
    </w:p>
    <w:p w14:paraId="5327D246" w14:textId="1AF61982" w:rsidR="00A626FE" w:rsidRPr="000E309B" w:rsidRDefault="005A28EF" w:rsidP="00870F2C">
      <w:pPr>
        <w:pStyle w:val="Heading4"/>
      </w:pPr>
      <w:r>
        <w:t>Maximizing</w:t>
      </w:r>
      <w:r w:rsidR="00D14B33" w:rsidRPr="000E309B">
        <w:t xml:space="preserve"> Internal and External Validity</w:t>
      </w:r>
      <w:r>
        <w:t xml:space="preserve"> in Research Design</w:t>
      </w:r>
    </w:p>
    <w:p w14:paraId="1317D4C1" w14:textId="77777777" w:rsidR="000A1BA2" w:rsidRDefault="000A1BA2" w:rsidP="000A1BA2">
      <w:r>
        <w:t>As you note, the best research designs are those that achieve high levels of both internal and external validity. Internal validity ensures that observed relationships are causal and not spurious, while external validity ensures that the findings can be generalized to the relevant populations and contexts. Achieving both is challenging but essential for drawing credible and useful conclusions from research.</w:t>
      </w:r>
    </w:p>
    <w:p w14:paraId="67243463" w14:textId="77777777" w:rsidR="000A1BA2" w:rsidRDefault="000A1BA2" w:rsidP="000A1BA2">
      <w:r>
        <w:t>There are four main strategies for improving internal validity:</w:t>
      </w:r>
    </w:p>
    <w:p w14:paraId="17D61485" w14:textId="77777777" w:rsidR="000A1BA2" w:rsidRDefault="000A1BA2" w:rsidP="004453E7">
      <w:pPr>
        <w:pStyle w:val="ListParagraph"/>
        <w:numPr>
          <w:ilvl w:val="0"/>
          <w:numId w:val="226"/>
        </w:numPr>
      </w:pPr>
      <w:r w:rsidRPr="00B35D99">
        <w:rPr>
          <w:b/>
          <w:bCs/>
        </w:rPr>
        <w:t>Manipulation</w:t>
      </w:r>
      <w:r>
        <w:t xml:space="preserve">: In experimental designs, researchers manipulate the independent variable by exposing different groups to different treatments (or no treatment for the control group). This allows for direct observation of causality. If the dependent variable differs across treatment groups, this difference can be attributed to the manipulation of the independent </w:t>
      </w:r>
      <w:r>
        <w:lastRenderedPageBreak/>
        <w:t>variable. Non-experimental designs like surveys don't allow for this type of controlled manipulation.</w:t>
      </w:r>
    </w:p>
    <w:p w14:paraId="7FBF57A7" w14:textId="77777777" w:rsidR="000A1BA2" w:rsidRDefault="000A1BA2" w:rsidP="004453E7">
      <w:pPr>
        <w:pStyle w:val="ListParagraph"/>
        <w:numPr>
          <w:ilvl w:val="0"/>
          <w:numId w:val="226"/>
        </w:numPr>
      </w:pPr>
      <w:r w:rsidRPr="00B35D99">
        <w:rPr>
          <w:b/>
          <w:bCs/>
        </w:rPr>
        <w:t>Elimination</w:t>
      </w:r>
      <w:r>
        <w:t>: This involves holding potential confounding variables constant across treatment groups. For example, if gender might influence the dependent variable, using only male subjects eliminates gender as a confounding factor. The downside is that this limits generalizability.</w:t>
      </w:r>
    </w:p>
    <w:p w14:paraId="16D17454" w14:textId="26E1AB97" w:rsidR="000A1BA2" w:rsidRDefault="000A1BA2" w:rsidP="004453E7">
      <w:pPr>
        <w:pStyle w:val="ListParagraph"/>
        <w:numPr>
          <w:ilvl w:val="0"/>
          <w:numId w:val="226"/>
        </w:numPr>
      </w:pPr>
      <w:r w:rsidRPr="00B35D99">
        <w:rPr>
          <w:b/>
          <w:bCs/>
        </w:rPr>
        <w:t>Inclusion</w:t>
      </w:r>
      <w:r>
        <w:t xml:space="preserve">: Instead of eliminating confounds, researchers can measure them and statistically </w:t>
      </w:r>
      <w:r w:rsidR="00CC6C70">
        <w:t>control</w:t>
      </w:r>
      <w:r>
        <w:t xml:space="preserve"> their effects. For instance, if gender is a potential confound</w:t>
      </w:r>
      <w:r w:rsidR="00CC6C70">
        <w:t>ing variable</w:t>
      </w:r>
      <w:r>
        <w:t>, it can be included as a covariate in the analysis. This improves generalizability but requires larger samples to have enough statistical power.</w:t>
      </w:r>
    </w:p>
    <w:p w14:paraId="51192F5D" w14:textId="77777777" w:rsidR="000A1BA2" w:rsidRDefault="000A1BA2" w:rsidP="004453E7">
      <w:pPr>
        <w:pStyle w:val="ListParagraph"/>
        <w:numPr>
          <w:ilvl w:val="0"/>
          <w:numId w:val="226"/>
        </w:numPr>
      </w:pPr>
      <w:r w:rsidRPr="00B35D99">
        <w:rPr>
          <w:b/>
          <w:bCs/>
        </w:rPr>
        <w:t>Randomization</w:t>
      </w:r>
      <w:r>
        <w:t>: Random sampling helps ensure that treatment groups are equivalent on potential confounding variables. There are two types:</w:t>
      </w:r>
    </w:p>
    <w:p w14:paraId="41F845C4" w14:textId="48F94473" w:rsidR="000A1BA2" w:rsidRDefault="000A1BA2" w:rsidP="004453E7">
      <w:pPr>
        <w:pStyle w:val="ListParagraph"/>
        <w:numPr>
          <w:ilvl w:val="1"/>
          <w:numId w:val="226"/>
        </w:numPr>
      </w:pPr>
      <w:r>
        <w:t>Random selection: Randomly sampling subjects from the population improves external validity by making the sample more representative.</w:t>
      </w:r>
    </w:p>
    <w:p w14:paraId="4D5EB4D3" w14:textId="20D85C3D" w:rsidR="000A1BA2" w:rsidRDefault="000A1BA2" w:rsidP="004453E7">
      <w:pPr>
        <w:pStyle w:val="ListParagraph"/>
        <w:numPr>
          <w:ilvl w:val="1"/>
          <w:numId w:val="226"/>
        </w:numPr>
      </w:pPr>
      <w:r>
        <w:t>Random assignment: Randomly assigning subjects to treatment groups improves internal validity by distributing potential confounds evenly across groups.</w:t>
      </w:r>
    </w:p>
    <w:p w14:paraId="0D7B7B3D" w14:textId="77777777" w:rsidR="000A1BA2" w:rsidRDefault="000A1BA2" w:rsidP="004453E7">
      <w:pPr>
        <w:ind w:left="720"/>
      </w:pPr>
      <w:r>
        <w:t>The key advantage of randomization is that it controls for both known and unknown confounds. However, perfect randomization is often not feasible, especially with small samples.</w:t>
      </w:r>
    </w:p>
    <w:p w14:paraId="343CB2D6" w14:textId="77777777" w:rsidR="000A1BA2" w:rsidRDefault="000A1BA2" w:rsidP="000A1BA2">
      <w:r>
        <w:t>These strategies are not mutually exclusive and are often used in combination. For example, a well-designed experiment might involve random selection of subjects from the population, random assignment to treatment conditions, manipulation of the independent variable, elimination of some confounds through strict inclusion criteria, and inclusion of others as covariates.</w:t>
      </w:r>
    </w:p>
    <w:p w14:paraId="4600CB75" w14:textId="77777777" w:rsidR="000A1BA2" w:rsidRDefault="000A1BA2" w:rsidP="000A1BA2">
      <w:r>
        <w:t>The choice of strategies depends on the research question, design, and constraints. Experiments prioritize internal validity through manipulation and control, while surveys prioritize external validity through representative sampling. Quasi-experiments and field studies aim for a balance of internal and external validity by combining manipulation or natural variation with real-world contexts.</w:t>
      </w:r>
    </w:p>
    <w:p w14:paraId="78594835" w14:textId="77777777" w:rsidR="000A1BA2" w:rsidRDefault="000A1BA2" w:rsidP="000A1BA2">
      <w:r>
        <w:t>Regardless of the specific design, researchers should always critically evaluate threats to internal and external validity and take steps to mitigate them. Manipulation, elimination, inclusion, and randomization are powerful tools, but they must be applied thoughtfully and transparently.</w:t>
      </w:r>
    </w:p>
    <w:p w14:paraId="2D657364" w14:textId="77777777" w:rsidR="000A1BA2" w:rsidRDefault="000A1BA2" w:rsidP="000A1BA2">
      <w:r>
        <w:t>It's also important to recognize that there are often tradeoffs between internal and external validity. Highly controlled designs may limit generalizability, while more naturalistic designs may compromise causal inference. The key is to strike an appropriate balance given the research goals and to be clear about the limitations of the chosen approach.</w:t>
      </w:r>
    </w:p>
    <w:p w14:paraId="5327D24B" w14:textId="6B408649" w:rsidR="00A626FE" w:rsidRPr="000E309B" w:rsidRDefault="000A1BA2" w:rsidP="000A1BA2">
      <w:r>
        <w:t xml:space="preserve">Ultimately, no single study can perfectly achieve both internal and external validity. The strength of scientific research lies in the accumulation of evidence from multiple studies using diverse methods and samples. By systematically building on each other's work and triangulating findings </w:t>
      </w:r>
      <w:r>
        <w:lastRenderedPageBreak/>
        <w:t>across different approaches, researchers can arrive at more robust and generalizable conclusions over time.</w:t>
      </w:r>
    </w:p>
    <w:p w14:paraId="4922C514" w14:textId="5AC3E5B7" w:rsidR="00223EED" w:rsidRPr="00223EED" w:rsidRDefault="00223EED" w:rsidP="00F13BDB">
      <w:pPr>
        <w:pStyle w:val="Heading4"/>
      </w:pPr>
      <w:r w:rsidRPr="00223EED">
        <w:t>Validity for Qualitative Research</w:t>
      </w:r>
    </w:p>
    <w:p w14:paraId="7501643D" w14:textId="3AAD93C1" w:rsidR="00F13BDB" w:rsidRDefault="00F13BDB" w:rsidP="00F13BDB">
      <w:r w:rsidRPr="000E309B">
        <w:t>The validity measures in this chapter have been designed primarily for quantitative research</w:t>
      </w:r>
      <w:r>
        <w:t xml:space="preserve">, but qualitative research methods </w:t>
      </w:r>
      <w:r w:rsidR="00537BDD">
        <w:t xml:space="preserve">require </w:t>
      </w:r>
      <w:r>
        <w:t>a more nuanced and context-specific understanding of validity. Traditional quantitative validity criteria are often a poor fit for the goals and methods of qualitative inquiry.</w:t>
      </w:r>
    </w:p>
    <w:p w14:paraId="3D3B3004" w14:textId="3FF9002F" w:rsidR="00F13BDB" w:rsidRDefault="00F13BDB" w:rsidP="00F13BDB">
      <w:r>
        <w:t>Cho and Trent's</w:t>
      </w:r>
      <w:r w:rsidR="008C6CC5">
        <w:t xml:space="preserve"> </w:t>
      </w:r>
      <w:r>
        <w:t>framework offers a valuable reconceptualization of validity for qualitative research. They propose two main types of qualitative validity</w:t>
      </w:r>
      <w:r w:rsidR="008C6CC5">
        <w:t xml:space="preserve"> </w:t>
      </w:r>
      <w:r w:rsidR="008C6CC5">
        <w:fldChar w:fldCharType="begin"/>
      </w:r>
      <w:r w:rsidR="007C07B4">
        <w:instrText xml:space="preserve"> ADDIN ZOTERO_ITEM CSL_CITATION {"citationID":"a19t6hmbslp","properties":{"formattedCitation":"[60]","plainCitation":"[60]","noteIndex":0},"citationItems":[{"id":13,"uris":["http://zotero.org/users/5015692/items/W9IFBWAA"],"itemData":{"id":13,"type":"article-journal","container-title":"Qualitative research","issue":"3","page":"319–340","title":"Validity in qualitative research revisited","volume":"6","author":[{"family":"Cho","given":"Jeasik"},{"family":"Trent","given":"Allen"}],"issued":{"date-parts":[["2006"]]}}}],"schema":"https://github.com/citation-style-language/schema/raw/master/csl-citation.json"} </w:instrText>
      </w:r>
      <w:r w:rsidR="008C6CC5">
        <w:fldChar w:fldCharType="separate"/>
      </w:r>
      <w:r w:rsidR="007C07B4" w:rsidRPr="007C07B4">
        <w:t>[60]</w:t>
      </w:r>
      <w:r w:rsidR="008C6CC5">
        <w:fldChar w:fldCharType="end"/>
      </w:r>
      <w:r>
        <w:t>:</w:t>
      </w:r>
    </w:p>
    <w:p w14:paraId="04CD1C39" w14:textId="77777777" w:rsidR="00F13BDB" w:rsidRDefault="00F13BDB" w:rsidP="00537BDD">
      <w:pPr>
        <w:pStyle w:val="ListParagraph"/>
        <w:numPr>
          <w:ilvl w:val="0"/>
          <w:numId w:val="227"/>
        </w:numPr>
      </w:pPr>
      <w:r w:rsidRPr="00CE2E21">
        <w:rPr>
          <w:b/>
          <w:bCs/>
        </w:rPr>
        <w:t>Transactional validity</w:t>
      </w:r>
      <w:r>
        <w:t>: This is an interactive process of verifying the accuracy of data and interpretations through techniques like member checking (having participants review findings) and triangulation (using multiple data sources or methods). The goal is to achieve a higher level of consensus between the researcher and participants about the "truth" of the findings.</w:t>
      </w:r>
    </w:p>
    <w:p w14:paraId="2F51C346" w14:textId="77777777" w:rsidR="00F13BDB" w:rsidRDefault="00F13BDB" w:rsidP="00537BDD">
      <w:pPr>
        <w:pStyle w:val="ListParagraph"/>
        <w:numPr>
          <w:ilvl w:val="0"/>
          <w:numId w:val="227"/>
        </w:numPr>
      </w:pPr>
      <w:r w:rsidRPr="00CE2E21">
        <w:rPr>
          <w:b/>
          <w:bCs/>
        </w:rPr>
        <w:t>Transformational validity</w:t>
      </w:r>
      <w:r>
        <w:t>: This recognizes that qualitative research is inherently value-laden and aims to promote social change through the research process itself. Validity is established through the researcher's self-reflection and deconstruction/reconstruction of meanings to make the findings more socially impactful.</w:t>
      </w:r>
    </w:p>
    <w:p w14:paraId="69320F6B" w14:textId="570B178C" w:rsidR="00F13BDB" w:rsidRDefault="00F13BDB" w:rsidP="00F13BDB">
      <w:r>
        <w:t>Cho and Trent then extend Donmoyer's framework of five purposes of qualitative research</w:t>
      </w:r>
      <w:r w:rsidR="00537BDD">
        <w:t xml:space="preserve"> </w:t>
      </w:r>
      <w:r w:rsidR="006239F5">
        <w:fldChar w:fldCharType="begin"/>
      </w:r>
      <w:r w:rsidR="007C07B4">
        <w:instrText xml:space="preserve"> ADDIN ZOTERO_ITEM CSL_CITATION {"citationID":"ai33ipgudh","properties":{"formattedCitation":"[61]","plainCitation":"[61]","noteIndex":0},"citationItems":[{"id":9,"uris":["http://zotero.org/users/5015692/items/3WXA4FTV"],"itemData":{"id":9,"type":"article-journal","container-title":"Handbook of research on teaching","page":"174–197","title":"Paradigm talk reconsidered","volume":"4","author":[{"family":"Donmoyer","given":"Robert"}],"issued":{"date-parts":[["2001"]]}}}],"schema":"https://github.com/citation-style-language/schema/raw/master/csl-citation.json"} </w:instrText>
      </w:r>
      <w:r w:rsidR="006239F5">
        <w:fldChar w:fldCharType="separate"/>
      </w:r>
      <w:r w:rsidR="007C07B4" w:rsidRPr="007C07B4">
        <w:t>[61]</w:t>
      </w:r>
      <w:r w:rsidR="006239F5">
        <w:fldChar w:fldCharType="end"/>
      </w:r>
      <w:r>
        <w:t>, each with its own validity criteria:</w:t>
      </w:r>
    </w:p>
    <w:p w14:paraId="017280AA" w14:textId="77777777" w:rsidR="00F13BDB" w:rsidRDefault="00F13BDB" w:rsidP="000F3EFC">
      <w:pPr>
        <w:pStyle w:val="ListParagraph"/>
        <w:numPr>
          <w:ilvl w:val="0"/>
          <w:numId w:val="228"/>
        </w:numPr>
      </w:pPr>
      <w:r w:rsidRPr="00CE2E21">
        <w:rPr>
          <w:b/>
          <w:bCs/>
        </w:rPr>
        <w:t>Truth-seeking</w:t>
      </w:r>
      <w:r>
        <w:t>: Validity is a progressive process of induction through data collection, analysis, interpretation, and triangulation to represent "what is" credibly.</w:t>
      </w:r>
    </w:p>
    <w:p w14:paraId="50251028" w14:textId="77777777" w:rsidR="00F13BDB" w:rsidRDefault="00F13BDB" w:rsidP="000F3EFC">
      <w:pPr>
        <w:pStyle w:val="ListParagraph"/>
        <w:numPr>
          <w:ilvl w:val="0"/>
          <w:numId w:val="228"/>
        </w:numPr>
      </w:pPr>
      <w:r w:rsidRPr="00CE2E21">
        <w:rPr>
          <w:b/>
          <w:bCs/>
        </w:rPr>
        <w:t>Thick description</w:t>
      </w:r>
      <w:r>
        <w:t>: Validity comes from holistic, prolonged engagement with the subject and presenting rich data that allow readers to draw their own conclusions.</w:t>
      </w:r>
    </w:p>
    <w:p w14:paraId="7775A013" w14:textId="77777777" w:rsidR="00F13BDB" w:rsidRDefault="00F13BDB" w:rsidP="000F3EFC">
      <w:pPr>
        <w:pStyle w:val="ListParagraph"/>
        <w:numPr>
          <w:ilvl w:val="0"/>
          <w:numId w:val="228"/>
        </w:numPr>
      </w:pPr>
      <w:r w:rsidRPr="00CE2E21">
        <w:rPr>
          <w:b/>
          <w:bCs/>
        </w:rPr>
        <w:t>Developmental</w:t>
      </w:r>
      <w:r>
        <w:t>: Validity is an ongoing process as the research unfolds over time, rather than a one-time event.</w:t>
      </w:r>
    </w:p>
    <w:p w14:paraId="4C60D41B" w14:textId="77777777" w:rsidR="00F13BDB" w:rsidRDefault="00F13BDB" w:rsidP="000F3EFC">
      <w:pPr>
        <w:pStyle w:val="ListParagraph"/>
        <w:numPr>
          <w:ilvl w:val="0"/>
          <w:numId w:val="228"/>
        </w:numPr>
      </w:pPr>
      <w:r w:rsidRPr="00CE2E21">
        <w:rPr>
          <w:b/>
          <w:bCs/>
        </w:rPr>
        <w:t>Personal essay</w:t>
      </w:r>
      <w:r>
        <w:t>: Validity is based on the researcher's expertise and self-reflection in telling a subjective, personal story (e.g., autoethnography).</w:t>
      </w:r>
    </w:p>
    <w:p w14:paraId="1577B875" w14:textId="77777777" w:rsidR="00F13BDB" w:rsidRDefault="00F13BDB" w:rsidP="000F3EFC">
      <w:pPr>
        <w:pStyle w:val="ListParagraph"/>
        <w:numPr>
          <w:ilvl w:val="0"/>
          <w:numId w:val="228"/>
        </w:numPr>
      </w:pPr>
      <w:r w:rsidRPr="00CE2E21">
        <w:rPr>
          <w:b/>
          <w:bCs/>
        </w:rPr>
        <w:t>Praxis/social change</w:t>
      </w:r>
      <w:r>
        <w:t>: Validity is established through member checks, researcher critical self-reflection, and evidence of challenging the status quo, especially in action research.</w:t>
      </w:r>
    </w:p>
    <w:p w14:paraId="7B706BB1" w14:textId="77777777" w:rsidR="00F13BDB" w:rsidRDefault="00F13BDB" w:rsidP="00F13BDB">
      <w:r>
        <w:t>Cho and Trent argue that simple techniques like member checks and triangulation are not enough. Instead, they advocate for an inclusive, holistic approach to validity that is tailored to the specific research purpose and context. This involves providing a transparent narrative of the validity strategies used so readers can judge for themselves.</w:t>
      </w:r>
    </w:p>
    <w:p w14:paraId="1574D9AF" w14:textId="77777777" w:rsidR="00F13BDB" w:rsidRDefault="00F13BDB" w:rsidP="00F13BDB">
      <w:r>
        <w:lastRenderedPageBreak/>
        <w:t>Their key point is that qualitative validity should not try to mimic quantitative validity. Qualitative research has different aims and methods, so it needs its own validity criteria that align with those aims and methods. A one-size-fits-all approach to validity is misguided.</w:t>
      </w:r>
    </w:p>
    <w:p w14:paraId="42B065C4" w14:textId="77777777" w:rsidR="00F13BDB" w:rsidRDefault="00F13BDB" w:rsidP="00F13BDB">
      <w:r>
        <w:t>This expanded view of validity has important implications for how qualitative research is conducted and evaluated. It suggests that researchers need to:</w:t>
      </w:r>
    </w:p>
    <w:p w14:paraId="308F524C" w14:textId="77777777" w:rsidR="00F13BDB" w:rsidRDefault="00F13BDB" w:rsidP="00CE2E21">
      <w:pPr>
        <w:pStyle w:val="ListParagraph"/>
        <w:numPr>
          <w:ilvl w:val="0"/>
          <w:numId w:val="424"/>
        </w:numPr>
      </w:pPr>
      <w:r>
        <w:t>Clearly articulate the purpose and paradigm of their research.</w:t>
      </w:r>
    </w:p>
    <w:p w14:paraId="05550248" w14:textId="77777777" w:rsidR="00F13BDB" w:rsidRDefault="00F13BDB" w:rsidP="00CE2E21">
      <w:pPr>
        <w:pStyle w:val="ListParagraph"/>
        <w:numPr>
          <w:ilvl w:val="0"/>
          <w:numId w:val="424"/>
        </w:numPr>
      </w:pPr>
      <w:r>
        <w:t>Select validity strategies that fit that purpose and paradigm.</w:t>
      </w:r>
    </w:p>
    <w:p w14:paraId="29454160" w14:textId="77777777" w:rsidR="00F13BDB" w:rsidRDefault="00F13BDB" w:rsidP="00CE2E21">
      <w:pPr>
        <w:pStyle w:val="ListParagraph"/>
        <w:numPr>
          <w:ilvl w:val="0"/>
          <w:numId w:val="424"/>
        </w:numPr>
      </w:pPr>
      <w:r>
        <w:t>Provide a detailed account of how those strategies were applied.</w:t>
      </w:r>
    </w:p>
    <w:p w14:paraId="60E9C2B6" w14:textId="77777777" w:rsidR="00F13BDB" w:rsidRDefault="00F13BDB" w:rsidP="00CE2E21">
      <w:pPr>
        <w:pStyle w:val="ListParagraph"/>
        <w:numPr>
          <w:ilvl w:val="0"/>
          <w:numId w:val="424"/>
        </w:numPr>
      </w:pPr>
      <w:r>
        <w:t>Reflect critically on their own role and influence in the research process.</w:t>
      </w:r>
    </w:p>
    <w:p w14:paraId="02DF9ADC" w14:textId="77777777" w:rsidR="00F13BDB" w:rsidRDefault="00F13BDB" w:rsidP="00CE2E21">
      <w:pPr>
        <w:pStyle w:val="ListParagraph"/>
        <w:numPr>
          <w:ilvl w:val="0"/>
          <w:numId w:val="424"/>
        </w:numPr>
      </w:pPr>
      <w:r>
        <w:t>Engage participants and stakeholders in validating findings.</w:t>
      </w:r>
    </w:p>
    <w:p w14:paraId="57449C1F" w14:textId="77777777" w:rsidR="00F13BDB" w:rsidRDefault="00F13BDB" w:rsidP="00CE2E21">
      <w:pPr>
        <w:pStyle w:val="ListParagraph"/>
        <w:numPr>
          <w:ilvl w:val="0"/>
          <w:numId w:val="424"/>
        </w:numPr>
      </w:pPr>
      <w:r>
        <w:t>Consider the social impact and transformative potential of the research.</w:t>
      </w:r>
    </w:p>
    <w:p w14:paraId="05EC073D" w14:textId="7E2645ED" w:rsidR="00692883" w:rsidRDefault="00F13BDB" w:rsidP="00F13BDB">
      <w:r>
        <w:t>By taking a more holistic, purposeful, and reflective approach to validity, qualitative researchers can enhance the credibility and impact of their work without compromising the unique strengths and values of qualitative inquiry. This requires a shift away from rigid, formulaic validity checklists and toward a more flexible, context-sensitive understanding of what makes qualitative research valid and valuable.</w:t>
      </w:r>
    </w:p>
    <w:p w14:paraId="5327D259" w14:textId="003F3DBE" w:rsidR="00A626FE" w:rsidRDefault="00853360" w:rsidP="009D5B09">
      <w:r>
        <w:t xml:space="preserve">The following figure is </w:t>
      </w:r>
      <w:r w:rsidR="00D14B33" w:rsidRPr="000E309B">
        <w:t xml:space="preserve">based on </w:t>
      </w:r>
      <w:r w:rsidR="005215B2">
        <w:t xml:space="preserve">a similar diagram </w:t>
      </w:r>
      <w:r w:rsidR="00D14B33" w:rsidRPr="000E309B">
        <w:t>presented by Cho and Trent in their report.</w:t>
      </w:r>
    </w:p>
    <w:p w14:paraId="6A77C672" w14:textId="44F6E0AB" w:rsidR="00B84625" w:rsidRPr="000E309B" w:rsidRDefault="00B84625" w:rsidP="000E309B">
      <w:pPr>
        <w:spacing w:line="360" w:lineRule="auto"/>
      </w:pPr>
    </w:p>
    <w:p w14:paraId="5327D25C" w14:textId="4FEF3E76" w:rsidR="00A626FE" w:rsidRPr="000E309B" w:rsidRDefault="00D14B33" w:rsidP="00853360">
      <w:pPr>
        <w:spacing w:line="360" w:lineRule="auto"/>
        <w:jc w:val="center"/>
      </w:pPr>
      <w:r w:rsidRPr="000E309B">
        <w:rPr>
          <w:noProof/>
        </w:rPr>
        <w:drawing>
          <wp:inline distT="0" distB="0" distL="0" distR="0" wp14:anchorId="5327DD83" wp14:editId="5327DD84">
            <wp:extent cx="4038792" cy="3013689"/>
            <wp:effectExtent l="0" t="0" r="0" b="0"/>
            <wp:docPr id="8757" name="Picture 8757"/>
            <wp:cNvGraphicFramePr/>
            <a:graphic xmlns:a="http://schemas.openxmlformats.org/drawingml/2006/main">
              <a:graphicData uri="http://schemas.openxmlformats.org/drawingml/2006/picture">
                <pic:pic xmlns:pic="http://schemas.openxmlformats.org/drawingml/2006/picture">
                  <pic:nvPicPr>
                    <pic:cNvPr id="8757" name="Picture 8757"/>
                    <pic:cNvPicPr/>
                  </pic:nvPicPr>
                  <pic:blipFill>
                    <a:blip r:embed="rId166"/>
                    <a:stretch>
                      <a:fillRect/>
                    </a:stretch>
                  </pic:blipFill>
                  <pic:spPr>
                    <a:xfrm>
                      <a:off x="0" y="0"/>
                      <a:ext cx="4038792" cy="3013689"/>
                    </a:xfrm>
                    <a:prstGeom prst="rect">
                      <a:avLst/>
                    </a:prstGeom>
                  </pic:spPr>
                </pic:pic>
              </a:graphicData>
            </a:graphic>
          </wp:inline>
        </w:drawing>
      </w:r>
    </w:p>
    <w:p w14:paraId="5327D25D" w14:textId="37743481" w:rsidR="00A626FE" w:rsidRPr="000E309B" w:rsidRDefault="00AA41E9" w:rsidP="00177ED5">
      <w:pPr>
        <w:pStyle w:val="Heading3"/>
      </w:pPr>
      <w:bookmarkStart w:id="68" w:name="_Toc169156721"/>
      <w:r>
        <w:rPr>
          <w:noProof/>
        </w:rPr>
        <w:lastRenderedPageBreak/>
        <w:drawing>
          <wp:anchor distT="0" distB="0" distL="114300" distR="114300" simplePos="0" relativeHeight="251991124" behindDoc="0" locked="0" layoutInCell="1" allowOverlap="1" wp14:anchorId="000F13D5" wp14:editId="4D3EA1F6">
            <wp:simplePos x="0" y="0"/>
            <wp:positionH relativeFrom="column">
              <wp:align>right</wp:align>
            </wp:positionH>
            <wp:positionV relativeFrom="paragraph">
              <wp:posOffset>0</wp:posOffset>
            </wp:positionV>
            <wp:extent cx="914400" cy="914400"/>
            <wp:effectExtent l="19050" t="19050" r="19050" b="19050"/>
            <wp:wrapSquare wrapText="bothSides"/>
            <wp:docPr id="1805208068" name="Picture 5" descr="A drawing of a dra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08068" name="Picture 5" descr="A drawing of a draw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77ED5">
        <w:t>A</w:t>
      </w:r>
      <w:r w:rsidR="00D14B33" w:rsidRPr="000E309B">
        <w:t xml:space="preserve"> </w:t>
      </w:r>
      <w:r w:rsidR="00177ED5">
        <w:t>S</w:t>
      </w:r>
      <w:r w:rsidR="00D14B33" w:rsidRPr="000E309B">
        <w:t xml:space="preserve">ampling of </w:t>
      </w:r>
      <w:r w:rsidR="00177ED5">
        <w:t>R</w:t>
      </w:r>
      <w:r w:rsidR="00D14B33" w:rsidRPr="000E309B">
        <w:t>esearch</w:t>
      </w:r>
      <w:bookmarkEnd w:id="68"/>
    </w:p>
    <w:p w14:paraId="5327D25E" w14:textId="1FE1E3A8" w:rsidR="00A626FE" w:rsidRPr="000E309B" w:rsidRDefault="00D14B33" w:rsidP="005426E7">
      <w:pPr>
        <w:pStyle w:val="Heading4"/>
      </w:pPr>
      <w:r w:rsidRPr="000E309B">
        <w:t>Consumer Self-Confidence</w:t>
      </w:r>
    </w:p>
    <w:p w14:paraId="5327D25F" w14:textId="24AFD615" w:rsidR="00A626FE" w:rsidRPr="000E309B" w:rsidRDefault="00D14B33" w:rsidP="001D0537">
      <w:r w:rsidRPr="000E309B">
        <w:t>Bearden, Hardesty, and Rose investigated consumer self-confidence</w:t>
      </w:r>
      <w:r w:rsidR="00A0282B">
        <w:t xml:space="preserve"> </w:t>
      </w:r>
      <w:r w:rsidR="00A0282B">
        <w:fldChar w:fldCharType="begin"/>
      </w:r>
      <w:r w:rsidR="007C07B4">
        <w:instrText xml:space="preserve"> ADDIN ZOTERO_ITEM CSL_CITATION {"citationID":"a36bfsjgef","properties":{"formattedCitation":"[62]","plainCitation":"[62]","noteIndex":0},"citationItems":[{"id":14,"uris":["http://zotero.org/users/5015692/items/I496IC6T"],"itemData":{"id":14,"type":"article-journal","container-title":"Journal of consumer research","issue":"1","page":"121–134","title":"Consumer self-confidence: Refinements in conceptualization and measurement","volume":"28","author":[{"family":"Bearden","given":"William O"},{"family":"Hardesty","given":"David M"},{"family":"Rose","given":"Randall L"}],"issued":{"date-parts":[["2001"]]}}}],"schema":"https://github.com/citation-style-language/schema/raw/master/csl-citation.json"} </w:instrText>
      </w:r>
      <w:r w:rsidR="00A0282B">
        <w:fldChar w:fldCharType="separate"/>
      </w:r>
      <w:r w:rsidR="007C07B4" w:rsidRPr="007C07B4">
        <w:t>[62]</w:t>
      </w:r>
      <w:r w:rsidR="00A0282B">
        <w:fldChar w:fldCharType="end"/>
      </w:r>
      <w:r w:rsidRPr="000E309B">
        <w:t>. The</w:t>
      </w:r>
      <w:r w:rsidR="00EA273F">
        <w:t>ir research project aimed</w:t>
      </w:r>
      <w:r w:rsidRPr="000E309B">
        <w:t xml:space="preserve"> to refine the conceptualization and measurement of consumer self-confidence </w:t>
      </w:r>
      <w:r w:rsidR="00D830BA" w:rsidRPr="000E309B">
        <w:t>to</w:t>
      </w:r>
      <w:r w:rsidRPr="000E309B">
        <w:t xml:space="preserve"> </w:t>
      </w:r>
      <w:r w:rsidR="00E52BB6">
        <w:t>understand that concept better</w:t>
      </w:r>
      <w:r w:rsidRPr="000E309B">
        <w:t>. Consumer self-confidence is “</w:t>
      </w:r>
      <w:r w:rsidR="00DC3C81">
        <w:t>...</w:t>
      </w:r>
      <w:r w:rsidRPr="000E309B">
        <w:t xml:space="preserve">the extent to which an individual feels capable and assured </w:t>
      </w:r>
      <w:r w:rsidR="00E52BB6">
        <w:t>concerning</w:t>
      </w:r>
      <w:r w:rsidRPr="000E309B">
        <w:t xml:space="preserve"> his or her marketplace decisions and behaviors.” The researchers conceptualized consumer </w:t>
      </w:r>
      <w:r w:rsidR="00D830BA" w:rsidRPr="000E309B">
        <w:t>self</w:t>
      </w:r>
      <w:r w:rsidR="00D830BA">
        <w:t>-</w:t>
      </w:r>
      <w:r w:rsidR="00D830BA" w:rsidRPr="000E309B">
        <w:t>confidence</w:t>
      </w:r>
      <w:r w:rsidRPr="000E309B">
        <w:t xml:space="preserve"> as two higher-order factors that are each made up of several dimensions.</w:t>
      </w:r>
    </w:p>
    <w:p w14:paraId="5327D260" w14:textId="77777777" w:rsidR="00A626FE" w:rsidRPr="000E309B" w:rsidRDefault="00D14B33" w:rsidP="001D0537">
      <w:pPr>
        <w:pStyle w:val="ListParagraph"/>
        <w:numPr>
          <w:ilvl w:val="0"/>
          <w:numId w:val="425"/>
        </w:numPr>
      </w:pPr>
      <w:r w:rsidRPr="000E309B">
        <w:t>Decision-Making Self-Confidence</w:t>
      </w:r>
    </w:p>
    <w:p w14:paraId="5327D261" w14:textId="73306D89" w:rsidR="00A626FE" w:rsidRPr="000E309B" w:rsidRDefault="00D14B33" w:rsidP="001D0537">
      <w:pPr>
        <w:pStyle w:val="ListParagraph"/>
        <w:numPr>
          <w:ilvl w:val="1"/>
          <w:numId w:val="425"/>
        </w:numPr>
      </w:pPr>
      <w:r w:rsidRPr="000E309B">
        <w:t xml:space="preserve">Information </w:t>
      </w:r>
      <w:r w:rsidR="00221274" w:rsidRPr="000E309B">
        <w:t>acquisition</w:t>
      </w:r>
      <w:r w:rsidRPr="000E309B">
        <w:t xml:space="preserve"> and processing. Assessed with statements like, “I know where to find the information I need </w:t>
      </w:r>
      <w:r w:rsidR="00090ECA">
        <w:t>before</w:t>
      </w:r>
      <w:r w:rsidRPr="000E309B">
        <w:t xml:space="preserve"> making a purchase” and “I know the right questions to ask when shopping.”</w:t>
      </w:r>
    </w:p>
    <w:p w14:paraId="5327D262" w14:textId="77777777" w:rsidR="00A626FE" w:rsidRPr="000E309B" w:rsidRDefault="00D14B33" w:rsidP="001D0537">
      <w:pPr>
        <w:pStyle w:val="ListParagraph"/>
        <w:numPr>
          <w:ilvl w:val="1"/>
          <w:numId w:val="425"/>
        </w:numPr>
      </w:pPr>
      <w:r w:rsidRPr="000E309B">
        <w:t>Consideration-Set formation. Assessed with statements like, “I can tell which brands meet my expectations” and “I know which stores to shop.”</w:t>
      </w:r>
    </w:p>
    <w:p w14:paraId="5327D263" w14:textId="77777777" w:rsidR="00A626FE" w:rsidRPr="000E309B" w:rsidRDefault="00D14B33" w:rsidP="001D0537">
      <w:pPr>
        <w:pStyle w:val="ListParagraph"/>
        <w:numPr>
          <w:ilvl w:val="1"/>
          <w:numId w:val="425"/>
        </w:numPr>
      </w:pPr>
      <w:r w:rsidRPr="000E309B">
        <w:t>Personal outcomes. Assessed with statements like, “I frequently agonize over what to buy” and “I never seem to buy the right thing for me.”</w:t>
      </w:r>
    </w:p>
    <w:p w14:paraId="5327D264" w14:textId="721FE246" w:rsidR="00A626FE" w:rsidRPr="000E309B" w:rsidRDefault="00D14B33" w:rsidP="001D0537">
      <w:pPr>
        <w:pStyle w:val="ListParagraph"/>
        <w:numPr>
          <w:ilvl w:val="1"/>
          <w:numId w:val="425"/>
        </w:numPr>
      </w:pPr>
      <w:r w:rsidRPr="000E309B">
        <w:t xml:space="preserve">Social outcomes. Assessed with statements like, “I </w:t>
      </w:r>
      <w:r w:rsidR="00090ECA">
        <w:t>can</w:t>
      </w:r>
      <w:r w:rsidRPr="000E309B">
        <w:t xml:space="preserve"> give good presents” and “I impress other people with the purchases I make.”</w:t>
      </w:r>
    </w:p>
    <w:p w14:paraId="5327D265" w14:textId="64F68BAC" w:rsidR="00A626FE" w:rsidRPr="000E309B" w:rsidRDefault="00D14B33" w:rsidP="00E740D9">
      <w:pPr>
        <w:pStyle w:val="ListParagraph"/>
        <w:numPr>
          <w:ilvl w:val="0"/>
          <w:numId w:val="425"/>
        </w:numPr>
      </w:pPr>
      <w:r w:rsidRPr="000E309B">
        <w:t>Protection</w:t>
      </w:r>
    </w:p>
    <w:p w14:paraId="5327D266" w14:textId="77777777" w:rsidR="00A626FE" w:rsidRPr="000E309B" w:rsidRDefault="00D14B33" w:rsidP="00E740D9">
      <w:pPr>
        <w:pStyle w:val="ListParagraph"/>
        <w:numPr>
          <w:ilvl w:val="1"/>
          <w:numId w:val="425"/>
        </w:numPr>
      </w:pPr>
      <w:r w:rsidRPr="000E309B">
        <w:t>Persuasion Knowledge. Assessed with statements like, “I know when an offer is ’too good to be true”’ and “I can separate fact from fantasy in advertising.”</w:t>
      </w:r>
    </w:p>
    <w:p w14:paraId="5327D267" w14:textId="77777777" w:rsidR="00A626FE" w:rsidRPr="000E309B" w:rsidRDefault="00D14B33" w:rsidP="00E740D9">
      <w:pPr>
        <w:pStyle w:val="ListParagraph"/>
        <w:numPr>
          <w:ilvl w:val="1"/>
          <w:numId w:val="425"/>
        </w:numPr>
      </w:pPr>
      <w:r w:rsidRPr="000E309B">
        <w:t>Marketplace Interfaces. Assessed with statements like, “I am hesitant to complain when shopping” and “I have a hard time saying no to a salesperson.”</w:t>
      </w:r>
    </w:p>
    <w:p w14:paraId="5327D268" w14:textId="31AA18C5" w:rsidR="00A626FE" w:rsidRPr="000E309B" w:rsidRDefault="00D14B33" w:rsidP="00E740D9">
      <w:r w:rsidRPr="000E309B">
        <w:t>After the conceptualization and measurement phase, the researchers completed seven different studies designed to affirm the reliability and validity of their work. The first step was to create a pool of 145 items generated from exploratory interviews with 43 adult consumers. The items were screened to reduce redundancy</w:t>
      </w:r>
      <w:r w:rsidR="00DC3C81">
        <w:t>,</w:t>
      </w:r>
      <w:r w:rsidRPr="000E309B">
        <w:t xml:space="preserve"> and the remaining items were given to an expert panel of 14 marketing faculty members in a major university. That reduced the pool of statements to 97.</w:t>
      </w:r>
    </w:p>
    <w:p w14:paraId="5327D269" w14:textId="5964BC6E" w:rsidR="00A626FE" w:rsidRPr="000E309B" w:rsidRDefault="00D14B33" w:rsidP="00E740D9">
      <w:r w:rsidRPr="000E309B">
        <w:t>The pool of 97 statements w</w:t>
      </w:r>
      <w:r w:rsidR="0049078D">
        <w:t>as</w:t>
      </w:r>
      <w:r w:rsidRPr="000E309B">
        <w:t xml:space="preserve"> used </w:t>
      </w:r>
      <w:r w:rsidR="0049078D">
        <w:t>as</w:t>
      </w:r>
      <w:r w:rsidRPr="000E309B">
        <w:t xml:space="preserve"> a survey for two different studies, one to 221 and the other to 204 adults. After th</w:t>
      </w:r>
      <w:r w:rsidR="008D7D96">
        <w:t>ose</w:t>
      </w:r>
      <w:r w:rsidRPr="000E309B">
        <w:t xml:space="preserve"> data w</w:t>
      </w:r>
      <w:r w:rsidR="008D7D96">
        <w:t>ere</w:t>
      </w:r>
      <w:r w:rsidRPr="000E309B">
        <w:t xml:space="preserve"> gathered, factor analysis was used to eliminate items determined to not contribute significantly to the concept or were unclear. This</w:t>
      </w:r>
      <w:r w:rsidR="00C6218D">
        <w:t xml:space="preserve"> analysis</w:t>
      </w:r>
      <w:r w:rsidRPr="000E309B">
        <w:t xml:space="preserve"> reduced the pool to 39 items.</w:t>
      </w:r>
    </w:p>
    <w:p w14:paraId="5327D26A" w14:textId="3BBEB868" w:rsidR="00A626FE" w:rsidRPr="000E309B" w:rsidRDefault="00D14B33" w:rsidP="00E740D9">
      <w:r w:rsidRPr="000E309B">
        <w:t xml:space="preserve">A third study was completed where the 39 items were administered to 252 undergraduate business students. The </w:t>
      </w:r>
      <w:r w:rsidR="00C6218D">
        <w:t>study results</w:t>
      </w:r>
      <w:r w:rsidRPr="000E309B">
        <w:t xml:space="preserve"> indicated that a two-factor higher-order model with six-factor dimensions (as noted above) best fit the data. At this point, the researchers determined that the reliability and discriminant validity were both high.</w:t>
      </w:r>
    </w:p>
    <w:p w14:paraId="5327D26B" w14:textId="03824E79" w:rsidR="00A626FE" w:rsidRPr="000E309B" w:rsidRDefault="00156131" w:rsidP="00E740D9">
      <w:r>
        <w:lastRenderedPageBreak/>
        <w:t>The researchers tested their model for test-retest reliability, convergent validity, and relative predictive validity for studies four and five</w:t>
      </w:r>
      <w:r w:rsidR="00D14B33" w:rsidRPr="000E309B">
        <w:t>. They found the model performed well on each of these criteria. Study six was designed to test the model to see if it would detect known group differences, and it did.</w:t>
      </w:r>
    </w:p>
    <w:p w14:paraId="5327D26C" w14:textId="77777777" w:rsidR="00A626FE" w:rsidRPr="000E309B" w:rsidRDefault="00D14B33" w:rsidP="00E740D9">
      <w:r w:rsidRPr="000E309B">
        <w:t>One final study was conducted where the model was tested with 106 faculty and staff members from a large state university. They were asked to decide which of several competing products they would purchase based on price and perceived quality. The researchers found that consumers who had higher self-confidence tended to select the more expensive product but chose to defer the purchase when the self-confidence level was lower.</w:t>
      </w:r>
    </w:p>
    <w:p w14:paraId="5327D26D" w14:textId="77777777" w:rsidR="00A626FE" w:rsidRPr="000E309B" w:rsidRDefault="00D14B33" w:rsidP="00E740D9">
      <w:r w:rsidRPr="000E309B">
        <w:t>This study is an excellent example of how researchers generate a concept and determine how to measure that concept. That measurement is then subjected to extensive testing to ensure its reliability and validity.</w:t>
      </w:r>
    </w:p>
    <w:p w14:paraId="5327D26E" w14:textId="304DD200" w:rsidR="00A626FE" w:rsidRPr="000E309B" w:rsidRDefault="00D14B33" w:rsidP="005426E7">
      <w:pPr>
        <w:pStyle w:val="Heading4"/>
      </w:pPr>
      <w:r w:rsidRPr="000E309B">
        <w:t>Resolving Contractual Breaches</w:t>
      </w:r>
    </w:p>
    <w:p w14:paraId="5327D26F" w14:textId="7F30D51F" w:rsidR="00A626FE" w:rsidRPr="000E309B" w:rsidRDefault="00D14B33" w:rsidP="00E740D9">
      <w:r w:rsidRPr="000E309B">
        <w:t>Johnson and Sohi</w:t>
      </w:r>
      <w:r w:rsidR="00A0282B">
        <w:t xml:space="preserve"> </w:t>
      </w:r>
      <w:r w:rsidR="00A0282B">
        <w:fldChar w:fldCharType="begin"/>
      </w:r>
      <w:r w:rsidR="007C07B4">
        <w:instrText xml:space="preserve"> ADDIN ZOTERO_ITEM CSL_CITATION {"citationID":"a1kd6rlf2c9","properties":{"formattedCitation":"[63]","plainCitation":"[63]","noteIndex":0},"citationItems":[{"id":201,"uris":["http://zotero.org/users/5015692/items/6FHIIGD2"],"itemData":{"id":201,"type":"article-journal","container-title":"Journal of the Academy of Marketing Science","issue":"2","page":"185–205","title":"Understanding and resolving major contractual breaches in buyer–seller relationships: a grounded theory approach","volume":"44","author":[{"family":"Johnson","given":"Jeff S"},{"family":"Sohi","given":"Ravipreet S"}],"issued":{"date-parts":[["2016"]]}}}],"schema":"https://github.com/citation-style-language/schema/raw/master/csl-citation.json"} </w:instrText>
      </w:r>
      <w:r w:rsidR="00A0282B">
        <w:fldChar w:fldCharType="separate"/>
      </w:r>
      <w:r w:rsidR="007C07B4" w:rsidRPr="007C07B4">
        <w:t>[63]</w:t>
      </w:r>
      <w:r w:rsidR="00A0282B">
        <w:fldChar w:fldCharType="end"/>
      </w:r>
      <w:r w:rsidRPr="000E309B">
        <w:t xml:space="preserve"> studied how contractual breaches between buyers and sellers were resolved when legal enforcement was not desirable. They used a grounded theory (qualitative) approach to develop a model that describes how these disputes are resolved. For this study, they interviewed 40 supplier managers and executives in multiple industries</w:t>
      </w:r>
      <w:r w:rsidR="008B446F">
        <w:t>. They</w:t>
      </w:r>
      <w:r w:rsidRPr="000E309B">
        <w:t xml:space="preserve"> identified several types of resolution alternatives used and the factors that lead to </w:t>
      </w:r>
      <w:r w:rsidR="008B446F">
        <w:t>selecting</w:t>
      </w:r>
      <w:r w:rsidRPr="000E309B">
        <w:t xml:space="preserve"> any given alternative. The following were the types of resolutions they identified.</w:t>
      </w:r>
    </w:p>
    <w:p w14:paraId="5327D270" w14:textId="0ED5AB84" w:rsidR="00A626FE" w:rsidRPr="000E309B" w:rsidRDefault="00D14B33" w:rsidP="00E740D9">
      <w:pPr>
        <w:pStyle w:val="ListParagraph"/>
        <w:numPr>
          <w:ilvl w:val="0"/>
          <w:numId w:val="426"/>
        </w:numPr>
      </w:pPr>
      <w:r w:rsidRPr="00E740D9">
        <w:rPr>
          <w:i/>
          <w:iCs/>
        </w:rPr>
        <w:t>Integrative alternatives</w:t>
      </w:r>
      <w:r w:rsidRPr="000E309B">
        <w:t>. This</w:t>
      </w:r>
      <w:r w:rsidR="00CD5BBF">
        <w:t xml:space="preserve"> resolution</w:t>
      </w:r>
      <w:r w:rsidRPr="000E309B">
        <w:t xml:space="preserve"> is a negotiation between the buyer and seller where some consideration, like incremental competitive business, is offered in </w:t>
      </w:r>
      <w:r w:rsidR="00CD5BBF">
        <w:t>place</w:t>
      </w:r>
      <w:r w:rsidRPr="000E309B">
        <w:t xml:space="preserve"> of legal action. </w:t>
      </w:r>
      <w:r w:rsidR="00CD5BBF">
        <w:t>The</w:t>
      </w:r>
      <w:r w:rsidRPr="000E309B">
        <w:t xml:space="preserve"> second form of </w:t>
      </w:r>
      <w:r w:rsidR="00D35553">
        <w:t>this resolution</w:t>
      </w:r>
      <w:r w:rsidRPr="000E309B">
        <w:t xml:space="preserve"> extend</w:t>
      </w:r>
      <w:r w:rsidR="00D35553">
        <w:t>s</w:t>
      </w:r>
      <w:r w:rsidRPr="000E309B">
        <w:t xml:space="preserve"> the contract into an unrelated non-competitive bid contract.</w:t>
      </w:r>
    </w:p>
    <w:p w14:paraId="5327D271" w14:textId="69142335" w:rsidR="00A626FE" w:rsidRPr="000E309B" w:rsidRDefault="00D14B33" w:rsidP="00E740D9">
      <w:pPr>
        <w:pStyle w:val="ListParagraph"/>
        <w:numPr>
          <w:ilvl w:val="0"/>
          <w:numId w:val="426"/>
        </w:numPr>
      </w:pPr>
      <w:r w:rsidRPr="00E740D9">
        <w:rPr>
          <w:i/>
          <w:iCs/>
        </w:rPr>
        <w:t>Chang</w:t>
      </w:r>
      <w:r w:rsidR="001005A5" w:rsidRPr="00E740D9">
        <w:rPr>
          <w:i/>
          <w:iCs/>
        </w:rPr>
        <w:t>e</w:t>
      </w:r>
      <w:r w:rsidRPr="00E740D9">
        <w:rPr>
          <w:i/>
          <w:iCs/>
        </w:rPr>
        <w:t xml:space="preserve"> the terms</w:t>
      </w:r>
      <w:r w:rsidRPr="000E309B">
        <w:t xml:space="preserve">. The </w:t>
      </w:r>
      <w:r w:rsidR="00D35553">
        <w:t>initi</w:t>
      </w:r>
      <w:r w:rsidRPr="000E309B">
        <w:t>al cont</w:t>
      </w:r>
      <w:r w:rsidR="00D35553">
        <w:t>r</w:t>
      </w:r>
      <w:r w:rsidRPr="000E309B">
        <w:t xml:space="preserve">act </w:t>
      </w:r>
      <w:r w:rsidR="00D35553">
        <w:t>is</w:t>
      </w:r>
      <w:r w:rsidRPr="000E309B">
        <w:t xml:space="preserve"> rewritten to make the terms more acceptable to both parties.</w:t>
      </w:r>
    </w:p>
    <w:p w14:paraId="5327D272" w14:textId="27DC4A4B" w:rsidR="00A626FE" w:rsidRPr="000E309B" w:rsidRDefault="0090322F" w:rsidP="00E740D9">
      <w:pPr>
        <w:pStyle w:val="ListParagraph"/>
        <w:numPr>
          <w:ilvl w:val="0"/>
          <w:numId w:val="426"/>
        </w:numPr>
      </w:pPr>
      <w:r w:rsidRPr="00E740D9">
        <w:rPr>
          <w:i/>
          <w:iCs/>
        </w:rPr>
        <w:t>R</w:t>
      </w:r>
      <w:r w:rsidR="00D14B33" w:rsidRPr="00E740D9">
        <w:rPr>
          <w:i/>
          <w:iCs/>
        </w:rPr>
        <w:t>esource adjustment</w:t>
      </w:r>
      <w:r w:rsidR="00D14B33" w:rsidRPr="000E309B">
        <w:t xml:space="preserve">. Occasionally, the buyer may demand </w:t>
      </w:r>
      <w:r>
        <w:t xml:space="preserve">a </w:t>
      </w:r>
      <w:r w:rsidR="00D14B33" w:rsidRPr="000E309B">
        <w:t xml:space="preserve">resource adjustment to help resolve the breach. </w:t>
      </w:r>
      <w:r w:rsidR="00D35553">
        <w:t>For</w:t>
      </w:r>
      <w:r w:rsidR="00D14B33" w:rsidRPr="000E309B">
        <w:t xml:space="preserve"> example, buyers may demand that the seller adjust the contract to include free on-site maintenance of the purchased machinery.</w:t>
      </w:r>
    </w:p>
    <w:p w14:paraId="5327D273" w14:textId="7C0A8E80" w:rsidR="00A626FE" w:rsidRPr="000E309B" w:rsidRDefault="00D14B33" w:rsidP="00E740D9">
      <w:pPr>
        <w:pStyle w:val="ListParagraph"/>
        <w:numPr>
          <w:ilvl w:val="0"/>
          <w:numId w:val="426"/>
        </w:numPr>
      </w:pPr>
      <w:r w:rsidRPr="00E740D9">
        <w:rPr>
          <w:i/>
          <w:iCs/>
        </w:rPr>
        <w:t>Sell unused capacity</w:t>
      </w:r>
      <w:r w:rsidRPr="000E309B">
        <w:t>. The seller may have overstock or other unused capacity and offer that to help settle a contract.</w:t>
      </w:r>
    </w:p>
    <w:p w14:paraId="5327D274" w14:textId="42B443B2" w:rsidR="00A626FE" w:rsidRPr="000E309B" w:rsidRDefault="00D14B33" w:rsidP="00E740D9">
      <w:pPr>
        <w:pStyle w:val="ListParagraph"/>
        <w:numPr>
          <w:ilvl w:val="0"/>
          <w:numId w:val="426"/>
        </w:numPr>
      </w:pPr>
      <w:r w:rsidRPr="00E740D9">
        <w:rPr>
          <w:i/>
          <w:iCs/>
        </w:rPr>
        <w:t>Split payment</w:t>
      </w:r>
      <w:r w:rsidR="00F06544" w:rsidRPr="00E740D9">
        <w:rPr>
          <w:i/>
          <w:iCs/>
        </w:rPr>
        <w:t>s</w:t>
      </w:r>
      <w:r w:rsidRPr="000E309B">
        <w:t>. The seller may offer to extend the payment period and split payments to make it easier for the buyer to complete the purchase.</w:t>
      </w:r>
    </w:p>
    <w:p w14:paraId="5327D275" w14:textId="2B2382C2" w:rsidR="00A626FE" w:rsidRPr="000E309B" w:rsidRDefault="00D14B33" w:rsidP="00E740D9">
      <w:pPr>
        <w:pStyle w:val="ListParagraph"/>
        <w:numPr>
          <w:ilvl w:val="0"/>
          <w:numId w:val="426"/>
        </w:numPr>
      </w:pPr>
      <w:r w:rsidRPr="00E740D9">
        <w:rPr>
          <w:i/>
          <w:iCs/>
        </w:rPr>
        <w:t xml:space="preserve">Raise prices on other </w:t>
      </w:r>
      <w:r w:rsidR="000751F3" w:rsidRPr="00E740D9">
        <w:rPr>
          <w:i/>
          <w:iCs/>
        </w:rPr>
        <w:t>transactions</w:t>
      </w:r>
      <w:r w:rsidRPr="000E309B">
        <w:t>. The seller may raise prices on other seller business transactions not related to the breach of contract.</w:t>
      </w:r>
    </w:p>
    <w:p w14:paraId="5327D276" w14:textId="70FE9B98" w:rsidR="00A626FE" w:rsidRPr="000E309B" w:rsidRDefault="00D14B33" w:rsidP="00E740D9">
      <w:pPr>
        <w:pStyle w:val="ListParagraph"/>
        <w:numPr>
          <w:ilvl w:val="0"/>
          <w:numId w:val="426"/>
        </w:numPr>
      </w:pPr>
      <w:r w:rsidRPr="00E740D9">
        <w:rPr>
          <w:i/>
          <w:iCs/>
        </w:rPr>
        <w:t>Quid pro quo</w:t>
      </w:r>
      <w:r w:rsidRPr="000E309B">
        <w:t xml:space="preserve">. In some cases, large complex contracts could involve breaches by both the seller and </w:t>
      </w:r>
      <w:r w:rsidR="005D74C0" w:rsidRPr="000E309B">
        <w:t>buyer,</w:t>
      </w:r>
      <w:r w:rsidRPr="000E309B">
        <w:t xml:space="preserve"> and they could mutually agree to ignore those breaches to complete the contract.</w:t>
      </w:r>
    </w:p>
    <w:p w14:paraId="5327D277" w14:textId="72A3FA05" w:rsidR="00A626FE" w:rsidRPr="000E309B" w:rsidRDefault="00D14B33" w:rsidP="00E740D9">
      <w:r w:rsidRPr="000E309B">
        <w:lastRenderedPageBreak/>
        <w:t xml:space="preserve">The research also identified external and internal factors that may figure into the resolution. As an example, the overall economy, an external factor, may temper whatever action is taken to resolve the breach. Finally, they used five different methods to enhance </w:t>
      </w:r>
      <w:r w:rsidR="00210FE8">
        <w:t xml:space="preserve">the </w:t>
      </w:r>
      <w:r w:rsidRPr="000E309B">
        <w:t>validity of their study.</w:t>
      </w:r>
    </w:p>
    <w:p w14:paraId="5327D278" w14:textId="68FEA2DB" w:rsidR="00A626FE" w:rsidRPr="000E309B" w:rsidRDefault="00D14B33" w:rsidP="00E740D9">
      <w:pPr>
        <w:pStyle w:val="ListParagraph"/>
        <w:numPr>
          <w:ilvl w:val="0"/>
          <w:numId w:val="427"/>
        </w:numPr>
      </w:pPr>
      <w:r w:rsidRPr="00E740D9">
        <w:rPr>
          <w:i/>
          <w:iCs/>
        </w:rPr>
        <w:t>Comprehensive data treatment</w:t>
      </w:r>
      <w:r w:rsidRPr="000E309B">
        <w:t xml:space="preserve">. All interviews were recorded, transcribed, and </w:t>
      </w:r>
      <w:r w:rsidR="008359A6" w:rsidRPr="000E309B">
        <w:t>entered</w:t>
      </w:r>
      <w:r w:rsidRPr="000E309B">
        <w:t xml:space="preserve"> for </w:t>
      </w:r>
      <w:r w:rsidR="008359A6">
        <w:t xml:space="preserve">computer </w:t>
      </w:r>
      <w:r w:rsidRPr="000E309B">
        <w:t xml:space="preserve">analysis. By analyzing all collected </w:t>
      </w:r>
      <w:r w:rsidR="008359A6" w:rsidRPr="000E309B">
        <w:t>data,</w:t>
      </w:r>
      <w:r w:rsidRPr="000E309B">
        <w:t xml:space="preserve"> the goal is to decrease the potential for bias by omission.</w:t>
      </w:r>
    </w:p>
    <w:p w14:paraId="5327D279" w14:textId="77777777" w:rsidR="00A626FE" w:rsidRPr="000E309B" w:rsidRDefault="00D14B33" w:rsidP="00E740D9">
      <w:pPr>
        <w:pStyle w:val="ListParagraph"/>
        <w:numPr>
          <w:ilvl w:val="0"/>
          <w:numId w:val="427"/>
        </w:numPr>
      </w:pPr>
      <w:r w:rsidRPr="00E740D9">
        <w:rPr>
          <w:i/>
          <w:iCs/>
        </w:rPr>
        <w:t>Refutability</w:t>
      </w:r>
      <w:r w:rsidRPr="000E309B">
        <w:t>. They actively sought cases that were inconsistent with the findings. While there were a few cases where companies used unique resolution methods, the researchers found no systematic patterns, like business size, for these cases.</w:t>
      </w:r>
    </w:p>
    <w:p w14:paraId="5327D27A" w14:textId="45C2B78F" w:rsidR="00A626FE" w:rsidRPr="000E309B" w:rsidRDefault="00D14B33" w:rsidP="00E740D9">
      <w:pPr>
        <w:pStyle w:val="ListParagraph"/>
        <w:numPr>
          <w:ilvl w:val="0"/>
          <w:numId w:val="427"/>
        </w:numPr>
      </w:pPr>
      <w:r w:rsidRPr="00E740D9">
        <w:rPr>
          <w:i/>
          <w:iCs/>
        </w:rPr>
        <w:t>Constant comparison</w:t>
      </w:r>
      <w:r w:rsidRPr="000E309B">
        <w:t>. As the</w:t>
      </w:r>
      <w:r w:rsidR="00210FE8">
        <w:t xml:space="preserve"> researchers</w:t>
      </w:r>
      <w:r w:rsidRPr="000E309B">
        <w:t xml:space="preserve"> uncovered insights during interviews, those were used to guide subsequent interview questions. This</w:t>
      </w:r>
      <w:r w:rsidR="00210FE8">
        <w:t xml:space="preserve"> process</w:t>
      </w:r>
      <w:r w:rsidRPr="000E309B">
        <w:t xml:space="preserve"> was repeated until they reached theoretical saturation; that is, no new insights were uncovered.</w:t>
      </w:r>
    </w:p>
    <w:p w14:paraId="5327D27D" w14:textId="4AEDA925" w:rsidR="00A626FE" w:rsidRPr="000E309B" w:rsidRDefault="00D14B33" w:rsidP="00E740D9">
      <w:pPr>
        <w:pStyle w:val="ListParagraph"/>
        <w:numPr>
          <w:ilvl w:val="0"/>
          <w:numId w:val="427"/>
        </w:numPr>
      </w:pPr>
      <w:r w:rsidRPr="00E740D9">
        <w:rPr>
          <w:i/>
          <w:iCs/>
        </w:rPr>
        <w:t>Respondent validation (member checking)</w:t>
      </w:r>
      <w:r w:rsidRPr="000E309B">
        <w:t xml:space="preserve">. The researchers took their data and interpretation back to the participants so they could confirm the information. </w:t>
      </w:r>
      <w:r w:rsidR="00187ED4">
        <w:t>This</w:t>
      </w:r>
      <w:r w:rsidR="006E13FD">
        <w:t xml:space="preserve"> process</w:t>
      </w:r>
      <w:r w:rsidR="00187ED4">
        <w:t xml:space="preserve"> led to </w:t>
      </w:r>
      <w:r w:rsidR="006E13FD">
        <w:t xml:space="preserve">the </w:t>
      </w:r>
      <w:r w:rsidR="00187ED4">
        <w:t>decreased</w:t>
      </w:r>
      <w:r w:rsidRPr="000E309B">
        <w:t xml:space="preserve"> potential that </w:t>
      </w:r>
      <w:r w:rsidR="006E13FD">
        <w:t>the researchers could misinterpret an interview response</w:t>
      </w:r>
      <w:r w:rsidRPr="000E309B">
        <w:t>.</w:t>
      </w:r>
    </w:p>
    <w:p w14:paraId="5327D27E" w14:textId="01B0700E" w:rsidR="00A626FE" w:rsidRPr="000E309B" w:rsidRDefault="00D14B33" w:rsidP="00E740D9">
      <w:pPr>
        <w:pStyle w:val="ListParagraph"/>
        <w:numPr>
          <w:ilvl w:val="0"/>
          <w:numId w:val="427"/>
        </w:numPr>
      </w:pPr>
      <w:r w:rsidRPr="00E740D9">
        <w:rPr>
          <w:i/>
          <w:iCs/>
        </w:rPr>
        <w:t>Reflexivity</w:t>
      </w:r>
      <w:r w:rsidRPr="000E309B">
        <w:t>. The</w:t>
      </w:r>
      <w:r w:rsidR="006E13FD">
        <w:t xml:space="preserve"> researchers</w:t>
      </w:r>
      <w:r w:rsidRPr="000E309B">
        <w:t xml:space="preserve"> invited an external expert with knowledge in the topic to review the project and the questions asked during interviews. This process is called “peer debriefing” and improves the validity of the project. Also, two independent judges evaluated the coding of the interviews</w:t>
      </w:r>
      <w:r w:rsidR="006E13FD">
        <w:t>,</w:t>
      </w:r>
      <w:r w:rsidRPr="000E309B">
        <w:t xml:space="preserve"> and their agreement with the researchers’ coding was an indicator of high reliability.</w:t>
      </w:r>
    </w:p>
    <w:p w14:paraId="5327D27F" w14:textId="306591DF" w:rsidR="00A626FE" w:rsidRDefault="00254084" w:rsidP="005D4685">
      <w:pPr>
        <w:pStyle w:val="Heading3"/>
      </w:pPr>
      <w:bookmarkStart w:id="69" w:name="_Toc169156722"/>
      <w:r>
        <w:rPr>
          <w:noProof/>
        </w:rPr>
        <w:drawing>
          <wp:anchor distT="0" distB="0" distL="114300" distR="114300" simplePos="0" relativeHeight="251963476" behindDoc="0" locked="0" layoutInCell="1" allowOverlap="1" wp14:anchorId="4399DA2C" wp14:editId="5AE0ACD5">
            <wp:simplePos x="0" y="0"/>
            <wp:positionH relativeFrom="column">
              <wp:align>right</wp:align>
            </wp:positionH>
            <wp:positionV relativeFrom="paragraph">
              <wp:posOffset>0</wp:posOffset>
            </wp:positionV>
            <wp:extent cx="914400" cy="914400"/>
            <wp:effectExtent l="19050" t="19050" r="19050" b="19050"/>
            <wp:wrapSquare wrapText="bothSides"/>
            <wp:docPr id="535822528"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9D3BA7">
        <w:t xml:space="preserve">Summary of </w:t>
      </w:r>
      <w:r w:rsidR="00853360">
        <w:t>Chapter 5: Defining and Measuring Concepts</w:t>
      </w:r>
      <w:bookmarkEnd w:id="69"/>
    </w:p>
    <w:p w14:paraId="1D523043" w14:textId="77777777" w:rsidR="008F79EC" w:rsidRDefault="008F79EC" w:rsidP="008F79EC">
      <w:r>
        <w:t>As you've learned in this chapter, measurement is a crucial component of the research process. By precisely defining and quantifying key concepts, variables, and phenomena, you lay the foundation for obtaining meaningful results in your research projects. The main concepts covered in this chapter include:</w:t>
      </w:r>
    </w:p>
    <w:p w14:paraId="592ED1A9" w14:textId="56A814B6" w:rsidR="008F79EC" w:rsidRDefault="008F79EC" w:rsidP="008F79EC">
      <w:pPr>
        <w:pStyle w:val="ListParagraph"/>
        <w:numPr>
          <w:ilvl w:val="0"/>
          <w:numId w:val="266"/>
        </w:numPr>
      </w:pPr>
      <w:r>
        <w:t>The different categories of things researchers measure, including direct observables, indirect observables, and constructs</w:t>
      </w:r>
      <w:r w:rsidR="00363592">
        <w:t>.</w:t>
      </w:r>
    </w:p>
    <w:p w14:paraId="742E26D2" w14:textId="092F757E" w:rsidR="008F79EC" w:rsidRDefault="008F79EC" w:rsidP="008F79EC">
      <w:pPr>
        <w:pStyle w:val="ListParagraph"/>
        <w:numPr>
          <w:ilvl w:val="0"/>
          <w:numId w:val="266"/>
        </w:numPr>
      </w:pPr>
      <w:r>
        <w:t>The ongoing process of measurement that occurs throughout a research project, from conceptualization to data analysis and reporting</w:t>
      </w:r>
      <w:r w:rsidR="00363592">
        <w:t>.</w:t>
      </w:r>
    </w:p>
    <w:p w14:paraId="29942BBE" w14:textId="7CBB2169" w:rsidR="008F79EC" w:rsidRDefault="008F79EC" w:rsidP="008F79EC">
      <w:pPr>
        <w:pStyle w:val="ListParagraph"/>
        <w:numPr>
          <w:ilvl w:val="0"/>
          <w:numId w:val="266"/>
        </w:numPr>
      </w:pPr>
      <w:r>
        <w:t>The importance of carefully conceptualizing and operationalizing variables to ensure they validly capture the constructs of interest</w:t>
      </w:r>
      <w:r w:rsidR="00363592">
        <w:t>.</w:t>
      </w:r>
    </w:p>
    <w:p w14:paraId="345EEFC4" w14:textId="31FDB3A7" w:rsidR="008F79EC" w:rsidRDefault="008F79EC" w:rsidP="008F79EC">
      <w:pPr>
        <w:pStyle w:val="ListParagraph"/>
        <w:numPr>
          <w:ilvl w:val="0"/>
          <w:numId w:val="266"/>
        </w:numPr>
      </w:pPr>
      <w:r>
        <w:t>The different types of variables used in research, such as independent, dependent, mediating, moderating, and control variables</w:t>
      </w:r>
      <w:r w:rsidR="00363592">
        <w:t>.</w:t>
      </w:r>
    </w:p>
    <w:p w14:paraId="39210094" w14:textId="6CE1E6E8" w:rsidR="008F79EC" w:rsidRDefault="008F79EC" w:rsidP="008F79EC">
      <w:pPr>
        <w:pStyle w:val="ListParagraph"/>
        <w:numPr>
          <w:ilvl w:val="0"/>
          <w:numId w:val="266"/>
        </w:numPr>
      </w:pPr>
      <w:r>
        <w:t>The key criteria of reliability and validity for evaluating the quality of measurements</w:t>
      </w:r>
      <w:r w:rsidR="00363592">
        <w:t>.</w:t>
      </w:r>
    </w:p>
    <w:p w14:paraId="42200774" w14:textId="316438EF" w:rsidR="008F79EC" w:rsidRDefault="008F79EC" w:rsidP="008F79EC">
      <w:pPr>
        <w:pStyle w:val="ListParagraph"/>
        <w:numPr>
          <w:ilvl w:val="0"/>
          <w:numId w:val="266"/>
        </w:numPr>
      </w:pPr>
      <w:r>
        <w:t>The various types of reliability and validity and how they are assessed</w:t>
      </w:r>
      <w:r w:rsidR="00363592">
        <w:t>.</w:t>
      </w:r>
    </w:p>
    <w:p w14:paraId="61CAD73D" w14:textId="77777777" w:rsidR="008F79EC" w:rsidRDefault="008F79EC" w:rsidP="008F79EC">
      <w:r>
        <w:t xml:space="preserve">By thoroughly understanding and applying these measurement concepts, you will be well-equipped to design high-quality research that yields trustworthy and meaningful findings. Valid and </w:t>
      </w:r>
      <w:r>
        <w:lastRenderedPageBreak/>
        <w:t>reliable measurement is essential for testing hypotheses, building theories, and ultimately expanding scientific knowledge.</w:t>
      </w:r>
    </w:p>
    <w:p w14:paraId="28E6D939" w14:textId="77777777" w:rsidR="008F79EC" w:rsidRDefault="008F79EC" w:rsidP="008F79EC">
      <w:r>
        <w:t>I encourage you to continue exploring these measurement principles as you progress in your research journey. Mastering the art and science of measurement is an ongoing process that will serve you well across a wide range of research contexts. As you encounter new constructs and research questions, challenge yourself to think critically about how to conceptualize and operationalize variables in a way that aligns with your research goals.</w:t>
      </w:r>
    </w:p>
    <w:p w14:paraId="10264DB1" w14:textId="77777777" w:rsidR="008F79EC" w:rsidRDefault="008F79EC" w:rsidP="008F79EC">
      <w:r>
        <w:t>Remember, even the most insightful research questions can yield flawed conclusions if the measurements are not sound. By prioritizing careful conceptualization, choosing appropriate measures, and rigorously evaluating reliability and validity, you can have confidence in your research results. Strive to be transparent in your measurement process and stay current with best practices in your field.</w:t>
      </w:r>
    </w:p>
    <w:p w14:paraId="516C590F" w14:textId="334A4847" w:rsidR="00187ED4" w:rsidRDefault="008F79EC" w:rsidP="008F79EC">
      <w:r>
        <w:t>The concepts in this chapter provide a solid foundation, but there is always more to learn. I encourage you to seek out additional resources, consult with other researchers, and continually refine your measurement skills. With dedication and practice, you will be poised to make valuable contributions to your field through well-designed and well-measured research.</w:t>
      </w:r>
    </w:p>
    <w:p w14:paraId="6AA024C1" w14:textId="66821CC6" w:rsidR="00DF6737" w:rsidRDefault="00DF6737" w:rsidP="000E309B">
      <w:pPr>
        <w:spacing w:line="360" w:lineRule="auto"/>
        <w:sectPr w:rsidR="00DF6737" w:rsidSect="00FD08D0">
          <w:headerReference w:type="default" r:id="rId167"/>
          <w:pgSz w:w="12240" w:h="15840"/>
          <w:pgMar w:top="1440" w:right="1440" w:bottom="1440" w:left="1440" w:header="720" w:footer="720" w:gutter="0"/>
          <w:cols w:space="720"/>
          <w:docGrid w:linePitch="299"/>
        </w:sectPr>
      </w:pPr>
    </w:p>
    <w:p w14:paraId="5327D289" w14:textId="31258308" w:rsidR="00A626FE" w:rsidRPr="000E309B" w:rsidRDefault="00CB0651" w:rsidP="001047B6">
      <w:pPr>
        <w:pStyle w:val="Heading2"/>
      </w:pPr>
      <w:bookmarkStart w:id="70" w:name="_Toc169156723"/>
      <w:r>
        <w:rPr>
          <w:noProof/>
        </w:rPr>
        <w:lastRenderedPageBreak/>
        <w:drawing>
          <wp:anchor distT="0" distB="0" distL="114300" distR="114300" simplePos="0" relativeHeight="251658276" behindDoc="0" locked="0" layoutInCell="1" allowOverlap="1" wp14:anchorId="16E91159" wp14:editId="0594F9C7">
            <wp:simplePos x="0" y="0"/>
            <wp:positionH relativeFrom="column">
              <wp:align>right</wp:align>
            </wp:positionH>
            <wp:positionV relativeFrom="paragraph">
              <wp:posOffset>0</wp:posOffset>
            </wp:positionV>
            <wp:extent cx="1371600" cy="13716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8" cstate="print">
                      <a:extLst>
                        <a:ext uri="{BEBA8EAE-BF5A-486C-A8C5-ECC9F3942E4B}">
                          <a14:imgProps xmlns:a14="http://schemas.microsoft.com/office/drawing/2010/main">
                            <a14:imgLayer r:embed="rId16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r w:rsidR="0050001F">
        <w:t xml:space="preserve">6: </w:t>
      </w:r>
      <w:r w:rsidR="001047B6">
        <w:t>Data</w:t>
      </w:r>
      <w:bookmarkEnd w:id="70"/>
    </w:p>
    <w:p w14:paraId="67F5AA37" w14:textId="77777777" w:rsidR="000E6328" w:rsidRDefault="000E6328" w:rsidP="000E6328">
      <w:pPr>
        <w:pStyle w:val="Heading3"/>
      </w:pPr>
      <w:bookmarkStart w:id="71" w:name="_Toc169156724"/>
      <w:r>
        <w:t>Introduction</w:t>
      </w:r>
      <w:bookmarkEnd w:id="71"/>
    </w:p>
    <w:p w14:paraId="691CAE04" w14:textId="77777777" w:rsidR="000E6328" w:rsidRDefault="000E6328" w:rsidP="000E6328">
      <w:r>
        <w:t>In the world of research, data refers to a collection of facts or observations about a specific topic or phenomenon. These facts can be gathered through various methods, such as surveys, experiments, or records. For instance, a "customer loyalty" program might collect data on how frequently customers shop, what products they purchase during each visit, the time of day they typically shop, and other relevant information. This raw data, however, is not immediately useful on its own.</w:t>
      </w:r>
    </w:p>
    <w:p w14:paraId="794B9743" w14:textId="77777777" w:rsidR="000E6328" w:rsidRDefault="000E6328" w:rsidP="000E6328">
      <w:r>
        <w:t>When data is processed, organized, and given context, it becomes information that can be analyzed and interpreted to draw meaningful conclusions. The process of turning data into information involves several steps, such as cleaning the data to remove errors or inconsistencies, structuring it in a way that makes sense for the research question at hand, and applying appropriate analytical methods.</w:t>
      </w:r>
    </w:p>
    <w:p w14:paraId="0F8F1151" w14:textId="77777777" w:rsidR="000E6328" w:rsidRDefault="000E6328" w:rsidP="000E6328">
      <w:r>
        <w:t>The types of data collected play a crucial role in determining the kinds of analyses that can be conducted. For example, if the data is numerical (quantitative), such as the number of products purchased or the time spent in the store, researchers can use statistical methods to calculate averages, identify trends, or compare different groups. On the other hand, if the data is non-numerical (qualitative), such as customer feedback or observations about shopping behavior, researchers may use techniques like thematic analysis or content analysis to identify patterns and themes.</w:t>
      </w:r>
    </w:p>
    <w:p w14:paraId="5327D28C" w14:textId="28872A58" w:rsidR="00A626FE" w:rsidRDefault="000E6328" w:rsidP="000E6328">
      <w:r>
        <w:t>Understanding the nature of the data and choosing the right analytical approach is essential for drawing valid and meaningful conclusions from the information. This chapter aims to introduce various concepts related to data and demonstrate how they can be effectively analyzed in a research context. By the end of this chapter, you will have a solid foundation in data types, data collection methods, and basic analytical techniques that will serve you well as you delve deeper into the world of research.</w:t>
      </w:r>
    </w:p>
    <w:p w14:paraId="41059E99" w14:textId="2898510A" w:rsidR="000B1B35" w:rsidRDefault="00E0031F" w:rsidP="00504B69">
      <w:pPr>
        <w:pStyle w:val="IntenseQuote"/>
      </w:pPr>
      <w:r>
        <w:rPr>
          <w:noProof/>
        </w:rPr>
        <w:drawing>
          <wp:anchor distT="0" distB="0" distL="114300" distR="114300" simplePos="0" relativeHeight="251933780" behindDoc="0" locked="0" layoutInCell="1" allowOverlap="1" wp14:anchorId="7669C4D2" wp14:editId="5936EF2B">
            <wp:simplePos x="0" y="0"/>
            <wp:positionH relativeFrom="column">
              <wp:align>right</wp:align>
            </wp:positionH>
            <wp:positionV relativeFrom="paragraph">
              <wp:posOffset>0</wp:posOffset>
            </wp:positionV>
            <wp:extent cx="914400" cy="914400"/>
            <wp:effectExtent l="19050" t="19050" r="19050" b="19050"/>
            <wp:wrapSquare wrapText="bothSides"/>
            <wp:docPr id="1744060802"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0B1B35">
        <w:t>Objectives</w:t>
      </w:r>
    </w:p>
    <w:p w14:paraId="3696FCAC" w14:textId="77777777" w:rsidR="0069218C" w:rsidRDefault="000B1B35" w:rsidP="0069218C">
      <w:pPr>
        <w:pStyle w:val="Quote"/>
        <w:numPr>
          <w:ilvl w:val="0"/>
          <w:numId w:val="252"/>
        </w:numPr>
      </w:pPr>
      <w:r>
        <w:t>Distinguish between qualitative and quantitative data types, and explain their respective subtypes (nominal, ordinal, interval, and ratio data). Students should be able to identify the appropriate data type for a given research scenario and understand the implications of each data type for data analysis and interpretation.</w:t>
      </w:r>
    </w:p>
    <w:p w14:paraId="613F827D" w14:textId="77777777" w:rsidR="000C3BE5" w:rsidRDefault="000B1B35" w:rsidP="0069218C">
      <w:pPr>
        <w:pStyle w:val="Quote"/>
        <w:numPr>
          <w:ilvl w:val="0"/>
          <w:numId w:val="252"/>
        </w:numPr>
      </w:pPr>
      <w:r>
        <w:t xml:space="preserve">Compare and contrast various rating scales, including binary, Likert, semantic differential, and Guttman scales. Students should be able to describe the key </w:t>
      </w:r>
      <w:r>
        <w:lastRenderedPageBreak/>
        <w:t>features, advantages, and limitations of each scale type and select the most appropriate scale for measuring a specific construct in their research projects</w:t>
      </w:r>
      <w:r w:rsidR="000C3BE5">
        <w:t>.</w:t>
      </w:r>
    </w:p>
    <w:p w14:paraId="40849AA8" w14:textId="77777777" w:rsidR="000C3BE5" w:rsidRDefault="000B1B35" w:rsidP="000C3BE5">
      <w:pPr>
        <w:pStyle w:val="Quote"/>
        <w:numPr>
          <w:ilvl w:val="0"/>
          <w:numId w:val="252"/>
        </w:numPr>
      </w:pPr>
      <w:r>
        <w:t>Explain the properties and significance of the normal distribution (bell curve) in statistical analysis. Students should be able to identify when data follows a normal distribution, understand the 68-95-99.7 rule, and recognize the importance of the normal distribution in hypothesis testing and inferential statistics.</w:t>
      </w:r>
    </w:p>
    <w:p w14:paraId="61A5B095" w14:textId="77777777" w:rsidR="000C3BE5" w:rsidRDefault="000B1B35" w:rsidP="000C3BE5">
      <w:pPr>
        <w:pStyle w:val="Quote"/>
        <w:numPr>
          <w:ilvl w:val="0"/>
          <w:numId w:val="252"/>
        </w:numPr>
      </w:pPr>
      <w:r>
        <w:t>Define excess kurtosis and interpret its impact on the shape of a normal distribution. Students should be able to explain how excess kurtosis relates to the presence of data outliers and differentiate between the effects of excess kurtosis and standard deviation on the appearance of the bell curve.</w:t>
      </w:r>
    </w:p>
    <w:p w14:paraId="2EAF6B11" w14:textId="4464949A" w:rsidR="00890C8A" w:rsidRPr="000E309B" w:rsidRDefault="000B1B35" w:rsidP="000C3BE5">
      <w:pPr>
        <w:pStyle w:val="Quote"/>
        <w:numPr>
          <w:ilvl w:val="0"/>
          <w:numId w:val="252"/>
        </w:numPr>
      </w:pPr>
      <w:r>
        <w:t>Apply the concepts covered in the chapter to real-world research scenarios. Students should be able to analyze a given research problem, identify the appropriate data types and rating scales, and discuss the implications of data distribution on the choice of statistical techniques. This objective aims to develop students' critical thinking skills and their ability to bridge theory and practice in research.</w:t>
      </w:r>
    </w:p>
    <w:p w14:paraId="5327D296" w14:textId="3C7E8A8F" w:rsidR="00A626FE" w:rsidRPr="000E309B" w:rsidRDefault="00D14B33" w:rsidP="00AD0522">
      <w:pPr>
        <w:pStyle w:val="Heading3"/>
      </w:pPr>
      <w:bookmarkStart w:id="72" w:name="_Toc169156725"/>
      <w:r w:rsidRPr="000E309B">
        <w:t>Types of Data</w:t>
      </w:r>
      <w:bookmarkEnd w:id="72"/>
    </w:p>
    <w:p w14:paraId="5327D297" w14:textId="495A31B7" w:rsidR="00A626FE" w:rsidRDefault="00D14B33" w:rsidP="00AD7777">
      <w:r w:rsidRPr="000E309B">
        <w:t>Psychologist Stanley Smith Stevens defined four generic types of data</w:t>
      </w:r>
      <w:r w:rsidR="005E4F6F">
        <w:t xml:space="preserve"> </w:t>
      </w:r>
      <w:r w:rsidR="00EE79B1">
        <w:t xml:space="preserve">divided </w:t>
      </w:r>
      <w:r w:rsidR="005E4F6F">
        <w:t>in</w:t>
      </w:r>
      <w:r w:rsidR="00EE79B1">
        <w:t>to</w:t>
      </w:r>
      <w:r w:rsidR="005E4F6F">
        <w:t xml:space="preserve"> two groups</w:t>
      </w:r>
      <w:r w:rsidR="00FC337B">
        <w:t xml:space="preserve"> </w:t>
      </w:r>
      <w:r w:rsidR="00FC337B">
        <w:fldChar w:fldCharType="begin"/>
      </w:r>
      <w:r w:rsidR="007C07B4">
        <w:instrText xml:space="preserve"> ADDIN ZOTERO_ITEM CSL_CITATION {"citationID":"a1ripsna47c","properties":{"formattedCitation":"[64]","plainCitation":"[64]","noteIndex":0},"citationItems":[{"id":194,"uris":["http://zotero.org/users/5015692/items/32GUQIIB"],"itemData":{"id":194,"type":"article-journal","title":"On the theory of scales of measurement","author":[{"family":"Stevens","given":"Stanley Smith"},{"literal":"others"}],"issued":{"date-parts":[["1946"]]}}}],"schema":"https://github.com/citation-style-language/schema/raw/master/csl-citation.json"} </w:instrText>
      </w:r>
      <w:r w:rsidR="00FC337B">
        <w:fldChar w:fldCharType="separate"/>
      </w:r>
      <w:r w:rsidR="007C07B4" w:rsidRPr="007C07B4">
        <w:t>[64]</w:t>
      </w:r>
      <w:r w:rsidR="00FC337B">
        <w:fldChar w:fldCharType="end"/>
      </w:r>
      <w:r w:rsidRPr="000E309B">
        <w:t>.</w:t>
      </w:r>
    </w:p>
    <w:p w14:paraId="6A0245A5" w14:textId="60B9ED10" w:rsidR="007D40C6" w:rsidRDefault="007928D0" w:rsidP="0083733D">
      <w:pPr>
        <w:pStyle w:val="Heading4"/>
      </w:pPr>
      <w:r w:rsidRPr="007928D0">
        <w:rPr>
          <w:noProof/>
        </w:rPr>
        <w:drawing>
          <wp:anchor distT="0" distB="0" distL="114300" distR="114300" simplePos="0" relativeHeight="251658318" behindDoc="0" locked="0" layoutInCell="1" allowOverlap="1" wp14:anchorId="2D35AE23" wp14:editId="4178D65A">
            <wp:simplePos x="0" y="0"/>
            <wp:positionH relativeFrom="column">
              <wp:align>center</wp:align>
            </wp:positionH>
            <wp:positionV relativeFrom="paragraph">
              <wp:posOffset>0</wp:posOffset>
            </wp:positionV>
            <wp:extent cx="3054096" cy="1764792"/>
            <wp:effectExtent l="0" t="0" r="0" b="26035"/>
            <wp:wrapTopAndBottom/>
            <wp:docPr id="277443" name="Diagram 2774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0" r:lo="rId171" r:qs="rId172" r:cs="rId173"/>
              </a:graphicData>
            </a:graphic>
            <wp14:sizeRelH relativeFrom="margin">
              <wp14:pctWidth>0</wp14:pctWidth>
            </wp14:sizeRelH>
            <wp14:sizeRelV relativeFrom="margin">
              <wp14:pctHeight>0</wp14:pctHeight>
            </wp14:sizeRelV>
          </wp:anchor>
        </w:drawing>
      </w:r>
      <w:r w:rsidRPr="007928D0">
        <w:rPr>
          <w:noProof/>
        </w:rPr>
        <mc:AlternateContent>
          <mc:Choice Requires="wps">
            <w:drawing>
              <wp:anchor distT="0" distB="0" distL="114300" distR="114300" simplePos="0" relativeHeight="251658319" behindDoc="0" locked="0" layoutInCell="1" allowOverlap="1" wp14:anchorId="0F8AB5AC" wp14:editId="2606A9EA">
                <wp:simplePos x="0" y="0"/>
                <wp:positionH relativeFrom="column">
                  <wp:align>center</wp:align>
                </wp:positionH>
                <wp:positionV relativeFrom="paragraph">
                  <wp:posOffset>1828800</wp:posOffset>
                </wp:positionV>
                <wp:extent cx="3054096" cy="182880"/>
                <wp:effectExtent l="0" t="0" r="0" b="6350"/>
                <wp:wrapTopAndBottom/>
                <wp:docPr id="277444" name="Text Box 277444"/>
                <wp:cNvGraphicFramePr/>
                <a:graphic xmlns:a="http://schemas.openxmlformats.org/drawingml/2006/main">
                  <a:graphicData uri="http://schemas.microsoft.com/office/word/2010/wordprocessingShape">
                    <wps:wsp>
                      <wps:cNvSpPr txBox="1"/>
                      <wps:spPr>
                        <a:xfrm>
                          <a:off x="0" y="0"/>
                          <a:ext cx="3054096" cy="182880"/>
                        </a:xfrm>
                        <a:prstGeom prst="rect">
                          <a:avLst/>
                        </a:prstGeom>
                        <a:solidFill>
                          <a:prstClr val="white"/>
                        </a:solidFill>
                        <a:ln>
                          <a:noFill/>
                        </a:ln>
                      </wps:spPr>
                      <wps:txbx>
                        <w:txbxContent>
                          <w:p w14:paraId="0D840428" w14:textId="77A3A679" w:rsidR="003618C5" w:rsidRPr="003618C5" w:rsidRDefault="003610E3" w:rsidP="003618C5">
                            <w:pPr>
                              <w:pStyle w:val="footnotedescription"/>
                              <w:jc w:val="center"/>
                            </w:pPr>
                            <w:r>
                              <w:t xml:space="preserve">Figure </w:t>
                            </w:r>
                            <w:r w:rsidR="006D77BF">
                              <w:fldChar w:fldCharType="begin"/>
                            </w:r>
                            <w:r w:rsidR="006D77BF">
                              <w:instrText xml:space="preserve"> SEQ Figure \* ARABIC </w:instrText>
                            </w:r>
                            <w:r w:rsidR="006D77BF">
                              <w:fldChar w:fldCharType="separate"/>
                            </w:r>
                            <w:r w:rsidR="00980002">
                              <w:rPr>
                                <w:noProof/>
                              </w:rPr>
                              <w:t>10</w:t>
                            </w:r>
                            <w:r w:rsidR="006D77BF">
                              <w:rPr>
                                <w:noProof/>
                              </w:rPr>
                              <w:fldChar w:fldCharType="end"/>
                            </w:r>
                            <w:r>
                              <w:t>: Data Groups</w:t>
                            </w:r>
                            <w:r w:rsidR="005662EE">
                              <w:t xml:space="preserve"> and Types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8AB5AC" id="Text Box 277444" o:spid="_x0000_s1090" type="#_x0000_t202" style="position:absolute;margin-left:0;margin-top:2in;width:240.5pt;height:14.4pt;z-index:251658319;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" stroked="f">
                <v:textbox style="mso-fit-shape-to-text:t" inset="0,0,0,0">
                  <w:txbxContent>
                    <w:p w14:paraId="0D840428" w14:textId="77A3A679" w:rsidR="003618C5" w:rsidRPr="003618C5" w:rsidRDefault="003610E3" w:rsidP="003618C5">
                      <w:pPr>
                        <w:pStyle w:val="footnotedescription"/>
                        <w:jc w:val="center"/>
                      </w:pPr>
                      <w:r>
                        <w:t xml:space="preserve">Figure </w:t>
                      </w:r>
                      <w:r w:rsidR="006D77BF">
                        <w:fldChar w:fldCharType="begin"/>
                      </w:r>
                      <w:r w:rsidR="006D77BF">
                        <w:instrText xml:space="preserve"> SEQ Figure \* ARABIC </w:instrText>
                      </w:r>
                      <w:r w:rsidR="006D77BF">
                        <w:fldChar w:fldCharType="separate"/>
                      </w:r>
                      <w:r w:rsidR="00980002">
                        <w:rPr>
                          <w:noProof/>
                        </w:rPr>
                        <w:t>10</w:t>
                      </w:r>
                      <w:r w:rsidR="006D77BF">
                        <w:rPr>
                          <w:noProof/>
                        </w:rPr>
                        <w:fldChar w:fldCharType="end"/>
                      </w:r>
                      <w:r>
                        <w:t>: Data Groups</w:t>
                      </w:r>
                      <w:r w:rsidR="005662EE">
                        <w:t xml:space="preserve"> and Types</w:t>
                      </w:r>
                    </w:p>
                  </w:txbxContent>
                </v:textbox>
                <w10:wrap type="topAndBottom"/>
              </v:shape>
            </w:pict>
          </mc:Fallback>
        </mc:AlternateContent>
      </w:r>
      <w:r w:rsidR="007D40C6">
        <w:t>Qualitative</w:t>
      </w:r>
    </w:p>
    <w:p w14:paraId="10F19F31" w14:textId="3914B220" w:rsidR="00263C3C" w:rsidRDefault="00263C3C" w:rsidP="00263C3C">
      <w:r>
        <w:t xml:space="preserve">Qualitative data are pieces of information that are categorized into a limited number of groups or categories. These categories are often descriptive and non-numerical. For example, when considering types of pets, the categories might be "cat," "dog," or "bird." Similarly, when looking at place of residence, the categories could be "Arizona" or "California." Unlike quantitative data, qualitative data do not have numerical characteristics like means or standard deviations. As a </w:t>
      </w:r>
      <w:r>
        <w:lastRenderedPageBreak/>
        <w:t>result, qualitative data are analyzed using non-parametric statistical tests, such as the Kruskal-Wallis H test or the Mann-Whitney U test.</w:t>
      </w:r>
    </w:p>
    <w:p w14:paraId="3ABB9B3E" w14:textId="77777777" w:rsidR="00263C3C" w:rsidRDefault="00263C3C" w:rsidP="00263C3C">
      <w:r>
        <w:t>Qualitative data can be further divided into two subtypes: nominal and ordinal data.</w:t>
      </w:r>
    </w:p>
    <w:p w14:paraId="7FC3823F" w14:textId="5908ABE8" w:rsidR="00263C3C" w:rsidRDefault="00263C3C" w:rsidP="007D40C6">
      <w:pPr>
        <w:pStyle w:val="Heading5"/>
      </w:pPr>
      <w:r>
        <w:t>Nominal data</w:t>
      </w:r>
    </w:p>
    <w:p w14:paraId="0A68A4A6" w14:textId="77777777" w:rsidR="00263C3C" w:rsidRDefault="00263C3C" w:rsidP="00263C3C">
      <w:r>
        <w:t>Nominal data consist of categories that are mutually exclusive (non-overlapping) and do not have any inherent order or hierarchy. These categories serve as labels for specific attributes or characteristics. Examples of nominal data include:</w:t>
      </w:r>
    </w:p>
    <w:p w14:paraId="6B812E39" w14:textId="77777777" w:rsidR="00263C3C" w:rsidRDefault="00263C3C" w:rsidP="007D40C6">
      <w:pPr>
        <w:pStyle w:val="ListParagraph"/>
        <w:numPr>
          <w:ilvl w:val="0"/>
          <w:numId w:val="231"/>
        </w:numPr>
      </w:pPr>
      <w:r>
        <w:t>Occupations: custodial, accounting, sales</w:t>
      </w:r>
    </w:p>
    <w:p w14:paraId="55D72A34" w14:textId="77777777" w:rsidR="00263C3C" w:rsidRDefault="00263C3C" w:rsidP="007D40C6">
      <w:pPr>
        <w:pStyle w:val="ListParagraph"/>
        <w:numPr>
          <w:ilvl w:val="0"/>
          <w:numId w:val="231"/>
        </w:numPr>
      </w:pPr>
      <w:r>
        <w:t>Blood types: A, B, AB, O</w:t>
      </w:r>
    </w:p>
    <w:p w14:paraId="3A7B0381" w14:textId="77777777" w:rsidR="00263C3C" w:rsidRDefault="00263C3C" w:rsidP="00263C3C">
      <w:r>
        <w:t>A special case of nominal data is binary or dichotomous data, where there are only two possible categories or outcomes. These are often represented as "yes" or "no," "true" or "false," or other similar pairs. In some cases, nominal data may be stored in a database using numbers, such as "1" for "rent" and "2" for "own" when asking about home ownership. However, it is important to remember that these numbers do not have any mathematical meaning and could easily be replaced with the original category labels.</w:t>
      </w:r>
    </w:p>
    <w:p w14:paraId="32CF9AB7" w14:textId="1AEB898D" w:rsidR="00263C3C" w:rsidRDefault="00263C3C" w:rsidP="007D40C6">
      <w:pPr>
        <w:pStyle w:val="Heading5"/>
      </w:pPr>
      <w:r>
        <w:t>Ordinal data</w:t>
      </w:r>
    </w:p>
    <w:p w14:paraId="616F231D" w14:textId="1AC8BACF" w:rsidR="00263C3C" w:rsidRDefault="00263C3C" w:rsidP="00263C3C">
      <w:r>
        <w:t xml:space="preserve">Ordinal data </w:t>
      </w:r>
      <w:r w:rsidR="00B618C3">
        <w:t>is</w:t>
      </w:r>
      <w:r>
        <w:t xml:space="preserve"> also categorical, but unlike nominal data, the categories have a meaningful order or hierarchy. In other words, the categories can be ranked or ordered based on some criteria. However, the differences between categories are not precisely measurable or consistent. Examples of ordinal data include:</w:t>
      </w:r>
    </w:p>
    <w:p w14:paraId="7FA2F80E" w14:textId="77777777" w:rsidR="00263C3C" w:rsidRDefault="00263C3C" w:rsidP="007D40C6">
      <w:pPr>
        <w:pStyle w:val="ListParagraph"/>
        <w:numPr>
          <w:ilvl w:val="0"/>
          <w:numId w:val="232"/>
        </w:numPr>
      </w:pPr>
      <w:r>
        <w:t>Movie ratings: A five-star movie is considered better than a four-star movie, but the exact difference in quality between the two is not quantifiable.</w:t>
      </w:r>
    </w:p>
    <w:p w14:paraId="2A134033" w14:textId="77777777" w:rsidR="00263C3C" w:rsidRDefault="00263C3C" w:rsidP="007D40C6">
      <w:pPr>
        <w:pStyle w:val="ListParagraph"/>
        <w:numPr>
          <w:ilvl w:val="0"/>
          <w:numId w:val="232"/>
        </w:numPr>
      </w:pPr>
      <w:r>
        <w:t>Pain scales: Hospital staff often ask patients to rate their pain on a scale from one to ten. While a patient reporting a pain level of "five" after treatment has less pain than when they reported a "seven," the exact difference between the two levels cannot be measured.</w:t>
      </w:r>
    </w:p>
    <w:p w14:paraId="3F92BBF8" w14:textId="1C097C1F" w:rsidR="00263C3C" w:rsidRDefault="00263C3C" w:rsidP="00263C3C">
      <w:r>
        <w:t xml:space="preserve">Ordinal data </w:t>
      </w:r>
      <w:r w:rsidR="00B92AA3">
        <w:t>is</w:t>
      </w:r>
      <w:r>
        <w:t xml:space="preserve"> frequently used in surveys that employ Likert-type questions, where respondents choose from a set of ordered categories such as "Strongly Agree," "Agree," "Neutral," "Disagree," or "Strongly Disagree." Ordinal data can also be created by grouping numeric data into categories. For instance, if a dataset includes the ages of respondents, these could be grouped into categories like "20-29" or "30-39." In such cases, the age groups are typically represented by a single number in the dataset (e.g., "2" for the "20-29" age group), effectively transforming the data from numerical to ordinal.</w:t>
      </w:r>
    </w:p>
    <w:p w14:paraId="5327D29A" w14:textId="2BEC2E2E" w:rsidR="00A626FE" w:rsidRDefault="00263C3C" w:rsidP="00263C3C">
      <w:r>
        <w:t>Understanding the differences between nominal and ordinal data is crucial for selecting appropriate analysis methods and drawing valid conclusions from qualitative research.</w:t>
      </w:r>
    </w:p>
    <w:p w14:paraId="7339F0C9" w14:textId="14C6BDA8" w:rsidR="00A91228" w:rsidRDefault="003F2E71" w:rsidP="003F2E71">
      <w:pPr>
        <w:pStyle w:val="Heading4"/>
      </w:pPr>
      <w:r>
        <w:lastRenderedPageBreak/>
        <w:t>Quantitative</w:t>
      </w:r>
    </w:p>
    <w:p w14:paraId="10EC7B39" w14:textId="77777777" w:rsidR="00816BB4" w:rsidRDefault="00816BB4" w:rsidP="00816BB4">
      <w:r>
        <w:t>Quantitative data are numerical values that represent counts or measurements. Examples of quantitative data include a person's age, a tree's height, or a truck's weight. Unlike qualitative data, quantitative data are measured using scales with equal intervals, allowing for direct comparisons between any two values. Quantitative data can be either discrete or continuous. Discrete data are represented by whole numbers or integers, such as the number of words in a document. Continuous data, on the other hand, are represented by fractional or decimal numbers, like a person's height or weight.</w:t>
      </w:r>
    </w:p>
    <w:p w14:paraId="40FBF8E8" w14:textId="461E56F3" w:rsidR="00816BB4" w:rsidRDefault="00816BB4" w:rsidP="00816BB4">
      <w:r>
        <w:t xml:space="preserve">Because quantitative data have numerical characteristics like means and standard deviations, </w:t>
      </w:r>
      <w:r w:rsidR="00BB47AF">
        <w:t>it is</w:t>
      </w:r>
      <w:r>
        <w:t xml:space="preserve"> analyzed using parametric statistical tests, such as T-tests and Analysis of Variance (ANOVA). These tests assume that the data follow</w:t>
      </w:r>
      <w:r w:rsidR="00BB47AF">
        <w:t>s</w:t>
      </w:r>
      <w:r>
        <w:t xml:space="preserve"> certain distributions and have specific properties, making them suitable for analyzing quantitative data.</w:t>
      </w:r>
    </w:p>
    <w:p w14:paraId="20F072BD" w14:textId="77777777" w:rsidR="00816BB4" w:rsidRDefault="00816BB4" w:rsidP="00816BB4">
      <w:r>
        <w:t>Quantitative data can be further divided into two subtypes: interval and ratio data.</w:t>
      </w:r>
    </w:p>
    <w:p w14:paraId="7FBF55A6" w14:textId="2D23EBC6" w:rsidR="00816BB4" w:rsidRDefault="00816BB4" w:rsidP="0004571A">
      <w:pPr>
        <w:pStyle w:val="Heading5"/>
      </w:pPr>
      <w:r>
        <w:t>Interval data</w:t>
      </w:r>
    </w:p>
    <w:p w14:paraId="6A45C447" w14:textId="6B4454B6" w:rsidR="00816BB4" w:rsidRDefault="00816BB4" w:rsidP="00816BB4">
      <w:r>
        <w:t>Interval data are numerical values where the distance between any two values is meaningful and can be calculated. However, interval data do</w:t>
      </w:r>
      <w:r w:rsidR="00BB47AF">
        <w:t>es</w:t>
      </w:r>
      <w:r>
        <w:t xml:space="preserve"> not have a true zero point. A classic example of interval data is temperature measured in degrees Celsius or Fahrenheit. While the difference between 80° and 90° is the same as the difference between 60° and 70°, it is important to note that 0° does not represent the absence of temperature. As a result, it would be incorrect to say that 20° is twice as hot as 10°, as the zero point is arbitrary.</w:t>
      </w:r>
    </w:p>
    <w:p w14:paraId="1187C51E" w14:textId="77777777" w:rsidR="00816BB4" w:rsidRDefault="00816BB4" w:rsidP="00816BB4">
      <w:r>
        <w:t>Other examples of interval data include standardized test scores, such as IQ scores or SAT scores, where the difference between scores is consistent, but there is no true zero point.</w:t>
      </w:r>
    </w:p>
    <w:p w14:paraId="78E52AA3" w14:textId="3FC8DFDF" w:rsidR="00816BB4" w:rsidRDefault="00816BB4" w:rsidP="00A42EC2">
      <w:pPr>
        <w:pStyle w:val="Heading5"/>
      </w:pPr>
      <w:r>
        <w:t>Ratio data</w:t>
      </w:r>
    </w:p>
    <w:p w14:paraId="0AA1B87D" w14:textId="4FB14840" w:rsidR="00816BB4" w:rsidRDefault="00816BB4" w:rsidP="00816BB4">
      <w:r>
        <w:t>Ratio data, like interval data, are numerical values where the distance between two values is meaningful and can be calculated. However, unlike interval data, ratio data ha</w:t>
      </w:r>
      <w:r w:rsidR="00531F78">
        <w:t>s</w:t>
      </w:r>
      <w:r>
        <w:t xml:space="preserve"> a true zero point, representing the complete absence of the measured attribute. This allows for meaningful comparisons and ratios between values.</w:t>
      </w:r>
    </w:p>
    <w:p w14:paraId="792F3DE4" w14:textId="34296282" w:rsidR="00816BB4" w:rsidRDefault="00816BB4" w:rsidP="00816BB4">
      <w:r>
        <w:t xml:space="preserve">An example of ratio data is the sales report for an automobile dealership. The data </w:t>
      </w:r>
      <w:r w:rsidR="00E700FD">
        <w:t>represents</w:t>
      </w:r>
      <w:r>
        <w:t xml:space="preserve"> the count of cars sold, with zero indicating that no cars were sold </w:t>
      </w:r>
      <w:r w:rsidR="00E700FD">
        <w:t>in each</w:t>
      </w:r>
      <w:r>
        <w:t xml:space="preserve"> period. With ratio data, it is possible to make statements like "the dealership sold twice as many cars in March as in February" or "sales in the second quarter were 50% higher than in the first quarter."</w:t>
      </w:r>
    </w:p>
    <w:p w14:paraId="04A42961" w14:textId="796C35AF" w:rsidR="00816BB4" w:rsidRDefault="00816BB4" w:rsidP="00816BB4">
      <w:r>
        <w:t>Other examples of ratio data include weight, distance, and income, where zero represents the absence of the measured attribute, and ratios between values are meaningful.</w:t>
      </w:r>
    </w:p>
    <w:p w14:paraId="5327D29F" w14:textId="377275CC" w:rsidR="00A626FE" w:rsidRDefault="00816BB4" w:rsidP="002B3DD1">
      <w:r>
        <w:t xml:space="preserve">Understanding the differences between interval and ratio data is essential for selecting appropriate statistical methods and interpreting the results accurately. Researchers must consider the nature of their data when deciding on analysis techniques and drawing conclusions from their findings. By </w:t>
      </w:r>
      <w:r>
        <w:lastRenderedPageBreak/>
        <w:t xml:space="preserve">recognizing the unique properties of each data type, researchers can ensure that their analyses are </w:t>
      </w:r>
      <w:r w:rsidR="000E7BB3">
        <w:t>valid,</w:t>
      </w:r>
      <w:r>
        <w:t xml:space="preserve"> and their insights are meaningful.</w:t>
      </w:r>
    </w:p>
    <w:p w14:paraId="5327D2A0" w14:textId="13C2BEA0" w:rsidR="00A626FE" w:rsidRPr="000E309B" w:rsidRDefault="00AD0522" w:rsidP="00AD0522">
      <w:pPr>
        <w:pStyle w:val="Heading3"/>
      </w:pPr>
      <w:bookmarkStart w:id="73" w:name="_Toc169156726"/>
      <w:r>
        <w:t>R</w:t>
      </w:r>
      <w:r w:rsidR="00D14B33" w:rsidRPr="000E309B">
        <w:t xml:space="preserve">ating </w:t>
      </w:r>
      <w:r>
        <w:t>S</w:t>
      </w:r>
      <w:r w:rsidR="00D14B33" w:rsidRPr="000E309B">
        <w:t>cale</w:t>
      </w:r>
      <w:bookmarkEnd w:id="73"/>
    </w:p>
    <w:p w14:paraId="1ED88746" w14:textId="77777777" w:rsidR="00B028CC" w:rsidRDefault="00B028CC" w:rsidP="00B028CC">
      <w:r>
        <w:t>When working with qualitative data, researchers must determine an appropriate rating scale, also known as levels of measurement, to record the data they gather about a particular attribute or characteristic. Rating scales provide a standardized way to categorize and assign values to qualitative data, making it easier to analyze and interpret the results.</w:t>
      </w:r>
    </w:p>
    <w:p w14:paraId="315A7A17" w14:textId="77777777" w:rsidR="00B028CC" w:rsidRDefault="00B028CC" w:rsidP="00B028CC">
      <w:r>
        <w:t>For instance, when collecting data about a person's gender, researchers could use various rating scales such as:</w:t>
      </w:r>
    </w:p>
    <w:p w14:paraId="6D35B7E7" w14:textId="77777777" w:rsidR="00B028CC" w:rsidRDefault="00B028CC" w:rsidP="00B000AB">
      <w:pPr>
        <w:pStyle w:val="ListParagraph"/>
        <w:numPr>
          <w:ilvl w:val="0"/>
          <w:numId w:val="233"/>
        </w:numPr>
      </w:pPr>
      <w:r>
        <w:t>Male, Female, Other</w:t>
      </w:r>
    </w:p>
    <w:p w14:paraId="40DD0E08" w14:textId="77777777" w:rsidR="00B028CC" w:rsidRDefault="00B028CC" w:rsidP="00B000AB">
      <w:pPr>
        <w:pStyle w:val="ListParagraph"/>
        <w:numPr>
          <w:ilvl w:val="0"/>
          <w:numId w:val="233"/>
        </w:numPr>
      </w:pPr>
      <w:r>
        <w:t>M, F, O</w:t>
      </w:r>
    </w:p>
    <w:p w14:paraId="7B701F25" w14:textId="77777777" w:rsidR="00B028CC" w:rsidRDefault="00B028CC" w:rsidP="00B000AB">
      <w:pPr>
        <w:pStyle w:val="ListParagraph"/>
        <w:numPr>
          <w:ilvl w:val="0"/>
          <w:numId w:val="233"/>
        </w:numPr>
      </w:pPr>
      <w:r>
        <w:t>1, 2, 3</w:t>
      </w:r>
    </w:p>
    <w:p w14:paraId="6475E493" w14:textId="5200C012" w:rsidR="00A03BD6" w:rsidRDefault="00DA00CD" w:rsidP="00B028CC">
      <w:r>
        <w:rPr>
          <w:noProof/>
        </w:rPr>
        <mc:AlternateContent>
          <mc:Choice Requires="wps">
            <w:drawing>
              <wp:anchor distT="0" distB="0" distL="114300" distR="114300" simplePos="0" relativeHeight="251658317" behindDoc="0" locked="0" layoutInCell="1" allowOverlap="1" wp14:anchorId="1DA60D8F" wp14:editId="7F0275E2">
                <wp:simplePos x="0" y="0"/>
                <wp:positionH relativeFrom="column">
                  <wp:posOffset>1075690</wp:posOffset>
                </wp:positionH>
                <wp:positionV relativeFrom="paragraph">
                  <wp:posOffset>4399915</wp:posOffset>
                </wp:positionV>
                <wp:extent cx="3776345" cy="274320"/>
                <wp:effectExtent l="0" t="0" r="0" b="0"/>
                <wp:wrapTopAndBottom/>
                <wp:docPr id="277442" name="Text Box 277442"/>
                <wp:cNvGraphicFramePr/>
                <a:graphic xmlns:a="http://schemas.openxmlformats.org/drawingml/2006/main">
                  <a:graphicData uri="http://schemas.microsoft.com/office/word/2010/wordprocessingShape">
                    <wps:wsp>
                      <wps:cNvSpPr txBox="1"/>
                      <wps:spPr>
                        <a:xfrm>
                          <a:off x="0" y="0"/>
                          <a:ext cx="3776345" cy="274320"/>
                        </a:xfrm>
                        <a:prstGeom prst="rect">
                          <a:avLst/>
                        </a:prstGeom>
                        <a:solidFill>
                          <a:prstClr val="white"/>
                        </a:solidFill>
                        <a:ln>
                          <a:noFill/>
                        </a:ln>
                      </wps:spPr>
                      <wps:txbx>
                        <w:txbxContent>
                          <w:p w14:paraId="63A1E221" w14:textId="0EA5479F" w:rsidR="003610E3" w:rsidRDefault="003610E3" w:rsidP="00C523E4">
                            <w:pPr>
                              <w:pStyle w:val="Caption"/>
                              <w:jc w:val="center"/>
                              <w:rPr>
                                <w:noProof/>
                              </w:rPr>
                            </w:pPr>
                            <w:r>
                              <w:t xml:space="preserve">Figure </w:t>
                            </w:r>
                            <w:r w:rsidR="006D77BF">
                              <w:fldChar w:fldCharType="begin"/>
                            </w:r>
                            <w:r w:rsidR="006D77BF">
                              <w:instrText xml:space="preserve"> SEQ Figure \* ARABIC </w:instrText>
                            </w:r>
                            <w:r w:rsidR="006D77BF">
                              <w:fldChar w:fldCharType="separate"/>
                            </w:r>
                            <w:r w:rsidR="00980002">
                              <w:rPr>
                                <w:noProof/>
                              </w:rPr>
                              <w:t>11</w:t>
                            </w:r>
                            <w:r w:rsidR="006D77BF">
                              <w:rPr>
                                <w:noProof/>
                              </w:rPr>
                              <w:fldChar w:fldCharType="end"/>
                            </w:r>
                            <w:r>
                              <w:t>: Rating Scales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A60D8F" id="Text Box 277442" o:spid="_x0000_s1091" type="#_x0000_t202" style="position:absolute;margin-left:84.7pt;margin-top:346.45pt;width:297.35pt;height:21.6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" stroked="f">
                <v:textbox style="mso-fit-shape-to-text:t" inset="0,0,0,0">
                  <w:txbxContent>
                    <w:p w14:paraId="63A1E221" w14:textId="0EA5479F" w:rsidR="003610E3" w:rsidRDefault="003610E3" w:rsidP="00C523E4">
                      <w:pPr>
                        <w:pStyle w:val="Caption"/>
                        <w:jc w:val="center"/>
                        <w:rPr>
                          <w:noProof/>
                        </w:rPr>
                      </w:pPr>
                      <w:r>
                        <w:t xml:space="preserve">Figure </w:t>
                      </w:r>
                      <w:r w:rsidR="006D77BF">
                        <w:fldChar w:fldCharType="begin"/>
                      </w:r>
                      <w:r w:rsidR="006D77BF">
                        <w:instrText xml:space="preserve"> SEQ Figure \* ARABIC </w:instrText>
                      </w:r>
                      <w:r w:rsidR="006D77BF">
                        <w:fldChar w:fldCharType="separate"/>
                      </w:r>
                      <w:r w:rsidR="00980002">
                        <w:rPr>
                          <w:noProof/>
                        </w:rPr>
                        <w:t>11</w:t>
                      </w:r>
                      <w:r w:rsidR="006D77BF">
                        <w:rPr>
                          <w:noProof/>
                        </w:rPr>
                        <w:fldChar w:fldCharType="end"/>
                      </w:r>
                      <w:r>
                        <w:t>: Rating Scales</w:t>
                      </w:r>
                    </w:p>
                  </w:txbxContent>
                </v:textbox>
                <w10:wrap type="topAndBottom"/>
              </v:shape>
            </w:pict>
          </mc:Fallback>
        </mc:AlternateContent>
      </w:r>
      <w:r>
        <w:rPr>
          <w:noProof/>
        </w:rPr>
        <w:drawing>
          <wp:anchor distT="0" distB="0" distL="114300" distR="114300" simplePos="0" relativeHeight="251658316" behindDoc="0" locked="0" layoutInCell="1" allowOverlap="1" wp14:anchorId="33FA9E04" wp14:editId="14FE68AD">
            <wp:simplePos x="0" y="0"/>
            <wp:positionH relativeFrom="column">
              <wp:posOffset>1031545</wp:posOffset>
            </wp:positionH>
            <wp:positionV relativeFrom="paragraph">
              <wp:posOffset>1004697</wp:posOffset>
            </wp:positionV>
            <wp:extent cx="3776345" cy="3547745"/>
            <wp:effectExtent l="0" t="0" r="90805" b="0"/>
            <wp:wrapTopAndBottom/>
            <wp:docPr id="277440" name="Diagram 2774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14:sizeRelH relativeFrom="margin">
              <wp14:pctWidth>0</wp14:pctWidth>
            </wp14:sizeRelH>
            <wp14:sizeRelV relativeFrom="margin">
              <wp14:pctHeight>0</wp14:pctHeight>
            </wp14:sizeRelV>
          </wp:anchor>
        </w:drawing>
      </w:r>
      <w:r w:rsidR="00B028CC">
        <w:t>The choice of rating scale depends on the researcher's preferences and the specific requirements of the study. However, it is crucial to use the chosen scale consistently throughout the entire research project to ensure data integrity and facilitate accurate analysis.</w:t>
      </w:r>
      <w:r w:rsidR="00AB6F28">
        <w:t xml:space="preserve"> </w:t>
      </w:r>
      <w:r w:rsidR="00D87CB3">
        <w:t>Following</w:t>
      </w:r>
      <w:r w:rsidR="00AB6F28">
        <w:t xml:space="preserve"> are the four </w:t>
      </w:r>
      <w:r>
        <w:t>most used</w:t>
      </w:r>
      <w:r w:rsidR="00AB6F28">
        <w:t xml:space="preserve"> scales.</w:t>
      </w:r>
    </w:p>
    <w:p w14:paraId="233B4301" w14:textId="5F5A0BC2" w:rsidR="003F44A2" w:rsidRDefault="003F44A2" w:rsidP="00AB6F28">
      <w:pPr>
        <w:pStyle w:val="Heading4"/>
      </w:pPr>
      <w:r>
        <w:t>Binary</w:t>
      </w:r>
    </w:p>
    <w:p w14:paraId="3D1028DC" w14:textId="1E34FAFA" w:rsidR="00026CC0" w:rsidRDefault="00026CC0" w:rsidP="00B82CE6">
      <w:r>
        <w:t xml:space="preserve">Binary scales are a type of nominal scale that consists of items with only two possible values or categories. These scales are commonly used in qualitative research to measure attributes or </w:t>
      </w:r>
      <w:r>
        <w:lastRenderedPageBreak/>
        <w:t>characteristics that can be clearly divided into two distinct groups. The two possible values in a binary scale can be represented by labels such as:</w:t>
      </w:r>
    </w:p>
    <w:p w14:paraId="7DECEC71" w14:textId="77777777" w:rsidR="00026CC0" w:rsidRDefault="00026CC0" w:rsidP="00013E57">
      <w:pPr>
        <w:pStyle w:val="ListParagraph"/>
        <w:numPr>
          <w:ilvl w:val="0"/>
          <w:numId w:val="234"/>
        </w:numPr>
      </w:pPr>
      <w:r>
        <w:t>Yes or No</w:t>
      </w:r>
    </w:p>
    <w:p w14:paraId="0537A0EB" w14:textId="77777777" w:rsidR="00026CC0" w:rsidRDefault="00026CC0" w:rsidP="00013E57">
      <w:pPr>
        <w:pStyle w:val="ListParagraph"/>
        <w:numPr>
          <w:ilvl w:val="0"/>
          <w:numId w:val="234"/>
        </w:numPr>
      </w:pPr>
      <w:r>
        <w:t>True or False</w:t>
      </w:r>
    </w:p>
    <w:p w14:paraId="42250035" w14:textId="77777777" w:rsidR="00026CC0" w:rsidRDefault="00026CC0" w:rsidP="00013E57">
      <w:pPr>
        <w:pStyle w:val="ListParagraph"/>
        <w:numPr>
          <w:ilvl w:val="0"/>
          <w:numId w:val="234"/>
        </w:numPr>
      </w:pPr>
      <w:r>
        <w:t>Agree or Disagree</w:t>
      </w:r>
    </w:p>
    <w:p w14:paraId="5327D2A2" w14:textId="452263F8" w:rsidR="00A626FE" w:rsidRPr="000E309B" w:rsidRDefault="00A15E85" w:rsidP="00A16059">
      <w:r>
        <w:t>The following table</w:t>
      </w:r>
      <w:r w:rsidR="00026CC0">
        <w:t xml:space="preserve"> presents an example of a binary scale designed to measure an individual's level of political activism. The scale consists of six items, each of which can be answered with either a "yes" or a "no."</w:t>
      </w:r>
    </w:p>
    <w:tbl>
      <w:tblPr>
        <w:tblStyle w:val="TableGrid"/>
        <w:tblW w:w="7271" w:type="dxa"/>
        <w:jc w:val="center"/>
        <w:tblInd w:w="0" w:type="dxa"/>
        <w:tblLook w:val="04A0" w:firstRow="1" w:lastRow="0" w:firstColumn="1" w:lastColumn="0" w:noHBand="0" w:noVBand="1"/>
      </w:tblPr>
      <w:tblGrid>
        <w:gridCol w:w="6490"/>
        <w:gridCol w:w="413"/>
        <w:gridCol w:w="368"/>
      </w:tblGrid>
      <w:tr w:rsidR="00A626FE" w:rsidRPr="000E309B" w14:paraId="5327D2A6" w14:textId="77777777" w:rsidTr="00940761">
        <w:trPr>
          <w:cantSplit/>
          <w:trHeight w:val="20"/>
          <w:jc w:val="center"/>
        </w:trPr>
        <w:tc>
          <w:tcPr>
            <w:tcW w:w="6490" w:type="dxa"/>
            <w:tcBorders>
              <w:bottom w:val="single" w:sz="4" w:space="0" w:color="auto"/>
            </w:tcBorders>
            <w:vAlign w:val="bottom"/>
          </w:tcPr>
          <w:p w14:paraId="5327D2A3" w14:textId="77777777" w:rsidR="00A626FE" w:rsidRPr="009A6925" w:rsidRDefault="00D14B33" w:rsidP="00A24E7C">
            <w:pPr>
              <w:keepNext/>
              <w:keepLines/>
              <w:rPr>
                <w:b/>
                <w:bCs/>
              </w:rPr>
            </w:pPr>
            <w:r w:rsidRPr="009A6925">
              <w:rPr>
                <w:b/>
                <w:bCs/>
              </w:rPr>
              <w:t>Question</w:t>
            </w:r>
          </w:p>
        </w:tc>
        <w:tc>
          <w:tcPr>
            <w:tcW w:w="413" w:type="dxa"/>
            <w:tcBorders>
              <w:bottom w:val="single" w:sz="4" w:space="0" w:color="auto"/>
            </w:tcBorders>
            <w:vAlign w:val="bottom"/>
          </w:tcPr>
          <w:p w14:paraId="5327D2A4" w14:textId="77777777" w:rsidR="00A626FE" w:rsidRPr="009A6925" w:rsidRDefault="00D14B33" w:rsidP="00443989">
            <w:pPr>
              <w:keepNext/>
              <w:keepLines/>
              <w:jc w:val="center"/>
              <w:rPr>
                <w:b/>
                <w:bCs/>
              </w:rPr>
            </w:pPr>
            <w:r w:rsidRPr="009A6925">
              <w:rPr>
                <w:b/>
                <w:bCs/>
              </w:rPr>
              <w:t>Yes</w:t>
            </w:r>
          </w:p>
        </w:tc>
        <w:tc>
          <w:tcPr>
            <w:tcW w:w="368" w:type="dxa"/>
            <w:tcBorders>
              <w:bottom w:val="single" w:sz="4" w:space="0" w:color="auto"/>
            </w:tcBorders>
            <w:vAlign w:val="bottom"/>
          </w:tcPr>
          <w:p w14:paraId="5327D2A5" w14:textId="77777777" w:rsidR="00A626FE" w:rsidRPr="009A6925" w:rsidRDefault="00D14B33" w:rsidP="00443989">
            <w:pPr>
              <w:keepNext/>
              <w:keepLines/>
              <w:jc w:val="center"/>
              <w:rPr>
                <w:b/>
                <w:bCs/>
              </w:rPr>
            </w:pPr>
            <w:r w:rsidRPr="009A6925">
              <w:rPr>
                <w:b/>
                <w:bCs/>
              </w:rPr>
              <w:t>No</w:t>
            </w:r>
          </w:p>
        </w:tc>
      </w:tr>
      <w:tr w:rsidR="00A626FE" w:rsidRPr="000E309B" w14:paraId="5327D2B2" w14:textId="77777777" w:rsidTr="00940761">
        <w:trPr>
          <w:cantSplit/>
          <w:trHeight w:val="20"/>
          <w:jc w:val="center"/>
        </w:trPr>
        <w:tc>
          <w:tcPr>
            <w:tcW w:w="6490" w:type="dxa"/>
            <w:tcBorders>
              <w:top w:val="single" w:sz="4" w:space="0" w:color="auto"/>
            </w:tcBorders>
          </w:tcPr>
          <w:p w14:paraId="5327D2AB" w14:textId="4E261773" w:rsidR="00A626FE" w:rsidRPr="000E309B" w:rsidRDefault="00D14B33" w:rsidP="00A24E7C">
            <w:pPr>
              <w:keepNext/>
              <w:keepLines/>
            </w:pPr>
            <w:r w:rsidRPr="000E309B">
              <w:t xml:space="preserve">Have you ever written a letter to a public official? </w:t>
            </w:r>
          </w:p>
        </w:tc>
        <w:tc>
          <w:tcPr>
            <w:tcW w:w="413" w:type="dxa"/>
            <w:tcBorders>
              <w:top w:val="single" w:sz="4" w:space="0" w:color="auto"/>
            </w:tcBorders>
          </w:tcPr>
          <w:p w14:paraId="5327D2B0" w14:textId="199C2825" w:rsidR="00A626FE" w:rsidRPr="000E309B" w:rsidRDefault="00A83B9C" w:rsidP="00443989">
            <w:pPr>
              <w:keepNext/>
              <w:keepLines/>
              <w:jc w:val="center"/>
            </w:pPr>
            <w:r>
              <w:sym w:font="Wingdings" w:char="F0A1"/>
            </w:r>
          </w:p>
        </w:tc>
        <w:tc>
          <w:tcPr>
            <w:tcW w:w="368" w:type="dxa"/>
            <w:tcBorders>
              <w:top w:val="single" w:sz="4" w:space="0" w:color="auto"/>
            </w:tcBorders>
          </w:tcPr>
          <w:p w14:paraId="5327D2B1" w14:textId="3EB705A3" w:rsidR="00A626FE" w:rsidRPr="000E309B" w:rsidRDefault="00A83B9C" w:rsidP="00443989">
            <w:pPr>
              <w:keepNext/>
              <w:keepLines/>
              <w:jc w:val="center"/>
            </w:pPr>
            <w:r>
              <w:sym w:font="Wingdings" w:char="F0A1"/>
            </w:r>
          </w:p>
        </w:tc>
      </w:tr>
      <w:tr w:rsidR="000477EE" w:rsidRPr="000E309B" w14:paraId="3B3A312C" w14:textId="77777777" w:rsidTr="00F279AB">
        <w:trPr>
          <w:cantSplit/>
          <w:trHeight w:val="20"/>
          <w:jc w:val="center"/>
        </w:trPr>
        <w:tc>
          <w:tcPr>
            <w:tcW w:w="6490" w:type="dxa"/>
            <w:shd w:val="clear" w:color="auto" w:fill="EBE8EC" w:themeFill="accent6" w:themeFillTint="33"/>
          </w:tcPr>
          <w:p w14:paraId="36F76C38" w14:textId="3005E5E7" w:rsidR="000477EE" w:rsidRPr="000E309B" w:rsidRDefault="000477EE" w:rsidP="00A24E7C">
            <w:pPr>
              <w:keepNext/>
              <w:keepLines/>
            </w:pPr>
            <w:r w:rsidRPr="000E309B">
              <w:t>Have you ever signed a political petition?</w:t>
            </w:r>
          </w:p>
        </w:tc>
        <w:tc>
          <w:tcPr>
            <w:tcW w:w="413" w:type="dxa"/>
            <w:shd w:val="clear" w:color="auto" w:fill="EBE8EC" w:themeFill="accent6" w:themeFillTint="33"/>
          </w:tcPr>
          <w:p w14:paraId="4CFF655A" w14:textId="2DA313B1" w:rsidR="000477EE" w:rsidRPr="000E309B" w:rsidRDefault="00A83B9C" w:rsidP="00443989">
            <w:pPr>
              <w:keepNext/>
              <w:keepLines/>
              <w:jc w:val="center"/>
            </w:pPr>
            <w:r>
              <w:sym w:font="Wingdings" w:char="F0A1"/>
            </w:r>
          </w:p>
        </w:tc>
        <w:tc>
          <w:tcPr>
            <w:tcW w:w="368" w:type="dxa"/>
            <w:shd w:val="clear" w:color="auto" w:fill="EBE8EC" w:themeFill="accent6" w:themeFillTint="33"/>
          </w:tcPr>
          <w:p w14:paraId="7CE012B2" w14:textId="5305288E" w:rsidR="000477EE" w:rsidRPr="000E309B" w:rsidRDefault="00A83B9C" w:rsidP="00443989">
            <w:pPr>
              <w:keepNext/>
              <w:keepLines/>
              <w:jc w:val="center"/>
            </w:pPr>
            <w:r>
              <w:sym w:font="Wingdings" w:char="F0A1"/>
            </w:r>
          </w:p>
        </w:tc>
      </w:tr>
      <w:tr w:rsidR="000477EE" w:rsidRPr="000E309B" w14:paraId="3D93C11E" w14:textId="77777777" w:rsidTr="00940761">
        <w:trPr>
          <w:cantSplit/>
          <w:trHeight w:val="20"/>
          <w:jc w:val="center"/>
        </w:trPr>
        <w:tc>
          <w:tcPr>
            <w:tcW w:w="6490" w:type="dxa"/>
          </w:tcPr>
          <w:p w14:paraId="4154F55D" w14:textId="4F17E845" w:rsidR="000477EE" w:rsidRPr="000E309B" w:rsidRDefault="000477EE" w:rsidP="00A24E7C">
            <w:pPr>
              <w:keepNext/>
              <w:keepLines/>
            </w:pPr>
            <w:r w:rsidRPr="000E309B">
              <w:t>Have you ever donated money to a political cause?</w:t>
            </w:r>
          </w:p>
        </w:tc>
        <w:tc>
          <w:tcPr>
            <w:tcW w:w="413" w:type="dxa"/>
          </w:tcPr>
          <w:p w14:paraId="7355C0A8" w14:textId="4CE4BE1F" w:rsidR="000477EE" w:rsidRPr="000E309B" w:rsidRDefault="00A83B9C" w:rsidP="00443989">
            <w:pPr>
              <w:keepNext/>
              <w:keepLines/>
              <w:jc w:val="center"/>
            </w:pPr>
            <w:r>
              <w:sym w:font="Wingdings" w:char="F0A1"/>
            </w:r>
          </w:p>
        </w:tc>
        <w:tc>
          <w:tcPr>
            <w:tcW w:w="368" w:type="dxa"/>
          </w:tcPr>
          <w:p w14:paraId="3BCCDEFF" w14:textId="7EA643E3" w:rsidR="000477EE" w:rsidRPr="000E309B" w:rsidRDefault="00A83B9C" w:rsidP="00443989">
            <w:pPr>
              <w:keepNext/>
              <w:keepLines/>
              <w:jc w:val="center"/>
            </w:pPr>
            <w:r>
              <w:sym w:font="Wingdings" w:char="F0A1"/>
            </w:r>
          </w:p>
        </w:tc>
      </w:tr>
      <w:tr w:rsidR="000B06E2" w:rsidRPr="000E309B" w14:paraId="7FB0196A" w14:textId="77777777" w:rsidTr="00F279AB">
        <w:trPr>
          <w:cantSplit/>
          <w:trHeight w:val="20"/>
          <w:jc w:val="center"/>
        </w:trPr>
        <w:tc>
          <w:tcPr>
            <w:tcW w:w="6490" w:type="dxa"/>
            <w:shd w:val="clear" w:color="auto" w:fill="EBE8EC" w:themeFill="accent6" w:themeFillTint="33"/>
          </w:tcPr>
          <w:p w14:paraId="36090BFF" w14:textId="3E93AF1B" w:rsidR="000B06E2" w:rsidRPr="000E309B" w:rsidRDefault="000B06E2" w:rsidP="00A24E7C">
            <w:pPr>
              <w:keepNext/>
              <w:keepLines/>
            </w:pPr>
            <w:r w:rsidRPr="000E309B">
              <w:t>Have you ever donated money to a candidate?</w:t>
            </w:r>
          </w:p>
        </w:tc>
        <w:tc>
          <w:tcPr>
            <w:tcW w:w="413" w:type="dxa"/>
            <w:shd w:val="clear" w:color="auto" w:fill="EBE8EC" w:themeFill="accent6" w:themeFillTint="33"/>
          </w:tcPr>
          <w:p w14:paraId="141E17DF" w14:textId="45AC7AE4" w:rsidR="000B06E2" w:rsidRPr="000E309B" w:rsidRDefault="00A83B9C" w:rsidP="00443989">
            <w:pPr>
              <w:keepNext/>
              <w:keepLines/>
              <w:jc w:val="center"/>
            </w:pPr>
            <w:r>
              <w:sym w:font="Wingdings" w:char="F0A1"/>
            </w:r>
          </w:p>
        </w:tc>
        <w:tc>
          <w:tcPr>
            <w:tcW w:w="368" w:type="dxa"/>
            <w:shd w:val="clear" w:color="auto" w:fill="EBE8EC" w:themeFill="accent6" w:themeFillTint="33"/>
          </w:tcPr>
          <w:p w14:paraId="61867E82" w14:textId="14AAB65D" w:rsidR="000B06E2" w:rsidRPr="000E309B" w:rsidRDefault="00A83B9C" w:rsidP="00443989">
            <w:pPr>
              <w:keepNext/>
              <w:keepLines/>
              <w:jc w:val="center"/>
            </w:pPr>
            <w:r>
              <w:sym w:font="Wingdings" w:char="F0A1"/>
            </w:r>
          </w:p>
        </w:tc>
      </w:tr>
      <w:tr w:rsidR="000B06E2" w:rsidRPr="000E309B" w14:paraId="50D4FDEA" w14:textId="77777777" w:rsidTr="00940761">
        <w:trPr>
          <w:cantSplit/>
          <w:trHeight w:val="20"/>
          <w:jc w:val="center"/>
        </w:trPr>
        <w:tc>
          <w:tcPr>
            <w:tcW w:w="6490" w:type="dxa"/>
          </w:tcPr>
          <w:p w14:paraId="1C01A809" w14:textId="0A7A2FEA" w:rsidR="000B06E2" w:rsidRPr="000E309B" w:rsidRDefault="000B06E2" w:rsidP="00A24E7C">
            <w:pPr>
              <w:keepNext/>
              <w:keepLines/>
            </w:pPr>
            <w:r w:rsidRPr="000E309B">
              <w:t>Have you ever written a political letter to the editor of a newspaper?</w:t>
            </w:r>
          </w:p>
        </w:tc>
        <w:tc>
          <w:tcPr>
            <w:tcW w:w="413" w:type="dxa"/>
          </w:tcPr>
          <w:p w14:paraId="06981353" w14:textId="1F95A8D8" w:rsidR="000B06E2" w:rsidRPr="000E309B" w:rsidRDefault="00A83B9C" w:rsidP="00443989">
            <w:pPr>
              <w:keepNext/>
              <w:keepLines/>
              <w:jc w:val="center"/>
            </w:pPr>
            <w:r>
              <w:sym w:font="Wingdings" w:char="F0A1"/>
            </w:r>
          </w:p>
        </w:tc>
        <w:tc>
          <w:tcPr>
            <w:tcW w:w="368" w:type="dxa"/>
          </w:tcPr>
          <w:p w14:paraId="132A1785" w14:textId="4EA66E90" w:rsidR="000B06E2" w:rsidRPr="000E309B" w:rsidRDefault="00A83B9C" w:rsidP="00443989">
            <w:pPr>
              <w:keepNext/>
              <w:keepLines/>
              <w:jc w:val="center"/>
            </w:pPr>
            <w:r>
              <w:sym w:font="Wingdings" w:char="F0A1"/>
            </w:r>
          </w:p>
        </w:tc>
      </w:tr>
      <w:tr w:rsidR="000B06E2" w:rsidRPr="000E309B" w14:paraId="4DEEC65B" w14:textId="77777777" w:rsidTr="00F279AB">
        <w:trPr>
          <w:cantSplit/>
          <w:trHeight w:val="20"/>
          <w:jc w:val="center"/>
        </w:trPr>
        <w:tc>
          <w:tcPr>
            <w:tcW w:w="6490" w:type="dxa"/>
            <w:tcBorders>
              <w:bottom w:val="single" w:sz="4" w:space="0" w:color="auto"/>
            </w:tcBorders>
            <w:shd w:val="clear" w:color="auto" w:fill="EBE8EC" w:themeFill="accent6" w:themeFillTint="33"/>
          </w:tcPr>
          <w:p w14:paraId="07B5066B" w14:textId="27CF3361" w:rsidR="000B06E2" w:rsidRPr="000E309B" w:rsidRDefault="000B06E2" w:rsidP="00A24E7C">
            <w:pPr>
              <w:keepNext/>
              <w:keepLines/>
            </w:pPr>
            <w:r w:rsidRPr="000E309B">
              <w:t>Have you ever persuaded someone to change his/her voting plans?</w:t>
            </w:r>
          </w:p>
        </w:tc>
        <w:tc>
          <w:tcPr>
            <w:tcW w:w="413" w:type="dxa"/>
            <w:tcBorders>
              <w:bottom w:val="single" w:sz="4" w:space="0" w:color="auto"/>
            </w:tcBorders>
            <w:shd w:val="clear" w:color="auto" w:fill="EBE8EC" w:themeFill="accent6" w:themeFillTint="33"/>
          </w:tcPr>
          <w:p w14:paraId="46C3FA62" w14:textId="2F3F66B9" w:rsidR="000B06E2" w:rsidRPr="000E309B" w:rsidRDefault="00A83B9C" w:rsidP="00443989">
            <w:pPr>
              <w:keepNext/>
              <w:keepLines/>
              <w:jc w:val="center"/>
            </w:pPr>
            <w:r>
              <w:sym w:font="Wingdings" w:char="F0A1"/>
            </w:r>
          </w:p>
        </w:tc>
        <w:tc>
          <w:tcPr>
            <w:tcW w:w="368" w:type="dxa"/>
            <w:tcBorders>
              <w:bottom w:val="single" w:sz="4" w:space="0" w:color="auto"/>
            </w:tcBorders>
            <w:shd w:val="clear" w:color="auto" w:fill="EBE8EC" w:themeFill="accent6" w:themeFillTint="33"/>
          </w:tcPr>
          <w:p w14:paraId="67694E53" w14:textId="2568A972" w:rsidR="000B06E2" w:rsidRPr="000E309B" w:rsidRDefault="00A83B9C" w:rsidP="009A6925">
            <w:pPr>
              <w:keepNext/>
              <w:keepLines/>
              <w:jc w:val="center"/>
            </w:pPr>
            <w:r>
              <w:sym w:font="Wingdings" w:char="F0A1"/>
            </w:r>
          </w:p>
        </w:tc>
      </w:tr>
    </w:tbl>
    <w:p w14:paraId="1AC23831" w14:textId="4AE52FB8" w:rsidR="009A6925" w:rsidRDefault="009A6925" w:rsidP="009A6925">
      <w:pPr>
        <w:pStyle w:val="Caption"/>
        <w:jc w:val="center"/>
      </w:pPr>
      <w:bookmarkStart w:id="74" w:name="_Ref66950025"/>
      <w:r>
        <w:t xml:space="preserve">Table </w:t>
      </w:r>
      <w:r w:rsidR="006D77BF">
        <w:fldChar w:fldCharType="begin"/>
      </w:r>
      <w:r w:rsidR="006D77BF">
        <w:instrText xml:space="preserve"> SEQ Table \* ARABIC </w:instrText>
      </w:r>
      <w:r w:rsidR="006D77BF">
        <w:fldChar w:fldCharType="separate"/>
      </w:r>
      <w:r w:rsidR="00980002">
        <w:rPr>
          <w:noProof/>
        </w:rPr>
        <w:t>2</w:t>
      </w:r>
      <w:r w:rsidR="006D77BF">
        <w:rPr>
          <w:noProof/>
        </w:rPr>
        <w:fldChar w:fldCharType="end"/>
      </w:r>
      <w:r>
        <w:t>: Political Activism Binary Scale</w:t>
      </w:r>
      <w:bookmarkEnd w:id="74"/>
    </w:p>
    <w:p w14:paraId="4284744C" w14:textId="5F6F6A28" w:rsidR="004B3925" w:rsidRDefault="006C4CDC" w:rsidP="004B3925">
      <w:r>
        <w:t>T</w:t>
      </w:r>
      <w:r w:rsidR="004B3925">
        <w:t>o score this binary scale, researchers would count the number of "yes" responses for each participant. The total score, ranging from 0 to 6, provides a measure of an individual's level of political activism. A higher score indicates greater involvement in political activities.</w:t>
      </w:r>
    </w:p>
    <w:p w14:paraId="1B63CD0A" w14:textId="77777777" w:rsidR="004B3925" w:rsidRDefault="004B3925" w:rsidP="004B3925">
      <w:r>
        <w:t>Binary scales are not limited to yes/no questions. They can also be used with other dichotomous categories, such as:</w:t>
      </w:r>
    </w:p>
    <w:p w14:paraId="2E4F7689" w14:textId="709490B4" w:rsidR="004B3925" w:rsidRDefault="0004600B" w:rsidP="006C4CDC">
      <w:pPr>
        <w:pStyle w:val="ListParagraph"/>
        <w:numPr>
          <w:ilvl w:val="0"/>
          <w:numId w:val="235"/>
        </w:numPr>
      </w:pPr>
      <w:r>
        <w:t xml:space="preserve">Citizen or </w:t>
      </w:r>
      <w:r w:rsidR="00863FD8">
        <w:t>Non-citizen</w:t>
      </w:r>
      <w:r>
        <w:t xml:space="preserve"> (for citizenship)</w:t>
      </w:r>
    </w:p>
    <w:p w14:paraId="398322FD" w14:textId="77777777" w:rsidR="004B3925" w:rsidRDefault="004B3925" w:rsidP="006C4CDC">
      <w:pPr>
        <w:pStyle w:val="ListParagraph"/>
        <w:numPr>
          <w:ilvl w:val="0"/>
          <w:numId w:val="235"/>
        </w:numPr>
      </w:pPr>
      <w:r>
        <w:t>Full-time or Part-time (for employment status)</w:t>
      </w:r>
    </w:p>
    <w:p w14:paraId="6A496153" w14:textId="7B6A5DEF" w:rsidR="00863FD8" w:rsidRDefault="00863FD8" w:rsidP="006C4CDC">
      <w:pPr>
        <w:pStyle w:val="ListParagraph"/>
        <w:numPr>
          <w:ilvl w:val="0"/>
          <w:numId w:val="235"/>
        </w:numPr>
      </w:pPr>
      <w:r>
        <w:t>Smoker or Non-smoker (for smoking status)</w:t>
      </w:r>
    </w:p>
    <w:p w14:paraId="76E206BE" w14:textId="77777777" w:rsidR="004B3925" w:rsidRDefault="004B3925" w:rsidP="004B3925">
      <w:r>
        <w:t>It is important to note that if a scale item is modified to allow for more than two possible values, it is no longer considered a binary scale. For example, if the employment status item is expanded to include options such as "unemployed," "full-time," "part-time," and "retired," the item becomes a nominal scale with four categories rather than a binary scale.</w:t>
      </w:r>
    </w:p>
    <w:p w14:paraId="5123AC44" w14:textId="77777777" w:rsidR="004B3925" w:rsidRDefault="004B3925" w:rsidP="004B3925">
      <w:r>
        <w:t>When using binary scales in qualitative research, it is crucial to ensure that the items are clearly worded and that the two possible values are mutually exclusive and exhaustive. This means that each participant should be able to select one, and only one, of the two options for each item, and that the two options should cover all possible responses.</w:t>
      </w:r>
    </w:p>
    <w:p w14:paraId="459AA045" w14:textId="6C418774" w:rsidR="004B3925" w:rsidRDefault="004B3925" w:rsidP="004B3925">
      <w:r>
        <w:t xml:space="preserve">Binary scales are particularly useful when researchers need to quickly categorize participants based on a specific attribute or when they are interested in the presence or absence of a particular characteristic. However, because binary scales provide limited information about the intensity or </w:t>
      </w:r>
      <w:r>
        <w:lastRenderedPageBreak/>
        <w:t xml:space="preserve">degree of the measured attribute, researchers may opt for other types of scales, such as Likert or semantic differential </w:t>
      </w:r>
      <w:r w:rsidR="00375E41">
        <w:t>scales when</w:t>
      </w:r>
      <w:r>
        <w:t xml:space="preserve"> more detailed data are required.</w:t>
      </w:r>
    </w:p>
    <w:p w14:paraId="6613A800" w14:textId="1ECD776D" w:rsidR="00B82CE6" w:rsidRDefault="00B82CE6" w:rsidP="00B82CE6">
      <w:pPr>
        <w:pStyle w:val="Heading4"/>
      </w:pPr>
      <w:r>
        <w:t>Likert</w:t>
      </w:r>
    </w:p>
    <w:p w14:paraId="3648947E" w14:textId="313A60CB" w:rsidR="00A928DD" w:rsidRDefault="00A928DD" w:rsidP="00507C31">
      <w:r>
        <w:t xml:space="preserve">Likert scales, developed by psychologist Rensis Likert, are one of the </w:t>
      </w:r>
      <w:r w:rsidR="00207C25">
        <w:t>most used</w:t>
      </w:r>
      <w:r>
        <w:t xml:space="preserve"> rating scales for measuring ordinal data in business research. A Likert scale consists of a series of statements, known as Likert items, which express a particular sentiment or opinion related to the construct being measured. Respondents are asked to indicate their level of agreement or disagreement with each statement using a five or seven-point scale.</w:t>
      </w:r>
    </w:p>
    <w:p w14:paraId="4BA4DC18" w14:textId="77777777" w:rsidR="00A928DD" w:rsidRDefault="00A928DD" w:rsidP="00A928DD">
      <w:r>
        <w:t>The scale points, sometimes referred to as "anchors," typically range from "strongly disagree" to "strongly agree," with a neutral midpoint. For example, a five-point Likert scale may include the following anchors:</w:t>
      </w:r>
    </w:p>
    <w:p w14:paraId="21AD710F" w14:textId="77777777" w:rsidR="00A928DD" w:rsidRDefault="00A928DD" w:rsidP="00207C25">
      <w:pPr>
        <w:pStyle w:val="ListParagraph"/>
        <w:numPr>
          <w:ilvl w:val="0"/>
          <w:numId w:val="236"/>
        </w:numPr>
      </w:pPr>
      <w:r>
        <w:t>Strongly disagree</w:t>
      </w:r>
    </w:p>
    <w:p w14:paraId="15D722C5" w14:textId="77777777" w:rsidR="00A928DD" w:rsidRDefault="00A928DD" w:rsidP="00207C25">
      <w:pPr>
        <w:pStyle w:val="ListParagraph"/>
        <w:numPr>
          <w:ilvl w:val="0"/>
          <w:numId w:val="236"/>
        </w:numPr>
      </w:pPr>
      <w:r>
        <w:t>Disagree</w:t>
      </w:r>
    </w:p>
    <w:p w14:paraId="795D9CA1" w14:textId="77777777" w:rsidR="00A928DD" w:rsidRDefault="00A928DD" w:rsidP="00207C25">
      <w:pPr>
        <w:pStyle w:val="ListParagraph"/>
        <w:numPr>
          <w:ilvl w:val="0"/>
          <w:numId w:val="236"/>
        </w:numPr>
      </w:pPr>
      <w:r>
        <w:t>Neither agree nor disagree</w:t>
      </w:r>
    </w:p>
    <w:p w14:paraId="174ECE1E" w14:textId="77777777" w:rsidR="00A928DD" w:rsidRDefault="00A928DD" w:rsidP="00207C25">
      <w:pPr>
        <w:pStyle w:val="ListParagraph"/>
        <w:numPr>
          <w:ilvl w:val="0"/>
          <w:numId w:val="236"/>
        </w:numPr>
      </w:pPr>
      <w:r>
        <w:t>Agree</w:t>
      </w:r>
    </w:p>
    <w:p w14:paraId="454611AA" w14:textId="77777777" w:rsidR="00A928DD" w:rsidRDefault="00A928DD" w:rsidP="00207C25">
      <w:pPr>
        <w:pStyle w:val="ListParagraph"/>
        <w:numPr>
          <w:ilvl w:val="0"/>
          <w:numId w:val="236"/>
        </w:numPr>
      </w:pPr>
      <w:r>
        <w:t>Strongly agree</w:t>
      </w:r>
    </w:p>
    <w:p w14:paraId="5327D2B4" w14:textId="560CD84F" w:rsidR="00A626FE" w:rsidRDefault="00A15E85" w:rsidP="00A928DD">
      <w:r>
        <w:t>The following table</w:t>
      </w:r>
      <w:r w:rsidR="00A928DD">
        <w:t xml:space="preserve"> presents an example of a six-item Likert scale designed to measure an employee's self-esteem within the workplace.</w:t>
      </w:r>
    </w:p>
    <w:tbl>
      <w:tblPr>
        <w:tblStyle w:val="TableGrid0"/>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1104"/>
        <w:gridCol w:w="1104"/>
        <w:gridCol w:w="972"/>
        <w:gridCol w:w="791"/>
        <w:gridCol w:w="1269"/>
      </w:tblGrid>
      <w:tr w:rsidR="004A1007" w:rsidRPr="00F54710" w14:paraId="47FBC53D" w14:textId="77777777" w:rsidTr="00DB7B0B">
        <w:tc>
          <w:tcPr>
            <w:tcW w:w="3685" w:type="dxa"/>
            <w:tcBorders>
              <w:bottom w:val="single" w:sz="4" w:space="0" w:color="auto"/>
            </w:tcBorders>
          </w:tcPr>
          <w:p w14:paraId="35B36C61" w14:textId="2BB89CD6" w:rsidR="00492CCC" w:rsidRPr="00F54710" w:rsidRDefault="00492CCC" w:rsidP="004A1007">
            <w:pPr>
              <w:rPr>
                <w:b/>
                <w:bCs/>
              </w:rPr>
            </w:pPr>
            <w:r w:rsidRPr="00F54710">
              <w:rPr>
                <w:b/>
                <w:bCs/>
              </w:rPr>
              <w:t>Statement</w:t>
            </w:r>
          </w:p>
        </w:tc>
        <w:tc>
          <w:tcPr>
            <w:tcW w:w="1009" w:type="dxa"/>
            <w:tcBorders>
              <w:bottom w:val="single" w:sz="4" w:space="0" w:color="auto"/>
            </w:tcBorders>
          </w:tcPr>
          <w:p w14:paraId="3F5191D1" w14:textId="7C12898C" w:rsidR="00492CCC" w:rsidRPr="00F54710" w:rsidRDefault="00492CCC" w:rsidP="00F54710">
            <w:pPr>
              <w:jc w:val="center"/>
              <w:rPr>
                <w:b/>
                <w:bCs/>
              </w:rPr>
            </w:pPr>
            <w:r w:rsidRPr="00F54710">
              <w:rPr>
                <w:b/>
                <w:bCs/>
              </w:rPr>
              <w:t xml:space="preserve">Strongly </w:t>
            </w:r>
            <w:r w:rsidR="004A1007" w:rsidRPr="00F54710">
              <w:rPr>
                <w:b/>
                <w:bCs/>
              </w:rPr>
              <w:t>Disa</w:t>
            </w:r>
            <w:r w:rsidRPr="00F54710">
              <w:rPr>
                <w:b/>
                <w:bCs/>
              </w:rPr>
              <w:t>gree</w:t>
            </w:r>
          </w:p>
        </w:tc>
        <w:tc>
          <w:tcPr>
            <w:tcW w:w="993" w:type="dxa"/>
            <w:tcBorders>
              <w:bottom w:val="single" w:sz="4" w:space="0" w:color="auto"/>
            </w:tcBorders>
          </w:tcPr>
          <w:p w14:paraId="3753D877" w14:textId="2A62C729" w:rsidR="00492CCC" w:rsidRPr="00F54710" w:rsidRDefault="004A1007" w:rsidP="00F54710">
            <w:pPr>
              <w:jc w:val="center"/>
              <w:rPr>
                <w:b/>
                <w:bCs/>
              </w:rPr>
            </w:pPr>
            <w:r w:rsidRPr="00F54710">
              <w:rPr>
                <w:b/>
                <w:bCs/>
              </w:rPr>
              <w:t>Disa</w:t>
            </w:r>
            <w:r w:rsidR="00492CCC" w:rsidRPr="00F54710">
              <w:rPr>
                <w:b/>
                <w:bCs/>
              </w:rPr>
              <w:t>gree</w:t>
            </w:r>
          </w:p>
        </w:tc>
        <w:tc>
          <w:tcPr>
            <w:tcW w:w="896" w:type="dxa"/>
            <w:tcBorders>
              <w:bottom w:val="single" w:sz="4" w:space="0" w:color="auto"/>
            </w:tcBorders>
          </w:tcPr>
          <w:p w14:paraId="26A42965" w14:textId="7A0A267E" w:rsidR="00492CCC" w:rsidRPr="00F54710" w:rsidRDefault="00492CCC" w:rsidP="00F54710">
            <w:pPr>
              <w:jc w:val="center"/>
              <w:rPr>
                <w:b/>
                <w:bCs/>
              </w:rPr>
            </w:pPr>
            <w:r w:rsidRPr="00F54710">
              <w:rPr>
                <w:b/>
                <w:bCs/>
              </w:rPr>
              <w:t>Neutral</w:t>
            </w:r>
          </w:p>
        </w:tc>
        <w:tc>
          <w:tcPr>
            <w:tcW w:w="743" w:type="dxa"/>
            <w:tcBorders>
              <w:bottom w:val="single" w:sz="4" w:space="0" w:color="auto"/>
            </w:tcBorders>
          </w:tcPr>
          <w:p w14:paraId="02D4CB35" w14:textId="734B76D9" w:rsidR="00492CCC" w:rsidRPr="00F54710" w:rsidRDefault="004A1007" w:rsidP="00F54710">
            <w:pPr>
              <w:jc w:val="center"/>
              <w:rPr>
                <w:b/>
                <w:bCs/>
              </w:rPr>
            </w:pPr>
            <w:r w:rsidRPr="00F54710">
              <w:rPr>
                <w:b/>
                <w:bCs/>
              </w:rPr>
              <w:t>A</w:t>
            </w:r>
            <w:r w:rsidR="00492CCC" w:rsidRPr="00F54710">
              <w:rPr>
                <w:b/>
                <w:bCs/>
              </w:rPr>
              <w:t>gree</w:t>
            </w:r>
          </w:p>
        </w:tc>
        <w:tc>
          <w:tcPr>
            <w:tcW w:w="1304" w:type="dxa"/>
            <w:tcBorders>
              <w:bottom w:val="single" w:sz="4" w:space="0" w:color="auto"/>
            </w:tcBorders>
          </w:tcPr>
          <w:p w14:paraId="3884569E" w14:textId="444E6C52" w:rsidR="00492CCC" w:rsidRPr="00F54710" w:rsidRDefault="00492CCC" w:rsidP="00F54710">
            <w:pPr>
              <w:jc w:val="center"/>
              <w:rPr>
                <w:b/>
                <w:bCs/>
              </w:rPr>
            </w:pPr>
            <w:r w:rsidRPr="00F54710">
              <w:rPr>
                <w:b/>
                <w:bCs/>
              </w:rPr>
              <w:t xml:space="preserve">Strongly </w:t>
            </w:r>
            <w:r w:rsidR="004A1007" w:rsidRPr="00F54710">
              <w:rPr>
                <w:b/>
                <w:bCs/>
              </w:rPr>
              <w:t>A</w:t>
            </w:r>
            <w:r w:rsidRPr="00F54710">
              <w:rPr>
                <w:b/>
                <w:bCs/>
              </w:rPr>
              <w:t>gree</w:t>
            </w:r>
          </w:p>
        </w:tc>
      </w:tr>
      <w:tr w:rsidR="004A1007" w14:paraId="38199F25" w14:textId="77777777" w:rsidTr="00DB7B0B">
        <w:tc>
          <w:tcPr>
            <w:tcW w:w="3685" w:type="dxa"/>
            <w:tcBorders>
              <w:top w:val="single" w:sz="4" w:space="0" w:color="auto"/>
            </w:tcBorders>
          </w:tcPr>
          <w:p w14:paraId="69D1FE91" w14:textId="39294485" w:rsidR="004A1007" w:rsidRDefault="007737A5" w:rsidP="004A1007">
            <w:r w:rsidRPr="007737A5">
              <w:t>I feel that I am a valuable employee at my company.</w:t>
            </w:r>
          </w:p>
        </w:tc>
        <w:tc>
          <w:tcPr>
            <w:tcW w:w="1009" w:type="dxa"/>
            <w:tcBorders>
              <w:top w:val="single" w:sz="4" w:space="0" w:color="auto"/>
            </w:tcBorders>
            <w:vAlign w:val="center"/>
          </w:tcPr>
          <w:p w14:paraId="381FEDD9" w14:textId="16E50E20" w:rsidR="004A1007" w:rsidRDefault="00A83B9C" w:rsidP="00AD3934">
            <w:pPr>
              <w:jc w:val="center"/>
            </w:pPr>
            <w:r>
              <w:sym w:font="Wingdings" w:char="F0A1"/>
            </w:r>
          </w:p>
        </w:tc>
        <w:tc>
          <w:tcPr>
            <w:tcW w:w="993" w:type="dxa"/>
            <w:tcBorders>
              <w:top w:val="single" w:sz="4" w:space="0" w:color="auto"/>
            </w:tcBorders>
            <w:vAlign w:val="center"/>
          </w:tcPr>
          <w:p w14:paraId="3BF46A42" w14:textId="5A8CF135" w:rsidR="004A1007" w:rsidRDefault="009D7F9A" w:rsidP="00AD3934">
            <w:pPr>
              <w:jc w:val="center"/>
            </w:pPr>
            <w:r>
              <w:sym w:font="Wingdings" w:char="F0A1"/>
            </w:r>
          </w:p>
        </w:tc>
        <w:tc>
          <w:tcPr>
            <w:tcW w:w="896" w:type="dxa"/>
            <w:tcBorders>
              <w:top w:val="single" w:sz="4" w:space="0" w:color="auto"/>
            </w:tcBorders>
            <w:vAlign w:val="center"/>
          </w:tcPr>
          <w:p w14:paraId="2A9D4A4F" w14:textId="6CA11339" w:rsidR="004A1007" w:rsidRDefault="009D7F9A" w:rsidP="00AD3934">
            <w:pPr>
              <w:jc w:val="center"/>
            </w:pPr>
            <w:r>
              <w:sym w:font="Wingdings" w:char="F0A1"/>
            </w:r>
          </w:p>
        </w:tc>
        <w:tc>
          <w:tcPr>
            <w:tcW w:w="743" w:type="dxa"/>
            <w:tcBorders>
              <w:top w:val="single" w:sz="4" w:space="0" w:color="auto"/>
            </w:tcBorders>
            <w:vAlign w:val="center"/>
          </w:tcPr>
          <w:p w14:paraId="6F38747D" w14:textId="46B8111E" w:rsidR="004A1007" w:rsidRDefault="009D7F9A" w:rsidP="00AD3934">
            <w:pPr>
              <w:jc w:val="center"/>
            </w:pPr>
            <w:r>
              <w:sym w:font="Wingdings" w:char="F0A1"/>
            </w:r>
          </w:p>
        </w:tc>
        <w:tc>
          <w:tcPr>
            <w:tcW w:w="1304" w:type="dxa"/>
            <w:tcBorders>
              <w:top w:val="single" w:sz="4" w:space="0" w:color="auto"/>
            </w:tcBorders>
            <w:vAlign w:val="center"/>
          </w:tcPr>
          <w:p w14:paraId="63D9DDAA" w14:textId="50A6F578" w:rsidR="004A1007" w:rsidRDefault="009D7F9A" w:rsidP="00AD3934">
            <w:pPr>
              <w:jc w:val="center"/>
            </w:pPr>
            <w:r>
              <w:sym w:font="Wingdings" w:char="F0A1"/>
            </w:r>
          </w:p>
        </w:tc>
      </w:tr>
      <w:tr w:rsidR="00F54710" w14:paraId="31EE63ED" w14:textId="77777777" w:rsidTr="00F279AB">
        <w:tc>
          <w:tcPr>
            <w:tcW w:w="3685" w:type="dxa"/>
            <w:shd w:val="clear" w:color="auto" w:fill="EBE8EC" w:themeFill="accent6" w:themeFillTint="33"/>
          </w:tcPr>
          <w:p w14:paraId="0ED1D13C" w14:textId="774C1B35" w:rsidR="00F54710" w:rsidRDefault="00B51B60" w:rsidP="004A1007">
            <w:r w:rsidRPr="00B51B60">
              <w:t>My co-workers respect me and value my contributions.</w:t>
            </w:r>
          </w:p>
        </w:tc>
        <w:tc>
          <w:tcPr>
            <w:tcW w:w="1009" w:type="dxa"/>
            <w:shd w:val="clear" w:color="auto" w:fill="EBE8EC" w:themeFill="accent6" w:themeFillTint="33"/>
            <w:vAlign w:val="center"/>
          </w:tcPr>
          <w:p w14:paraId="22549AFA" w14:textId="7BBB0FB2" w:rsidR="00F54710" w:rsidRDefault="009D7F9A" w:rsidP="00AD3934">
            <w:pPr>
              <w:jc w:val="center"/>
            </w:pPr>
            <w:r>
              <w:sym w:font="Wingdings" w:char="F0A1"/>
            </w:r>
          </w:p>
        </w:tc>
        <w:tc>
          <w:tcPr>
            <w:tcW w:w="993" w:type="dxa"/>
            <w:shd w:val="clear" w:color="auto" w:fill="EBE8EC" w:themeFill="accent6" w:themeFillTint="33"/>
            <w:vAlign w:val="center"/>
          </w:tcPr>
          <w:p w14:paraId="22CA3ACB" w14:textId="6FBF127E" w:rsidR="00F54710" w:rsidRDefault="009D7F9A" w:rsidP="00AD3934">
            <w:pPr>
              <w:jc w:val="center"/>
            </w:pPr>
            <w:r>
              <w:sym w:font="Wingdings" w:char="F0A1"/>
            </w:r>
          </w:p>
        </w:tc>
        <w:tc>
          <w:tcPr>
            <w:tcW w:w="896" w:type="dxa"/>
            <w:shd w:val="clear" w:color="auto" w:fill="EBE8EC" w:themeFill="accent6" w:themeFillTint="33"/>
            <w:vAlign w:val="center"/>
          </w:tcPr>
          <w:p w14:paraId="433E4CA5" w14:textId="0CD02EEB" w:rsidR="00F54710" w:rsidRDefault="009D7F9A" w:rsidP="00AD3934">
            <w:pPr>
              <w:jc w:val="center"/>
            </w:pPr>
            <w:r>
              <w:sym w:font="Wingdings" w:char="F0A1"/>
            </w:r>
          </w:p>
        </w:tc>
        <w:tc>
          <w:tcPr>
            <w:tcW w:w="743" w:type="dxa"/>
            <w:shd w:val="clear" w:color="auto" w:fill="EBE8EC" w:themeFill="accent6" w:themeFillTint="33"/>
            <w:vAlign w:val="center"/>
          </w:tcPr>
          <w:p w14:paraId="480F3A0C" w14:textId="2690222A" w:rsidR="00F54710" w:rsidRDefault="009D7F9A" w:rsidP="00AD3934">
            <w:pPr>
              <w:jc w:val="center"/>
            </w:pPr>
            <w:r>
              <w:sym w:font="Wingdings" w:char="F0A1"/>
            </w:r>
          </w:p>
        </w:tc>
        <w:tc>
          <w:tcPr>
            <w:tcW w:w="1304" w:type="dxa"/>
            <w:shd w:val="clear" w:color="auto" w:fill="EBE8EC" w:themeFill="accent6" w:themeFillTint="33"/>
            <w:vAlign w:val="center"/>
          </w:tcPr>
          <w:p w14:paraId="0B32AB9D" w14:textId="09DD835E" w:rsidR="00F54710" w:rsidRDefault="009D7F9A" w:rsidP="00AD3934">
            <w:pPr>
              <w:jc w:val="center"/>
            </w:pPr>
            <w:r>
              <w:sym w:font="Wingdings" w:char="F0A1"/>
            </w:r>
          </w:p>
        </w:tc>
      </w:tr>
      <w:tr w:rsidR="00F54710" w14:paraId="512F9A09" w14:textId="77777777" w:rsidTr="00DB7B0B">
        <w:tc>
          <w:tcPr>
            <w:tcW w:w="3685" w:type="dxa"/>
          </w:tcPr>
          <w:p w14:paraId="2511BB82" w14:textId="08350C86" w:rsidR="00F54710" w:rsidRDefault="00B51B60" w:rsidP="004A1007">
            <w:r w:rsidRPr="00B51B60">
              <w:t>I am confident in my abilities to perform my job well.</w:t>
            </w:r>
          </w:p>
        </w:tc>
        <w:tc>
          <w:tcPr>
            <w:tcW w:w="1009" w:type="dxa"/>
            <w:vAlign w:val="center"/>
          </w:tcPr>
          <w:p w14:paraId="34533EBF" w14:textId="09B0FF1E" w:rsidR="00F54710" w:rsidRDefault="009D7F9A" w:rsidP="00AD3934">
            <w:pPr>
              <w:jc w:val="center"/>
            </w:pPr>
            <w:r>
              <w:sym w:font="Wingdings" w:char="F0A1"/>
            </w:r>
          </w:p>
        </w:tc>
        <w:tc>
          <w:tcPr>
            <w:tcW w:w="993" w:type="dxa"/>
            <w:vAlign w:val="center"/>
          </w:tcPr>
          <w:p w14:paraId="789AFB07" w14:textId="78B5659A" w:rsidR="00F54710" w:rsidRDefault="009D7F9A" w:rsidP="00AD3934">
            <w:pPr>
              <w:jc w:val="center"/>
            </w:pPr>
            <w:r>
              <w:sym w:font="Wingdings" w:char="F0A1"/>
            </w:r>
          </w:p>
        </w:tc>
        <w:tc>
          <w:tcPr>
            <w:tcW w:w="896" w:type="dxa"/>
            <w:vAlign w:val="center"/>
          </w:tcPr>
          <w:p w14:paraId="6C9D2CFB" w14:textId="0DB6084E" w:rsidR="00F54710" w:rsidRDefault="009D7F9A" w:rsidP="00AD3934">
            <w:pPr>
              <w:jc w:val="center"/>
            </w:pPr>
            <w:r>
              <w:sym w:font="Wingdings" w:char="F0A1"/>
            </w:r>
          </w:p>
        </w:tc>
        <w:tc>
          <w:tcPr>
            <w:tcW w:w="743" w:type="dxa"/>
            <w:vAlign w:val="center"/>
          </w:tcPr>
          <w:p w14:paraId="64D399AF" w14:textId="22BD2272" w:rsidR="00F54710" w:rsidRDefault="009D7F9A" w:rsidP="00AD3934">
            <w:pPr>
              <w:jc w:val="center"/>
            </w:pPr>
            <w:r>
              <w:sym w:font="Wingdings" w:char="F0A1"/>
            </w:r>
          </w:p>
        </w:tc>
        <w:tc>
          <w:tcPr>
            <w:tcW w:w="1304" w:type="dxa"/>
            <w:vAlign w:val="center"/>
          </w:tcPr>
          <w:p w14:paraId="24BBBC32" w14:textId="7B5C1FEE" w:rsidR="00F54710" w:rsidRDefault="009D7F9A" w:rsidP="00AD3934">
            <w:pPr>
              <w:jc w:val="center"/>
            </w:pPr>
            <w:r>
              <w:sym w:font="Wingdings" w:char="F0A1"/>
            </w:r>
          </w:p>
        </w:tc>
      </w:tr>
      <w:tr w:rsidR="00F54710" w14:paraId="69309E4E" w14:textId="77777777" w:rsidTr="00F279AB">
        <w:tc>
          <w:tcPr>
            <w:tcW w:w="3685" w:type="dxa"/>
            <w:shd w:val="clear" w:color="auto" w:fill="EBE8EC" w:themeFill="accent6" w:themeFillTint="33"/>
          </w:tcPr>
          <w:p w14:paraId="5E809DE4" w14:textId="56FE9AA4" w:rsidR="00F54710" w:rsidRDefault="00B51B60" w:rsidP="004A1007">
            <w:r w:rsidRPr="00B51B60">
              <w:t>I feel that my opinions matter and are taken into consideration.</w:t>
            </w:r>
          </w:p>
        </w:tc>
        <w:tc>
          <w:tcPr>
            <w:tcW w:w="1009" w:type="dxa"/>
            <w:shd w:val="clear" w:color="auto" w:fill="EBE8EC" w:themeFill="accent6" w:themeFillTint="33"/>
            <w:vAlign w:val="center"/>
          </w:tcPr>
          <w:p w14:paraId="07361996" w14:textId="7AC8FCE0" w:rsidR="00F54710" w:rsidRDefault="009D7F9A" w:rsidP="00AD3934">
            <w:pPr>
              <w:jc w:val="center"/>
            </w:pPr>
            <w:r>
              <w:sym w:font="Wingdings" w:char="F0A1"/>
            </w:r>
          </w:p>
        </w:tc>
        <w:tc>
          <w:tcPr>
            <w:tcW w:w="993" w:type="dxa"/>
            <w:shd w:val="clear" w:color="auto" w:fill="EBE8EC" w:themeFill="accent6" w:themeFillTint="33"/>
            <w:vAlign w:val="center"/>
          </w:tcPr>
          <w:p w14:paraId="4180363B" w14:textId="58C50081" w:rsidR="00F54710" w:rsidRDefault="009D7F9A" w:rsidP="00AD3934">
            <w:pPr>
              <w:jc w:val="center"/>
            </w:pPr>
            <w:r>
              <w:sym w:font="Wingdings" w:char="F0A1"/>
            </w:r>
          </w:p>
        </w:tc>
        <w:tc>
          <w:tcPr>
            <w:tcW w:w="896" w:type="dxa"/>
            <w:shd w:val="clear" w:color="auto" w:fill="EBE8EC" w:themeFill="accent6" w:themeFillTint="33"/>
            <w:vAlign w:val="center"/>
          </w:tcPr>
          <w:p w14:paraId="6EAD4BC0" w14:textId="5203A729" w:rsidR="00F54710" w:rsidRDefault="009D7F9A" w:rsidP="00AD3934">
            <w:pPr>
              <w:jc w:val="center"/>
            </w:pPr>
            <w:r>
              <w:sym w:font="Wingdings" w:char="F0A1"/>
            </w:r>
          </w:p>
        </w:tc>
        <w:tc>
          <w:tcPr>
            <w:tcW w:w="743" w:type="dxa"/>
            <w:shd w:val="clear" w:color="auto" w:fill="EBE8EC" w:themeFill="accent6" w:themeFillTint="33"/>
            <w:vAlign w:val="center"/>
          </w:tcPr>
          <w:p w14:paraId="093FE82F" w14:textId="54588C46" w:rsidR="00F54710" w:rsidRDefault="009D7F9A" w:rsidP="00AD3934">
            <w:pPr>
              <w:jc w:val="center"/>
            </w:pPr>
            <w:r>
              <w:sym w:font="Wingdings" w:char="F0A1"/>
            </w:r>
          </w:p>
        </w:tc>
        <w:tc>
          <w:tcPr>
            <w:tcW w:w="1304" w:type="dxa"/>
            <w:shd w:val="clear" w:color="auto" w:fill="EBE8EC" w:themeFill="accent6" w:themeFillTint="33"/>
            <w:vAlign w:val="center"/>
          </w:tcPr>
          <w:p w14:paraId="73BB080C" w14:textId="6DD94EE0" w:rsidR="00F54710" w:rsidRDefault="009D7F9A" w:rsidP="00AD3934">
            <w:pPr>
              <w:jc w:val="center"/>
            </w:pPr>
            <w:r>
              <w:sym w:font="Wingdings" w:char="F0A1"/>
            </w:r>
          </w:p>
        </w:tc>
      </w:tr>
      <w:tr w:rsidR="00F54710" w14:paraId="45FC725E" w14:textId="77777777" w:rsidTr="00DB7B0B">
        <w:tc>
          <w:tcPr>
            <w:tcW w:w="3685" w:type="dxa"/>
            <w:tcBorders>
              <w:bottom w:val="single" w:sz="4" w:space="0" w:color="auto"/>
            </w:tcBorders>
          </w:tcPr>
          <w:p w14:paraId="1D5E8C26" w14:textId="0863A2D6" w:rsidR="00F54710" w:rsidRDefault="008E63E1" w:rsidP="004A1007">
            <w:r w:rsidRPr="008E63E1">
              <w:t>I am proud of the work I do and the company I work for.</w:t>
            </w:r>
          </w:p>
        </w:tc>
        <w:tc>
          <w:tcPr>
            <w:tcW w:w="1009" w:type="dxa"/>
            <w:tcBorders>
              <w:bottom w:val="single" w:sz="4" w:space="0" w:color="auto"/>
            </w:tcBorders>
            <w:vAlign w:val="center"/>
          </w:tcPr>
          <w:p w14:paraId="4F33488C" w14:textId="6C1D9DC4" w:rsidR="00F54710" w:rsidRDefault="009D7F9A" w:rsidP="00AD3934">
            <w:pPr>
              <w:jc w:val="center"/>
            </w:pPr>
            <w:r>
              <w:sym w:font="Wingdings" w:char="F0A1"/>
            </w:r>
          </w:p>
        </w:tc>
        <w:tc>
          <w:tcPr>
            <w:tcW w:w="993" w:type="dxa"/>
            <w:tcBorders>
              <w:bottom w:val="single" w:sz="4" w:space="0" w:color="auto"/>
            </w:tcBorders>
            <w:vAlign w:val="center"/>
          </w:tcPr>
          <w:p w14:paraId="7D730C48" w14:textId="1C0E5AB4" w:rsidR="00F54710" w:rsidRDefault="009D7F9A" w:rsidP="00AD3934">
            <w:pPr>
              <w:jc w:val="center"/>
            </w:pPr>
            <w:r>
              <w:sym w:font="Wingdings" w:char="F0A1"/>
            </w:r>
          </w:p>
        </w:tc>
        <w:tc>
          <w:tcPr>
            <w:tcW w:w="896" w:type="dxa"/>
            <w:tcBorders>
              <w:bottom w:val="single" w:sz="4" w:space="0" w:color="auto"/>
            </w:tcBorders>
            <w:vAlign w:val="center"/>
          </w:tcPr>
          <w:p w14:paraId="41AB15CD" w14:textId="687D98E2" w:rsidR="00F54710" w:rsidRDefault="009D7F9A" w:rsidP="00AD3934">
            <w:pPr>
              <w:jc w:val="center"/>
            </w:pPr>
            <w:r>
              <w:sym w:font="Wingdings" w:char="F0A1"/>
            </w:r>
          </w:p>
        </w:tc>
        <w:tc>
          <w:tcPr>
            <w:tcW w:w="743" w:type="dxa"/>
            <w:tcBorders>
              <w:bottom w:val="single" w:sz="4" w:space="0" w:color="auto"/>
            </w:tcBorders>
            <w:vAlign w:val="center"/>
          </w:tcPr>
          <w:p w14:paraId="5B7025D3" w14:textId="5C7E9638" w:rsidR="00F54710" w:rsidRDefault="009D7F9A" w:rsidP="00AD3934">
            <w:pPr>
              <w:jc w:val="center"/>
            </w:pPr>
            <w:r>
              <w:sym w:font="Wingdings" w:char="F0A1"/>
            </w:r>
          </w:p>
        </w:tc>
        <w:tc>
          <w:tcPr>
            <w:tcW w:w="1304" w:type="dxa"/>
            <w:tcBorders>
              <w:bottom w:val="single" w:sz="4" w:space="0" w:color="auto"/>
            </w:tcBorders>
            <w:vAlign w:val="center"/>
          </w:tcPr>
          <w:p w14:paraId="7867ED03" w14:textId="5A7A23CC" w:rsidR="00F54710" w:rsidRDefault="009D7F9A" w:rsidP="00A5409F">
            <w:pPr>
              <w:keepNext/>
              <w:jc w:val="center"/>
            </w:pPr>
            <w:r>
              <w:sym w:font="Wingdings" w:char="F0A1"/>
            </w:r>
          </w:p>
        </w:tc>
      </w:tr>
    </w:tbl>
    <w:p w14:paraId="579ABAA8" w14:textId="2C521DBE" w:rsidR="00323B84" w:rsidRPr="00323B84" w:rsidRDefault="00A5409F" w:rsidP="00A5409F">
      <w:pPr>
        <w:pStyle w:val="Caption"/>
        <w:jc w:val="center"/>
      </w:pPr>
      <w:bookmarkStart w:id="75" w:name="_Ref66950002"/>
      <w:r>
        <w:t xml:space="preserve">Table </w:t>
      </w:r>
      <w:r w:rsidR="006D77BF">
        <w:fldChar w:fldCharType="begin"/>
      </w:r>
      <w:r w:rsidR="006D77BF">
        <w:instrText xml:space="preserve"> SEQ Table \* ARABIC </w:instrText>
      </w:r>
      <w:r w:rsidR="006D77BF">
        <w:fldChar w:fldCharType="separate"/>
      </w:r>
      <w:r w:rsidR="00980002">
        <w:rPr>
          <w:noProof/>
        </w:rPr>
        <w:t>3</w:t>
      </w:r>
      <w:r w:rsidR="006D77BF">
        <w:rPr>
          <w:noProof/>
        </w:rPr>
        <w:fldChar w:fldCharType="end"/>
      </w:r>
      <w:r>
        <w:t>: Likert Scale for Employee Self-Esteem</w:t>
      </w:r>
      <w:bookmarkEnd w:id="75"/>
    </w:p>
    <w:p w14:paraId="0CBE7429" w14:textId="77777777" w:rsidR="008E63E1" w:rsidRDefault="008E63E1" w:rsidP="008E63E1">
      <w:r>
        <w:t>Respondents would be asked to rate their level of agreement with each of these statements using the five-point scale described above. To calculate an overall score for the "employment self-esteem" construct, researchers would sum the values corresponding to the selected anchor for each item. For instance, if a respondent selected "strongly agree" (value 5) for three items, "agree" (value 4) for two items, and "neither agree nor disagree" (value 3) for one item, their total score would be (5 × 3) + (4 × 2) + (3 × 1) = 26 out of a possible maximum of 30.</w:t>
      </w:r>
    </w:p>
    <w:p w14:paraId="642E1155" w14:textId="77777777" w:rsidR="008E63E1" w:rsidRDefault="008E63E1" w:rsidP="008E63E1">
      <w:r>
        <w:lastRenderedPageBreak/>
        <w:t>Likert scales are popular in business research because they allow researchers to gather nuanced data about attitudes, perceptions, and opinions. By providing a range of response options, Likert scales encourage respondents to think more deeply about their feelings and experiences related to the topic at hand. Additionally, the summative nature of Likert scales enables researchers to create composite scores that provide an overall measure of the construct being studied.</w:t>
      </w:r>
    </w:p>
    <w:p w14:paraId="5327D2C1" w14:textId="1AAF58A1" w:rsidR="00A626FE" w:rsidRDefault="008E63E1" w:rsidP="008E63E1">
      <w:r>
        <w:t>When designing a Likert scale, it is essential to ensure that the statements are clear, concise, and relevant to the research question. Researchers should also consider the number of scale points to use, as this can affect the reliability and validity of the data collected. While five and seven-point scales are most common, some researchers may opt for a different number of scale points depending on their specific research needs.</w:t>
      </w:r>
    </w:p>
    <w:p w14:paraId="5626FE47" w14:textId="37F3B582" w:rsidR="00507C31" w:rsidRPr="000E309B" w:rsidRDefault="00507C31" w:rsidP="00507C31">
      <w:pPr>
        <w:pStyle w:val="Heading4"/>
      </w:pPr>
      <w:r>
        <w:t>Semantic Differential</w:t>
      </w:r>
    </w:p>
    <w:p w14:paraId="0AF75977" w14:textId="095D904D" w:rsidR="00A64B37" w:rsidRDefault="00A64B37" w:rsidP="00507C31">
      <w:r>
        <w:t>The semantic differential scale is a multi-item rating scale designed to measure respondents' opinions, attitudes, or feelings towards a particular concept or object. In this approach, respondents are presented with a single statement and asked to indicate their reaction to that statement using a set of adjective pairs that serve as anchors on opposite ends of a continuum.</w:t>
      </w:r>
    </w:p>
    <w:p w14:paraId="5327D2C2" w14:textId="4687F1C0" w:rsidR="00A626FE" w:rsidRDefault="00446282" w:rsidP="00A64B37">
      <w:r>
        <w:t>The following table</w:t>
      </w:r>
      <w:r w:rsidR="00A64B37">
        <w:t xml:space="preserve"> demonstrates an example of a three-item semantic differential scale measuring respondents' attitudes toward health insurance.</w:t>
      </w:r>
    </w:p>
    <w:tbl>
      <w:tblPr>
        <w:tblStyle w:val="TableGrid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3"/>
        <w:gridCol w:w="1218"/>
        <w:gridCol w:w="838"/>
        <w:gridCol w:w="999"/>
        <w:gridCol w:w="838"/>
        <w:gridCol w:w="1219"/>
        <w:gridCol w:w="1460"/>
        <w:gridCol w:w="17"/>
      </w:tblGrid>
      <w:tr w:rsidR="00F41627" w14:paraId="74D519BA" w14:textId="77777777" w:rsidTr="00CA7933">
        <w:trPr>
          <w:jc w:val="center"/>
        </w:trPr>
        <w:tc>
          <w:tcPr>
            <w:tcW w:w="7812" w:type="dxa"/>
            <w:gridSpan w:val="8"/>
            <w:tcBorders>
              <w:top w:val="single" w:sz="4" w:space="0" w:color="auto"/>
              <w:bottom w:val="single" w:sz="4" w:space="0" w:color="auto"/>
            </w:tcBorders>
          </w:tcPr>
          <w:p w14:paraId="00B9D961" w14:textId="644DF628" w:rsidR="00F41627" w:rsidRDefault="0097486D" w:rsidP="00031453">
            <w:r>
              <w:t>Health insurance is…</w:t>
            </w:r>
          </w:p>
        </w:tc>
      </w:tr>
      <w:tr w:rsidR="00F41627" w14:paraId="210030C7" w14:textId="77777777" w:rsidTr="00CA7933">
        <w:trPr>
          <w:gridAfter w:val="1"/>
          <w:wAfter w:w="17" w:type="dxa"/>
          <w:jc w:val="center"/>
        </w:trPr>
        <w:tc>
          <w:tcPr>
            <w:tcW w:w="1223" w:type="dxa"/>
            <w:tcBorders>
              <w:top w:val="single" w:sz="4" w:space="0" w:color="auto"/>
            </w:tcBorders>
          </w:tcPr>
          <w:p w14:paraId="303B0021" w14:textId="0D0AC74E" w:rsidR="00004B9D" w:rsidRDefault="0097486D" w:rsidP="00031453">
            <w:r>
              <w:t>Necessary</w:t>
            </w:r>
          </w:p>
        </w:tc>
        <w:tc>
          <w:tcPr>
            <w:tcW w:w="1218" w:type="dxa"/>
            <w:tcBorders>
              <w:top w:val="single" w:sz="4" w:space="0" w:color="auto"/>
            </w:tcBorders>
          </w:tcPr>
          <w:p w14:paraId="6280AD2E" w14:textId="5AFAA5BA" w:rsidR="00004B9D" w:rsidRDefault="00F41627" w:rsidP="00031453">
            <w:pPr>
              <w:jc w:val="center"/>
            </w:pPr>
            <w:r>
              <w:sym w:font="Wingdings" w:char="F0A1"/>
            </w:r>
          </w:p>
        </w:tc>
        <w:tc>
          <w:tcPr>
            <w:tcW w:w="838" w:type="dxa"/>
            <w:tcBorders>
              <w:top w:val="single" w:sz="4" w:space="0" w:color="auto"/>
            </w:tcBorders>
          </w:tcPr>
          <w:p w14:paraId="7D80AA94" w14:textId="489A76C4" w:rsidR="00004B9D" w:rsidRDefault="00F41627" w:rsidP="00031453">
            <w:pPr>
              <w:jc w:val="center"/>
            </w:pPr>
            <w:r>
              <w:sym w:font="Wingdings" w:char="F0A1"/>
            </w:r>
          </w:p>
        </w:tc>
        <w:tc>
          <w:tcPr>
            <w:tcW w:w="999" w:type="dxa"/>
            <w:tcBorders>
              <w:top w:val="single" w:sz="4" w:space="0" w:color="auto"/>
            </w:tcBorders>
          </w:tcPr>
          <w:p w14:paraId="4C1CED0C" w14:textId="2A8F68BC" w:rsidR="00004B9D" w:rsidRDefault="00F41627" w:rsidP="00031453">
            <w:pPr>
              <w:jc w:val="center"/>
            </w:pPr>
            <w:r>
              <w:sym w:font="Wingdings" w:char="F0A1"/>
            </w:r>
          </w:p>
        </w:tc>
        <w:tc>
          <w:tcPr>
            <w:tcW w:w="838" w:type="dxa"/>
            <w:tcBorders>
              <w:top w:val="single" w:sz="4" w:space="0" w:color="auto"/>
            </w:tcBorders>
          </w:tcPr>
          <w:p w14:paraId="0CBEB3D0" w14:textId="038A9264" w:rsidR="00004B9D" w:rsidRDefault="00F41627" w:rsidP="00031453">
            <w:pPr>
              <w:jc w:val="center"/>
            </w:pPr>
            <w:r>
              <w:sym w:font="Wingdings" w:char="F0A1"/>
            </w:r>
          </w:p>
        </w:tc>
        <w:tc>
          <w:tcPr>
            <w:tcW w:w="1219" w:type="dxa"/>
            <w:tcBorders>
              <w:top w:val="single" w:sz="4" w:space="0" w:color="auto"/>
            </w:tcBorders>
          </w:tcPr>
          <w:p w14:paraId="0B04ECDC" w14:textId="6F8831F4" w:rsidR="00004B9D" w:rsidRDefault="00F41627" w:rsidP="00031453">
            <w:pPr>
              <w:jc w:val="center"/>
            </w:pPr>
            <w:r>
              <w:sym w:font="Wingdings" w:char="F0A1"/>
            </w:r>
          </w:p>
        </w:tc>
        <w:tc>
          <w:tcPr>
            <w:tcW w:w="1460" w:type="dxa"/>
            <w:tcBorders>
              <w:top w:val="single" w:sz="4" w:space="0" w:color="auto"/>
            </w:tcBorders>
          </w:tcPr>
          <w:p w14:paraId="56FF7389" w14:textId="5A8E5D5E" w:rsidR="00004B9D" w:rsidRDefault="0097486D" w:rsidP="00031453">
            <w:r>
              <w:t>Unnecessary</w:t>
            </w:r>
          </w:p>
        </w:tc>
      </w:tr>
      <w:tr w:rsidR="00A7120B" w14:paraId="5E76767F" w14:textId="77777777" w:rsidTr="00CA7933">
        <w:trPr>
          <w:gridAfter w:val="1"/>
          <w:wAfter w:w="17" w:type="dxa"/>
          <w:jc w:val="center"/>
        </w:trPr>
        <w:tc>
          <w:tcPr>
            <w:tcW w:w="1223" w:type="dxa"/>
            <w:shd w:val="clear" w:color="auto" w:fill="EBE8EC" w:themeFill="accent6" w:themeFillTint="33"/>
          </w:tcPr>
          <w:p w14:paraId="3F25BFF1" w14:textId="4BF72A6F" w:rsidR="00004B9D" w:rsidRDefault="0097486D" w:rsidP="00031453">
            <w:r>
              <w:t>Beneficial</w:t>
            </w:r>
          </w:p>
        </w:tc>
        <w:tc>
          <w:tcPr>
            <w:tcW w:w="1218" w:type="dxa"/>
            <w:shd w:val="clear" w:color="auto" w:fill="EBE8EC" w:themeFill="accent6" w:themeFillTint="33"/>
          </w:tcPr>
          <w:p w14:paraId="26416734" w14:textId="7207DAC1" w:rsidR="00004B9D" w:rsidRDefault="00F41627" w:rsidP="00031453">
            <w:pPr>
              <w:jc w:val="center"/>
            </w:pPr>
            <w:r>
              <w:sym w:font="Wingdings" w:char="F0A1"/>
            </w:r>
          </w:p>
        </w:tc>
        <w:tc>
          <w:tcPr>
            <w:tcW w:w="838" w:type="dxa"/>
            <w:shd w:val="clear" w:color="auto" w:fill="EBE8EC" w:themeFill="accent6" w:themeFillTint="33"/>
          </w:tcPr>
          <w:p w14:paraId="362109E3" w14:textId="7960700F" w:rsidR="00004B9D" w:rsidRDefault="00F41627" w:rsidP="00031453">
            <w:pPr>
              <w:jc w:val="center"/>
            </w:pPr>
            <w:r>
              <w:sym w:font="Wingdings" w:char="F0A1"/>
            </w:r>
          </w:p>
        </w:tc>
        <w:tc>
          <w:tcPr>
            <w:tcW w:w="999" w:type="dxa"/>
            <w:shd w:val="clear" w:color="auto" w:fill="EBE8EC" w:themeFill="accent6" w:themeFillTint="33"/>
          </w:tcPr>
          <w:p w14:paraId="2C8514B2" w14:textId="4549106D" w:rsidR="00004B9D" w:rsidRDefault="00F41627" w:rsidP="00031453">
            <w:pPr>
              <w:jc w:val="center"/>
            </w:pPr>
            <w:r>
              <w:sym w:font="Wingdings" w:char="F0A1"/>
            </w:r>
          </w:p>
        </w:tc>
        <w:tc>
          <w:tcPr>
            <w:tcW w:w="838" w:type="dxa"/>
            <w:shd w:val="clear" w:color="auto" w:fill="EBE8EC" w:themeFill="accent6" w:themeFillTint="33"/>
          </w:tcPr>
          <w:p w14:paraId="0877B23B" w14:textId="3BCE9F98" w:rsidR="00004B9D" w:rsidRDefault="00F41627" w:rsidP="00031453">
            <w:pPr>
              <w:jc w:val="center"/>
            </w:pPr>
            <w:r>
              <w:sym w:font="Wingdings" w:char="F0A1"/>
            </w:r>
          </w:p>
        </w:tc>
        <w:tc>
          <w:tcPr>
            <w:tcW w:w="1219" w:type="dxa"/>
            <w:shd w:val="clear" w:color="auto" w:fill="EBE8EC" w:themeFill="accent6" w:themeFillTint="33"/>
          </w:tcPr>
          <w:p w14:paraId="72FD326F" w14:textId="16463582" w:rsidR="00004B9D" w:rsidRDefault="00F41627" w:rsidP="00031453">
            <w:pPr>
              <w:jc w:val="center"/>
            </w:pPr>
            <w:r>
              <w:sym w:font="Wingdings" w:char="F0A1"/>
            </w:r>
          </w:p>
        </w:tc>
        <w:tc>
          <w:tcPr>
            <w:tcW w:w="1460" w:type="dxa"/>
            <w:shd w:val="clear" w:color="auto" w:fill="EBE8EC" w:themeFill="accent6" w:themeFillTint="33"/>
          </w:tcPr>
          <w:p w14:paraId="7684C495" w14:textId="307A14AC" w:rsidR="00004B9D" w:rsidRDefault="0097486D" w:rsidP="00031453">
            <w:r>
              <w:t>Harmful</w:t>
            </w:r>
          </w:p>
        </w:tc>
      </w:tr>
      <w:tr w:rsidR="00004B9D" w14:paraId="7AB4A569" w14:textId="77777777" w:rsidTr="00CA7933">
        <w:trPr>
          <w:gridAfter w:val="1"/>
          <w:wAfter w:w="17" w:type="dxa"/>
          <w:jc w:val="center"/>
        </w:trPr>
        <w:tc>
          <w:tcPr>
            <w:tcW w:w="1223" w:type="dxa"/>
            <w:tcBorders>
              <w:bottom w:val="single" w:sz="4" w:space="0" w:color="auto"/>
            </w:tcBorders>
          </w:tcPr>
          <w:p w14:paraId="424C1D8C" w14:textId="4D2BC572" w:rsidR="00004B9D" w:rsidRDefault="0097486D" w:rsidP="00031453">
            <w:r>
              <w:t>Affordable</w:t>
            </w:r>
          </w:p>
        </w:tc>
        <w:tc>
          <w:tcPr>
            <w:tcW w:w="1218" w:type="dxa"/>
            <w:tcBorders>
              <w:bottom w:val="single" w:sz="4" w:space="0" w:color="auto"/>
            </w:tcBorders>
          </w:tcPr>
          <w:p w14:paraId="7D166B2F" w14:textId="2857FEBB" w:rsidR="00004B9D" w:rsidRDefault="00F41627" w:rsidP="00031453">
            <w:pPr>
              <w:jc w:val="center"/>
            </w:pPr>
            <w:r>
              <w:sym w:font="Wingdings" w:char="F0A1"/>
            </w:r>
          </w:p>
        </w:tc>
        <w:tc>
          <w:tcPr>
            <w:tcW w:w="838" w:type="dxa"/>
            <w:tcBorders>
              <w:bottom w:val="single" w:sz="4" w:space="0" w:color="auto"/>
            </w:tcBorders>
          </w:tcPr>
          <w:p w14:paraId="601AD66B" w14:textId="4E5A2DDC" w:rsidR="00004B9D" w:rsidRDefault="00F41627" w:rsidP="00031453">
            <w:pPr>
              <w:jc w:val="center"/>
            </w:pPr>
            <w:r>
              <w:sym w:font="Wingdings" w:char="F0A1"/>
            </w:r>
          </w:p>
        </w:tc>
        <w:tc>
          <w:tcPr>
            <w:tcW w:w="999" w:type="dxa"/>
            <w:tcBorders>
              <w:bottom w:val="single" w:sz="4" w:space="0" w:color="auto"/>
            </w:tcBorders>
          </w:tcPr>
          <w:p w14:paraId="00A0B9E4" w14:textId="07CA7EA9" w:rsidR="00004B9D" w:rsidRDefault="00F41627" w:rsidP="00031453">
            <w:pPr>
              <w:jc w:val="center"/>
            </w:pPr>
            <w:r>
              <w:sym w:font="Wingdings" w:char="F0A1"/>
            </w:r>
          </w:p>
        </w:tc>
        <w:tc>
          <w:tcPr>
            <w:tcW w:w="838" w:type="dxa"/>
            <w:tcBorders>
              <w:bottom w:val="single" w:sz="4" w:space="0" w:color="auto"/>
            </w:tcBorders>
          </w:tcPr>
          <w:p w14:paraId="31080C56" w14:textId="77FD65AF" w:rsidR="00004B9D" w:rsidRDefault="00F41627" w:rsidP="00031453">
            <w:pPr>
              <w:jc w:val="center"/>
            </w:pPr>
            <w:r>
              <w:sym w:font="Wingdings" w:char="F0A1"/>
            </w:r>
          </w:p>
        </w:tc>
        <w:tc>
          <w:tcPr>
            <w:tcW w:w="1219" w:type="dxa"/>
            <w:tcBorders>
              <w:bottom w:val="single" w:sz="4" w:space="0" w:color="auto"/>
            </w:tcBorders>
          </w:tcPr>
          <w:p w14:paraId="1CCE150A" w14:textId="25776E6A" w:rsidR="00004B9D" w:rsidRDefault="00F41627" w:rsidP="00031453">
            <w:pPr>
              <w:jc w:val="center"/>
            </w:pPr>
            <w:r>
              <w:sym w:font="Wingdings" w:char="F0A1"/>
            </w:r>
          </w:p>
        </w:tc>
        <w:tc>
          <w:tcPr>
            <w:tcW w:w="1460" w:type="dxa"/>
            <w:tcBorders>
              <w:bottom w:val="single" w:sz="4" w:space="0" w:color="auto"/>
            </w:tcBorders>
          </w:tcPr>
          <w:p w14:paraId="2909DECA" w14:textId="472E10A7" w:rsidR="00004B9D" w:rsidRDefault="0097486D" w:rsidP="00F1576D">
            <w:pPr>
              <w:keepNext/>
            </w:pPr>
            <w:r>
              <w:t>Expensive</w:t>
            </w:r>
          </w:p>
        </w:tc>
      </w:tr>
    </w:tbl>
    <w:p w14:paraId="66F51D82" w14:textId="6AF61B73" w:rsidR="00004B9D" w:rsidRPr="00004B9D" w:rsidRDefault="00F1576D" w:rsidP="00F1576D">
      <w:pPr>
        <w:pStyle w:val="Caption"/>
        <w:jc w:val="center"/>
      </w:pPr>
      <w:bookmarkStart w:id="76" w:name="_Ref66949981"/>
      <w:r>
        <w:t xml:space="preserve">Table </w:t>
      </w:r>
      <w:r w:rsidR="006D77BF">
        <w:fldChar w:fldCharType="begin"/>
      </w:r>
      <w:r w:rsidR="006D77BF">
        <w:instrText xml:space="preserve"> SEQ Table \* ARABIC </w:instrText>
      </w:r>
      <w:r w:rsidR="006D77BF">
        <w:fldChar w:fldCharType="separate"/>
      </w:r>
      <w:r w:rsidR="00980002">
        <w:rPr>
          <w:noProof/>
        </w:rPr>
        <w:t>4</w:t>
      </w:r>
      <w:r w:rsidR="006D77BF">
        <w:rPr>
          <w:noProof/>
        </w:rPr>
        <w:fldChar w:fldCharType="end"/>
      </w:r>
      <w:r>
        <w:t>: Semantic Differential Scale</w:t>
      </w:r>
      <w:bookmarkEnd w:id="76"/>
    </w:p>
    <w:p w14:paraId="7257E761" w14:textId="34AE99E8" w:rsidR="00724F0A" w:rsidRDefault="00724F0A" w:rsidP="00724F0A">
      <w:r>
        <w:t>In this example, respondents would be asked to place a mark on each line, closer to the adjective that best represents their opinion or feeling about health insurance. The position of the mark on the line indicates the intensity of their attitude. Researchers often assign numerical values to each position on the scale (e.g., 1 to 5) to facilitate data analysis.</w:t>
      </w:r>
    </w:p>
    <w:p w14:paraId="0F5D2C4D" w14:textId="77777777" w:rsidR="00724F0A" w:rsidRDefault="00724F0A" w:rsidP="00724F0A">
      <w:r>
        <w:t>As with Likert scales, the overall score for a semantic differential scale can be calculated by summing the values associated with each item. This summative score provides a measure of the respondent's overall attitude or feeling towards the concept being studied.</w:t>
      </w:r>
    </w:p>
    <w:p w14:paraId="3BEB07F0" w14:textId="77777777" w:rsidR="00724F0A" w:rsidRDefault="00724F0A" w:rsidP="00724F0A">
      <w:r>
        <w:t>One key difference between Likert scales and semantic differential scales is the structure of the items. In Likert scales, the statement changes for each item while the anchors (e.g., "strongly disagree" to "strongly agree") remain the same. Conversely, in semantic differential scales, the statement remains constant across all items, while the anchors (i.e., the adjective pairs) change.</w:t>
      </w:r>
    </w:p>
    <w:p w14:paraId="03526C6B" w14:textId="77777777" w:rsidR="00724F0A" w:rsidRDefault="00724F0A" w:rsidP="00724F0A">
      <w:r>
        <w:t xml:space="preserve">Semantic differential scales are particularly useful when researchers want to capture the nuances of respondents' attitudes or feelings towards a specific object, event, or behavior. By providing a </w:t>
      </w:r>
      <w:r>
        <w:lastRenderedPageBreak/>
        <w:t>range of adjective pairs, these scales allow respondents to express the intensity and direction of their opinions in a more precise manner than simple agree/disagree or yes/no questions.</w:t>
      </w:r>
    </w:p>
    <w:p w14:paraId="40D42C4B" w14:textId="77777777" w:rsidR="00724F0A" w:rsidRDefault="00724F0A" w:rsidP="00724F0A">
      <w:r>
        <w:t>When constructing a semantic differential scale, researchers should carefully select adjective pairs that are relevant to the concept being measured and ensure that the pairs are true opposites. Additionally, the number of items in the scale should be sufficient to capture the various dimensions of the concept without overwhelming respondents.</w:t>
      </w:r>
    </w:p>
    <w:p w14:paraId="696B5BEF" w14:textId="641BF65C" w:rsidR="0097486D" w:rsidRDefault="00724F0A" w:rsidP="00724F0A">
      <w:r>
        <w:t>Semantic differential scales have been widely used in various fields, including marketing, psychology, and social sciences, to study attitudes, perceptions, and emotions. By providing a flexible and intuitive way to measure complex constructs, semantic differential scales have proven to be a valuable tool in the researcher's toolkit.</w:t>
      </w:r>
    </w:p>
    <w:p w14:paraId="19F5FAC3" w14:textId="7E3AE2FD" w:rsidR="00507C31" w:rsidRDefault="00507C31" w:rsidP="00507C31">
      <w:pPr>
        <w:pStyle w:val="Heading4"/>
      </w:pPr>
      <w:r>
        <w:t>Guttman</w:t>
      </w:r>
    </w:p>
    <w:p w14:paraId="1F7B9886" w14:textId="130BC2CE" w:rsidR="00C306F6" w:rsidRDefault="00C306F6" w:rsidP="00507C31">
      <w:r>
        <w:t>The Guttman scale, also known as a cumulative scale, is a type of composite scale developed by psychologist Louis Guttman. This scale is designed to measure a unidimensional construct by presenting a series of items arranged in order of increasing intensity, from the least intense to the most intense.</w:t>
      </w:r>
    </w:p>
    <w:p w14:paraId="32EDD034" w14:textId="77777777" w:rsidR="00C306F6" w:rsidRDefault="00C306F6" w:rsidP="00C306F6">
      <w:r>
        <w:t>A key feature of the Guttman scale is that it assumes a specific pattern of responses. If a respondent agrees with a particular item on the scale, they are expected to agree with all less intense items as well. Conversely, if a respondent disagrees with an item, they are expected to disagree with all more intense items.</w:t>
      </w:r>
    </w:p>
    <w:p w14:paraId="5327D2E0" w14:textId="449C8310" w:rsidR="00A626FE" w:rsidRDefault="00446282" w:rsidP="00C306F6">
      <w:r>
        <w:t>The following table</w:t>
      </w:r>
      <w:r w:rsidR="00C306F6">
        <w:t xml:space="preserve"> presents an example of a five-item Guttman scale measuring attitudes toward immigrants.</w:t>
      </w:r>
      <w:r w:rsidR="00333E6E" w:rsidRPr="00C306F6">
        <w:t xml:space="preserve"> </w:t>
      </w:r>
    </w:p>
    <w:tbl>
      <w:tblPr>
        <w:tblStyle w:val="ListTable1Light"/>
        <w:tblW w:w="0" w:type="auto"/>
        <w:jc w:val="center"/>
        <w:tblLook w:val="04A0" w:firstRow="1" w:lastRow="0" w:firstColumn="1" w:lastColumn="0" w:noHBand="0" w:noVBand="1"/>
      </w:tblPr>
      <w:tblGrid>
        <w:gridCol w:w="6234"/>
        <w:gridCol w:w="629"/>
        <w:gridCol w:w="584"/>
        <w:gridCol w:w="8"/>
      </w:tblGrid>
      <w:tr w:rsidR="009F04AB" w14:paraId="3BA5B782" w14:textId="77777777" w:rsidTr="002D68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55" w:type="dxa"/>
            <w:gridSpan w:val="4"/>
            <w:tcBorders>
              <w:top w:val="single" w:sz="4" w:space="0" w:color="auto"/>
            </w:tcBorders>
          </w:tcPr>
          <w:p w14:paraId="6E2279C0" w14:textId="6A18D208" w:rsidR="009F04AB" w:rsidRPr="001C09CD" w:rsidRDefault="00FA73C9" w:rsidP="00F01914">
            <w:pPr>
              <w:rPr>
                <w:b w:val="0"/>
                <w:bCs w:val="0"/>
              </w:rPr>
            </w:pPr>
            <w:r w:rsidRPr="001C09CD">
              <w:rPr>
                <w:b w:val="0"/>
                <w:bCs w:val="0"/>
              </w:rPr>
              <w:t>I believe that immigrants…</w:t>
            </w:r>
          </w:p>
        </w:tc>
      </w:tr>
      <w:tr w:rsidR="004856F9" w14:paraId="37CBE8BA" w14:textId="77777777" w:rsidTr="002D68A5">
        <w:trPr>
          <w:gridAfter w:val="1"/>
          <w:cnfStyle w:val="000000100000" w:firstRow="0" w:lastRow="0" w:firstColumn="0" w:lastColumn="0" w:oddVBand="0" w:evenVBand="0" w:oddHBand="1" w:evenHBand="0" w:firstRowFirstColumn="0" w:firstRowLastColumn="0" w:lastRowFirstColumn="0" w:lastRowLastColumn="0"/>
          <w:wAfter w:w="8" w:type="dxa"/>
          <w:jc w:val="center"/>
        </w:trPr>
        <w:tc>
          <w:tcPr>
            <w:cnfStyle w:val="001000000000" w:firstRow="0" w:lastRow="0" w:firstColumn="1" w:lastColumn="0" w:oddVBand="0" w:evenVBand="0" w:oddHBand="0" w:evenHBand="0" w:firstRowFirstColumn="0" w:firstRowLastColumn="0" w:lastRowFirstColumn="0" w:lastRowLastColumn="0"/>
            <w:tcW w:w="6234" w:type="dxa"/>
          </w:tcPr>
          <w:p w14:paraId="509EAFC4" w14:textId="48B4052F" w:rsidR="004856F9" w:rsidRPr="001C09CD" w:rsidRDefault="00576C96" w:rsidP="00F01914">
            <w:pPr>
              <w:rPr>
                <w:b w:val="0"/>
                <w:bCs w:val="0"/>
              </w:rPr>
            </w:pPr>
            <w:r w:rsidRPr="001C09CD">
              <w:rPr>
                <w:b w:val="0"/>
                <w:bCs w:val="0"/>
              </w:rPr>
              <w:t>Should be allowed to visit the country as tourists.</w:t>
            </w:r>
          </w:p>
        </w:tc>
        <w:tc>
          <w:tcPr>
            <w:tcW w:w="629" w:type="dxa"/>
          </w:tcPr>
          <w:p w14:paraId="72C9CD50" w14:textId="739409EF" w:rsidR="004856F9" w:rsidRDefault="004B20A9" w:rsidP="00F01914">
            <w:pPr>
              <w:cnfStyle w:val="000000100000" w:firstRow="0" w:lastRow="0" w:firstColumn="0" w:lastColumn="0" w:oddVBand="0" w:evenVBand="0" w:oddHBand="1" w:evenHBand="0" w:firstRowFirstColumn="0" w:firstRowLastColumn="0" w:lastRowFirstColumn="0" w:lastRowLastColumn="0"/>
            </w:pPr>
            <w:r>
              <w:t>Yes</w:t>
            </w:r>
          </w:p>
        </w:tc>
        <w:tc>
          <w:tcPr>
            <w:tcW w:w="584" w:type="dxa"/>
          </w:tcPr>
          <w:p w14:paraId="42D67178" w14:textId="789F1FAB" w:rsidR="004856F9" w:rsidRDefault="004B20A9" w:rsidP="00F01914">
            <w:pPr>
              <w:cnfStyle w:val="000000100000" w:firstRow="0" w:lastRow="0" w:firstColumn="0" w:lastColumn="0" w:oddVBand="0" w:evenVBand="0" w:oddHBand="1" w:evenHBand="0" w:firstRowFirstColumn="0" w:firstRowLastColumn="0" w:lastRowFirstColumn="0" w:lastRowLastColumn="0"/>
            </w:pPr>
            <w:r>
              <w:t>No</w:t>
            </w:r>
          </w:p>
        </w:tc>
      </w:tr>
      <w:tr w:rsidR="004B20A9" w14:paraId="1E77541D" w14:textId="77777777" w:rsidTr="002D68A5">
        <w:trPr>
          <w:gridAfter w:val="1"/>
          <w:wAfter w:w="8" w:type="dxa"/>
          <w:jc w:val="center"/>
        </w:trPr>
        <w:tc>
          <w:tcPr>
            <w:cnfStyle w:val="001000000000" w:firstRow="0" w:lastRow="0" w:firstColumn="1" w:lastColumn="0" w:oddVBand="0" w:evenVBand="0" w:oddHBand="0" w:evenHBand="0" w:firstRowFirstColumn="0" w:firstRowLastColumn="0" w:lastRowFirstColumn="0" w:lastRowLastColumn="0"/>
            <w:tcW w:w="6234" w:type="dxa"/>
          </w:tcPr>
          <w:p w14:paraId="2F56A68D" w14:textId="3081BE1A" w:rsidR="004B20A9" w:rsidRPr="001C09CD" w:rsidRDefault="00576C96" w:rsidP="00F01914">
            <w:pPr>
              <w:rPr>
                <w:b w:val="0"/>
                <w:bCs w:val="0"/>
              </w:rPr>
            </w:pPr>
            <w:r w:rsidRPr="001C09CD">
              <w:rPr>
                <w:b w:val="0"/>
                <w:bCs w:val="0"/>
              </w:rPr>
              <w:t>Should be allowed to work in the country temporarily.</w:t>
            </w:r>
          </w:p>
        </w:tc>
        <w:tc>
          <w:tcPr>
            <w:tcW w:w="629" w:type="dxa"/>
          </w:tcPr>
          <w:p w14:paraId="2A4031FC" w14:textId="2831B8DA" w:rsidR="004B20A9" w:rsidRDefault="004B20A9" w:rsidP="00F01914">
            <w:pPr>
              <w:cnfStyle w:val="000000000000" w:firstRow="0" w:lastRow="0" w:firstColumn="0" w:lastColumn="0" w:oddVBand="0" w:evenVBand="0" w:oddHBand="0" w:evenHBand="0" w:firstRowFirstColumn="0" w:firstRowLastColumn="0" w:lastRowFirstColumn="0" w:lastRowLastColumn="0"/>
            </w:pPr>
            <w:r>
              <w:t>Yes</w:t>
            </w:r>
          </w:p>
        </w:tc>
        <w:tc>
          <w:tcPr>
            <w:tcW w:w="584" w:type="dxa"/>
          </w:tcPr>
          <w:p w14:paraId="7BCA6450" w14:textId="47F1F70C" w:rsidR="004B20A9" w:rsidRDefault="004B20A9" w:rsidP="00F01914">
            <w:pPr>
              <w:cnfStyle w:val="000000000000" w:firstRow="0" w:lastRow="0" w:firstColumn="0" w:lastColumn="0" w:oddVBand="0" w:evenVBand="0" w:oddHBand="0" w:evenHBand="0" w:firstRowFirstColumn="0" w:firstRowLastColumn="0" w:lastRowFirstColumn="0" w:lastRowLastColumn="0"/>
            </w:pPr>
            <w:r>
              <w:t>No</w:t>
            </w:r>
          </w:p>
        </w:tc>
      </w:tr>
      <w:tr w:rsidR="004B20A9" w14:paraId="484E505F" w14:textId="77777777" w:rsidTr="002D68A5">
        <w:trPr>
          <w:gridAfter w:val="1"/>
          <w:cnfStyle w:val="000000100000" w:firstRow="0" w:lastRow="0" w:firstColumn="0" w:lastColumn="0" w:oddVBand="0" w:evenVBand="0" w:oddHBand="1" w:evenHBand="0" w:firstRowFirstColumn="0" w:firstRowLastColumn="0" w:lastRowFirstColumn="0" w:lastRowLastColumn="0"/>
          <w:wAfter w:w="8" w:type="dxa"/>
          <w:jc w:val="center"/>
        </w:trPr>
        <w:tc>
          <w:tcPr>
            <w:cnfStyle w:val="001000000000" w:firstRow="0" w:lastRow="0" w:firstColumn="1" w:lastColumn="0" w:oddVBand="0" w:evenVBand="0" w:oddHBand="0" w:evenHBand="0" w:firstRowFirstColumn="0" w:firstRowLastColumn="0" w:lastRowFirstColumn="0" w:lastRowLastColumn="0"/>
            <w:tcW w:w="6234" w:type="dxa"/>
          </w:tcPr>
          <w:p w14:paraId="4A156C96" w14:textId="46BB05FF" w:rsidR="004B20A9" w:rsidRPr="001C09CD" w:rsidRDefault="00BC175F" w:rsidP="00F01914">
            <w:pPr>
              <w:rPr>
                <w:b w:val="0"/>
                <w:bCs w:val="0"/>
              </w:rPr>
            </w:pPr>
            <w:r w:rsidRPr="001C09CD">
              <w:rPr>
                <w:b w:val="0"/>
                <w:bCs w:val="0"/>
              </w:rPr>
              <w:t>Should be allowed to become permanent residents.</w:t>
            </w:r>
          </w:p>
        </w:tc>
        <w:tc>
          <w:tcPr>
            <w:tcW w:w="629" w:type="dxa"/>
          </w:tcPr>
          <w:p w14:paraId="32F3816C" w14:textId="251D3898" w:rsidR="004B20A9" w:rsidRDefault="00F01914" w:rsidP="00F01914">
            <w:pPr>
              <w:cnfStyle w:val="000000100000" w:firstRow="0" w:lastRow="0" w:firstColumn="0" w:lastColumn="0" w:oddVBand="0" w:evenVBand="0" w:oddHBand="1" w:evenHBand="0" w:firstRowFirstColumn="0" w:firstRowLastColumn="0" w:lastRowFirstColumn="0" w:lastRowLastColumn="0"/>
            </w:pPr>
            <w:r>
              <w:t>Yes</w:t>
            </w:r>
          </w:p>
        </w:tc>
        <w:tc>
          <w:tcPr>
            <w:tcW w:w="584" w:type="dxa"/>
          </w:tcPr>
          <w:p w14:paraId="42B8D849" w14:textId="3A475EA3" w:rsidR="004B20A9" w:rsidRDefault="00F01914" w:rsidP="00F01914">
            <w:pPr>
              <w:cnfStyle w:val="000000100000" w:firstRow="0" w:lastRow="0" w:firstColumn="0" w:lastColumn="0" w:oddVBand="0" w:evenVBand="0" w:oddHBand="1" w:evenHBand="0" w:firstRowFirstColumn="0" w:firstRowLastColumn="0" w:lastRowFirstColumn="0" w:lastRowLastColumn="0"/>
            </w:pPr>
            <w:r>
              <w:t>No</w:t>
            </w:r>
          </w:p>
        </w:tc>
      </w:tr>
      <w:tr w:rsidR="0069337C" w14:paraId="23C4AE05" w14:textId="77777777" w:rsidTr="002D68A5">
        <w:trPr>
          <w:gridAfter w:val="1"/>
          <w:wAfter w:w="8" w:type="dxa"/>
          <w:jc w:val="center"/>
        </w:trPr>
        <w:tc>
          <w:tcPr>
            <w:cnfStyle w:val="001000000000" w:firstRow="0" w:lastRow="0" w:firstColumn="1" w:lastColumn="0" w:oddVBand="0" w:evenVBand="0" w:oddHBand="0" w:evenHBand="0" w:firstRowFirstColumn="0" w:firstRowLastColumn="0" w:lastRowFirstColumn="0" w:lastRowLastColumn="0"/>
            <w:tcW w:w="6234" w:type="dxa"/>
          </w:tcPr>
          <w:p w14:paraId="33EC1733" w14:textId="0B80F16E" w:rsidR="0069337C" w:rsidRPr="001C09CD" w:rsidRDefault="006F5427" w:rsidP="00F01914">
            <w:pPr>
              <w:rPr>
                <w:b w:val="0"/>
                <w:bCs w:val="0"/>
              </w:rPr>
            </w:pPr>
            <w:r w:rsidRPr="001C09CD">
              <w:rPr>
                <w:b w:val="0"/>
                <w:bCs w:val="0"/>
              </w:rPr>
              <w:t>Should be allowed to become citizens.</w:t>
            </w:r>
          </w:p>
        </w:tc>
        <w:tc>
          <w:tcPr>
            <w:tcW w:w="629" w:type="dxa"/>
          </w:tcPr>
          <w:p w14:paraId="0342CB6F" w14:textId="6AB0B3E4" w:rsidR="0069337C" w:rsidRDefault="00A42972" w:rsidP="00F01914">
            <w:pPr>
              <w:cnfStyle w:val="000000000000" w:firstRow="0" w:lastRow="0" w:firstColumn="0" w:lastColumn="0" w:oddVBand="0" w:evenVBand="0" w:oddHBand="0" w:evenHBand="0" w:firstRowFirstColumn="0" w:firstRowLastColumn="0" w:lastRowFirstColumn="0" w:lastRowLastColumn="0"/>
            </w:pPr>
            <w:r>
              <w:t>Yes</w:t>
            </w:r>
          </w:p>
        </w:tc>
        <w:tc>
          <w:tcPr>
            <w:tcW w:w="584" w:type="dxa"/>
          </w:tcPr>
          <w:p w14:paraId="348314E0" w14:textId="3E8AD034" w:rsidR="0069337C" w:rsidRDefault="00A42972" w:rsidP="00F01914">
            <w:pPr>
              <w:cnfStyle w:val="000000000000" w:firstRow="0" w:lastRow="0" w:firstColumn="0" w:lastColumn="0" w:oddVBand="0" w:evenVBand="0" w:oddHBand="0" w:evenHBand="0" w:firstRowFirstColumn="0" w:firstRowLastColumn="0" w:lastRowFirstColumn="0" w:lastRowLastColumn="0"/>
            </w:pPr>
            <w:r>
              <w:t>No</w:t>
            </w:r>
          </w:p>
        </w:tc>
      </w:tr>
      <w:tr w:rsidR="00F01914" w14:paraId="39EABC6C" w14:textId="77777777" w:rsidTr="002D68A5">
        <w:trPr>
          <w:gridAfter w:val="1"/>
          <w:cnfStyle w:val="000000100000" w:firstRow="0" w:lastRow="0" w:firstColumn="0" w:lastColumn="0" w:oddVBand="0" w:evenVBand="0" w:oddHBand="1" w:evenHBand="0" w:firstRowFirstColumn="0" w:firstRowLastColumn="0" w:lastRowFirstColumn="0" w:lastRowLastColumn="0"/>
          <w:wAfter w:w="8" w:type="dxa"/>
          <w:jc w:val="center"/>
        </w:trPr>
        <w:tc>
          <w:tcPr>
            <w:cnfStyle w:val="001000000000" w:firstRow="0" w:lastRow="0" w:firstColumn="1" w:lastColumn="0" w:oddVBand="0" w:evenVBand="0" w:oddHBand="0" w:evenHBand="0" w:firstRowFirstColumn="0" w:firstRowLastColumn="0" w:lastRowFirstColumn="0" w:lastRowLastColumn="0"/>
            <w:tcW w:w="6234" w:type="dxa"/>
          </w:tcPr>
          <w:p w14:paraId="2393895D" w14:textId="3FBBE594" w:rsidR="00F01914" w:rsidRPr="001C09CD" w:rsidRDefault="00BC175F" w:rsidP="00F01914">
            <w:pPr>
              <w:rPr>
                <w:b w:val="0"/>
                <w:bCs w:val="0"/>
              </w:rPr>
            </w:pPr>
            <w:r w:rsidRPr="001C09CD">
              <w:rPr>
                <w:b w:val="0"/>
                <w:bCs w:val="0"/>
              </w:rPr>
              <w:t>Should be given preference in job hiring.</w:t>
            </w:r>
          </w:p>
        </w:tc>
        <w:tc>
          <w:tcPr>
            <w:tcW w:w="629" w:type="dxa"/>
          </w:tcPr>
          <w:p w14:paraId="6E097A2B" w14:textId="22BBEB02" w:rsidR="00F01914" w:rsidRDefault="00F01914" w:rsidP="00F01914">
            <w:pPr>
              <w:cnfStyle w:val="000000100000" w:firstRow="0" w:lastRow="0" w:firstColumn="0" w:lastColumn="0" w:oddVBand="0" w:evenVBand="0" w:oddHBand="1" w:evenHBand="0" w:firstRowFirstColumn="0" w:firstRowLastColumn="0" w:lastRowFirstColumn="0" w:lastRowLastColumn="0"/>
            </w:pPr>
            <w:r>
              <w:t>Yes</w:t>
            </w:r>
          </w:p>
        </w:tc>
        <w:tc>
          <w:tcPr>
            <w:tcW w:w="584" w:type="dxa"/>
          </w:tcPr>
          <w:p w14:paraId="7CA0A519" w14:textId="35EEC782" w:rsidR="00F01914" w:rsidRDefault="00F01914" w:rsidP="00F01914">
            <w:pPr>
              <w:cnfStyle w:val="000000100000" w:firstRow="0" w:lastRow="0" w:firstColumn="0" w:lastColumn="0" w:oddVBand="0" w:evenVBand="0" w:oddHBand="1" w:evenHBand="0" w:firstRowFirstColumn="0" w:firstRowLastColumn="0" w:lastRowFirstColumn="0" w:lastRowLastColumn="0"/>
            </w:pPr>
            <w:r>
              <w:t>No</w:t>
            </w:r>
          </w:p>
        </w:tc>
      </w:tr>
    </w:tbl>
    <w:p w14:paraId="45BCBFA0" w14:textId="2DEADAAE" w:rsidR="004856F9" w:rsidRPr="0065028A" w:rsidRDefault="000B79E7" w:rsidP="000B79E7">
      <w:pPr>
        <w:pStyle w:val="Caption"/>
        <w:jc w:val="center"/>
        <w:rPr>
          <w:b w:val="0"/>
          <w:bCs w:val="0"/>
        </w:rPr>
      </w:pPr>
      <w:bookmarkStart w:id="77" w:name="_Ref66950344"/>
      <w:r w:rsidRPr="0065028A">
        <w:rPr>
          <w:b w:val="0"/>
          <w:bCs w:val="0"/>
        </w:rPr>
        <w:t xml:space="preserve">Table </w:t>
      </w:r>
      <w:r w:rsidR="006D77BF" w:rsidRPr="0065028A">
        <w:rPr>
          <w:b w:val="0"/>
          <w:bCs w:val="0"/>
        </w:rPr>
        <w:fldChar w:fldCharType="begin"/>
      </w:r>
      <w:r w:rsidR="006D77BF" w:rsidRPr="0065028A">
        <w:rPr>
          <w:b w:val="0"/>
          <w:bCs w:val="0"/>
        </w:rPr>
        <w:instrText xml:space="preserve"> SEQ Table \* ARABIC </w:instrText>
      </w:r>
      <w:r w:rsidR="006D77BF" w:rsidRPr="0065028A">
        <w:rPr>
          <w:b w:val="0"/>
          <w:bCs w:val="0"/>
        </w:rPr>
        <w:fldChar w:fldCharType="separate"/>
      </w:r>
      <w:r w:rsidR="00980002">
        <w:rPr>
          <w:b w:val="0"/>
          <w:bCs w:val="0"/>
          <w:noProof/>
        </w:rPr>
        <w:t>5</w:t>
      </w:r>
      <w:r w:rsidR="006D77BF" w:rsidRPr="0065028A">
        <w:rPr>
          <w:b w:val="0"/>
          <w:bCs w:val="0"/>
          <w:noProof/>
        </w:rPr>
        <w:fldChar w:fldCharType="end"/>
      </w:r>
      <w:r w:rsidRPr="0065028A">
        <w:rPr>
          <w:b w:val="0"/>
          <w:bCs w:val="0"/>
        </w:rPr>
        <w:t>: Guttman Scale</w:t>
      </w:r>
      <w:bookmarkEnd w:id="77"/>
    </w:p>
    <w:p w14:paraId="051A969E" w14:textId="77777777" w:rsidR="0065028A" w:rsidRDefault="0065028A" w:rsidP="0065028A">
      <w:r>
        <w:t>In this example, each statement is designed to be more intense than the previous one. If a respondent agrees with statement 4 (allowing immigrants to become citizens), they are expected to agree with statements 1, 2, and 3 as well. If a respondent disagrees with statement 2 (allowing immigrants to work temporarily), they are expected to disagree with statements 3, 4, and 5.</w:t>
      </w:r>
    </w:p>
    <w:p w14:paraId="67FE632B" w14:textId="4CF31840" w:rsidR="0065028A" w:rsidRDefault="0065028A" w:rsidP="0065028A">
      <w:r>
        <w:t xml:space="preserve">When constructing a Guttman scale, researchers assign weights to each item based on its intensity. These weights are not typically displayed on the scale itself but are used in the data analysis process. The weighted combination of responses for </w:t>
      </w:r>
      <w:r w:rsidR="00DB7D14">
        <w:t>everyone</w:t>
      </w:r>
      <w:r>
        <w:t xml:space="preserve"> is calculated to provide an aggregate measure of their position on the construct being studied.</w:t>
      </w:r>
    </w:p>
    <w:p w14:paraId="25094D05" w14:textId="77777777" w:rsidR="0065028A" w:rsidRDefault="0065028A" w:rsidP="0065028A">
      <w:r>
        <w:lastRenderedPageBreak/>
        <w:t>One advantage of the Guttman scale is that it allows researchers to identify the specific point at which a respondent's attitude or belief changes from agreement to disagreement. This information can be valuable in understanding the structure and hierarchy of the construct being measured.</w:t>
      </w:r>
    </w:p>
    <w:p w14:paraId="5435FF47" w14:textId="77777777" w:rsidR="0065028A" w:rsidRDefault="0065028A" w:rsidP="0065028A">
      <w:r>
        <w:t>However, developing a perfect Guttman scale can be challenging, as it requires items that clearly differentiate between various levels of intensity and consistently produce the expected pattern of responses. Researchers often use statistical techniques, such as scalogram analysis, to evaluate the effectiveness of a Guttman scale and determine if it meets the necessary criteria.</w:t>
      </w:r>
    </w:p>
    <w:p w14:paraId="0FDDE48D" w14:textId="2DBB2351" w:rsidR="0065028A" w:rsidRDefault="0065028A" w:rsidP="0065028A">
      <w:r>
        <w:t>Guttman scales have been applied in various fields, including psychology, sociology, and political science, to study a wide range of constructs, such as attitudes, beliefs, and behaviors. By providing a structured approach to measuring unidimensional constructs, Guttman scales offer researchers a valuable tool for assessing the intensity and hierarchy of individual responses.</w:t>
      </w:r>
    </w:p>
    <w:p w14:paraId="5327D2FA" w14:textId="0A3434E5" w:rsidR="00A626FE" w:rsidRPr="000E309B" w:rsidRDefault="004F6369" w:rsidP="004F6369">
      <w:pPr>
        <w:pStyle w:val="Heading3"/>
      </w:pPr>
      <w:bookmarkStart w:id="78" w:name="_Toc169156727"/>
      <w:r>
        <w:t>P</w:t>
      </w:r>
      <w:r w:rsidR="00D14B33" w:rsidRPr="000E309B">
        <w:t xml:space="preserve">roperties of </w:t>
      </w:r>
      <w:r>
        <w:t>D</w:t>
      </w:r>
      <w:r w:rsidR="00D14B33" w:rsidRPr="000E309B">
        <w:t>ata</w:t>
      </w:r>
      <w:bookmarkEnd w:id="78"/>
    </w:p>
    <w:p w14:paraId="5327D2FB" w14:textId="34C0F686" w:rsidR="00A626FE" w:rsidRPr="000E309B" w:rsidRDefault="00D14B33" w:rsidP="005426E7">
      <w:pPr>
        <w:pStyle w:val="Heading4"/>
      </w:pPr>
      <w:r w:rsidRPr="000E309B">
        <w:t xml:space="preserve">About </w:t>
      </w:r>
      <w:r w:rsidR="00A01801" w:rsidRPr="000E309B">
        <w:t>the</w:t>
      </w:r>
      <w:r w:rsidRPr="000E309B">
        <w:t xml:space="preserve"> Normal Distribution (Bell Curve)</w:t>
      </w:r>
    </w:p>
    <w:p w14:paraId="290F8484" w14:textId="48349FC4" w:rsidR="00446282" w:rsidRDefault="00446282" w:rsidP="00446282">
      <w:r>
        <w:t xml:space="preserve">The normal distribution, often referred to as the "bell curve" due to its distinctive shape, is a fundamental concept in statistics. When quantitative data collected from a statistical project are plotted on a graph, they frequently form a normal distribution. This distribution is characterized by a symmetrical, bell-shaped curve, with </w:t>
      </w:r>
      <w:r w:rsidR="003B107F">
        <w:t>most</w:t>
      </w:r>
      <w:r>
        <w:t xml:space="preserve"> data points clustered around the mean (average) value.</w:t>
      </w:r>
    </w:p>
    <w:p w14:paraId="5327D2FF" w14:textId="0760EAE3" w:rsidR="00A626FE" w:rsidRPr="000E309B" w:rsidRDefault="00446282" w:rsidP="00446282">
      <w:r>
        <w:t xml:space="preserve">To illustrate the normal distribution, consider the Scholastic Aptitude Test (SAT), a standardized test taken by more than 1.5 million high school students in the United States each year. </w:t>
      </w:r>
      <w:r w:rsidR="003B107F">
        <w:t>The following figure</w:t>
      </w:r>
      <w:r>
        <w:t xml:space="preserve"> presents a hypothetical distribution of SAT scores, demonstrating the expected results of a typical SAT administration.</w:t>
      </w:r>
    </w:p>
    <w:p w14:paraId="22EF0231" w14:textId="77777777" w:rsidR="00604CDB" w:rsidRDefault="00D14B33" w:rsidP="00604CDB">
      <w:pPr>
        <w:keepNext/>
        <w:spacing w:line="360" w:lineRule="auto"/>
        <w:jc w:val="center"/>
      </w:pPr>
      <w:r w:rsidRPr="000E309B">
        <w:rPr>
          <w:noProof/>
        </w:rPr>
        <w:drawing>
          <wp:inline distT="0" distB="0" distL="0" distR="0" wp14:anchorId="5327DDB5" wp14:editId="5327DDB6">
            <wp:extent cx="3981649" cy="2428996"/>
            <wp:effectExtent l="0" t="0" r="0" b="0"/>
            <wp:docPr id="9513" name="Picture 9513"/>
            <wp:cNvGraphicFramePr/>
            <a:graphic xmlns:a="http://schemas.openxmlformats.org/drawingml/2006/main">
              <a:graphicData uri="http://schemas.openxmlformats.org/drawingml/2006/picture">
                <pic:pic xmlns:pic="http://schemas.openxmlformats.org/drawingml/2006/picture">
                  <pic:nvPicPr>
                    <pic:cNvPr id="9513" name="Picture 9513"/>
                    <pic:cNvPicPr/>
                  </pic:nvPicPr>
                  <pic:blipFill>
                    <a:blip r:embed="rId180"/>
                    <a:stretch>
                      <a:fillRect/>
                    </a:stretch>
                  </pic:blipFill>
                  <pic:spPr>
                    <a:xfrm>
                      <a:off x="0" y="0"/>
                      <a:ext cx="3981649" cy="2428996"/>
                    </a:xfrm>
                    <a:prstGeom prst="rect">
                      <a:avLst/>
                    </a:prstGeom>
                  </pic:spPr>
                </pic:pic>
              </a:graphicData>
            </a:graphic>
          </wp:inline>
        </w:drawing>
      </w:r>
    </w:p>
    <w:p w14:paraId="5327D300" w14:textId="6513B5E5" w:rsidR="00A626FE" w:rsidRPr="000E309B" w:rsidRDefault="00604CDB" w:rsidP="00604CDB">
      <w:pPr>
        <w:pStyle w:val="Caption"/>
        <w:jc w:val="center"/>
      </w:pPr>
      <w:bookmarkStart w:id="79" w:name="_Ref69377110"/>
      <w:bookmarkStart w:id="80" w:name="_Ref69376872"/>
      <w:r>
        <w:t xml:space="preserve">Figure </w:t>
      </w:r>
      <w:r w:rsidR="006D77BF">
        <w:fldChar w:fldCharType="begin"/>
      </w:r>
      <w:r w:rsidR="006D77BF">
        <w:instrText xml:space="preserve"> SEQ Figure \* ARABIC </w:instrText>
      </w:r>
      <w:r w:rsidR="006D77BF">
        <w:fldChar w:fldCharType="separate"/>
      </w:r>
      <w:r w:rsidR="00980002">
        <w:rPr>
          <w:noProof/>
        </w:rPr>
        <w:t>12</w:t>
      </w:r>
      <w:r w:rsidR="006D77BF">
        <w:rPr>
          <w:noProof/>
        </w:rPr>
        <w:fldChar w:fldCharType="end"/>
      </w:r>
      <w:bookmarkEnd w:id="79"/>
      <w:r>
        <w:t>: Normal Distribution</w:t>
      </w:r>
      <w:bookmarkEnd w:id="80"/>
    </w:p>
    <w:p w14:paraId="5529A33C" w14:textId="77777777" w:rsidR="00B17354" w:rsidRDefault="00B17354" w:rsidP="00B17354">
      <w:r>
        <w:lastRenderedPageBreak/>
        <w:t>In this example, SAT scores range from 400 to 1600, as indicated on the X-axis. The Y-axis represents the number of students who achieve each score. The peak of the curve corresponds to the most common score, which is 1000 in this case. The curve tapers off symmetrically on both sides of the mean, with remarkably few students scoring below 650 or above 1300.</w:t>
      </w:r>
    </w:p>
    <w:p w14:paraId="66CFE2DA" w14:textId="77777777" w:rsidR="00B17354" w:rsidRDefault="00B17354" w:rsidP="00B17354">
      <w:r>
        <w:t>The normal distribution has several key properties:</w:t>
      </w:r>
    </w:p>
    <w:p w14:paraId="10CC06E3" w14:textId="77777777" w:rsidR="00B17354" w:rsidRDefault="00B17354" w:rsidP="00622C94">
      <w:pPr>
        <w:pStyle w:val="ListParagraph"/>
        <w:numPr>
          <w:ilvl w:val="0"/>
          <w:numId w:val="237"/>
        </w:numPr>
      </w:pPr>
      <w:r>
        <w:t>Symmetry: The curve is symmetrical around the mean, with equal areas under the curve on both sides.</w:t>
      </w:r>
    </w:p>
    <w:p w14:paraId="7E30FAEB" w14:textId="77777777" w:rsidR="00B17354" w:rsidRDefault="00B17354" w:rsidP="00622C94">
      <w:pPr>
        <w:pStyle w:val="ListParagraph"/>
        <w:numPr>
          <w:ilvl w:val="0"/>
          <w:numId w:val="237"/>
        </w:numPr>
      </w:pPr>
      <w:r>
        <w:t>Mean, median, and mode: In a perfect normal distribution, the mean (average), median (middle value), and mode (most frequent value) are all equal and located at the center of the distribution.</w:t>
      </w:r>
    </w:p>
    <w:p w14:paraId="3816FC03" w14:textId="77777777" w:rsidR="00B17354" w:rsidRDefault="00B17354" w:rsidP="00622C94">
      <w:pPr>
        <w:pStyle w:val="ListParagraph"/>
        <w:numPr>
          <w:ilvl w:val="0"/>
          <w:numId w:val="237"/>
        </w:numPr>
      </w:pPr>
      <w:r>
        <w:t>Standard deviation: The spread of the data is measured by the standard deviation, which determines the width of the bell curve.</w:t>
      </w:r>
    </w:p>
    <w:p w14:paraId="64CED5A1" w14:textId="77777777" w:rsidR="00B17354" w:rsidRDefault="00B17354" w:rsidP="00622C94">
      <w:pPr>
        <w:pStyle w:val="ListParagraph"/>
        <w:numPr>
          <w:ilvl w:val="0"/>
          <w:numId w:val="237"/>
        </w:numPr>
      </w:pPr>
      <w:r>
        <w:t>68-95-99.7 rule: Approximately 68% of the data falls within one standard deviation of the mean, 95% within two standard deviations, and 99.7% within three standard deviations.</w:t>
      </w:r>
    </w:p>
    <w:p w14:paraId="6DE679D2" w14:textId="77777777" w:rsidR="00B17354" w:rsidRDefault="00B17354" w:rsidP="00B17354">
      <w:r>
        <w:t>The normal distribution is crucial in statistical analysis because it allows researchers to use specific techniques to test hypotheses and make inferences about populations based on sample data. For example, suppose a researcher hypothesizes that the graduation rate at University A will be higher than at University B because students at University A have higher SAT scores. If SAT scores are normally distributed, the researcher can use statistical tests, such as a t-test, to compare the mean scores of the two universities and determine whether the difference is statistically significant.</w:t>
      </w:r>
    </w:p>
    <w:p w14:paraId="4ABD9F67" w14:textId="35E4BA48" w:rsidR="00B17354" w:rsidRDefault="00B17354" w:rsidP="00B17354">
      <w:r>
        <w:t xml:space="preserve">However, if the data </w:t>
      </w:r>
      <w:r w:rsidR="000F599D">
        <w:t>does</w:t>
      </w:r>
      <w:r>
        <w:t xml:space="preserve"> not follow a normal distribution, researchers must use alternative methods to analyze and compare the data, such as non-parametric tests. These tests do not assume a specific distribution and are more suitable for data that </w:t>
      </w:r>
      <w:r w:rsidR="000F599D">
        <w:t>is</w:t>
      </w:r>
      <w:r>
        <w:t xml:space="preserve"> skewed or have outliers.</w:t>
      </w:r>
    </w:p>
    <w:p w14:paraId="5327D303" w14:textId="360A3A03" w:rsidR="00A626FE" w:rsidRPr="000E309B" w:rsidRDefault="00B17354" w:rsidP="000F599D">
      <w:r>
        <w:t>Understanding the normal distribution and its properties is essential for researchers and analysts working with quantitative data. By recognizing when data follow a normal distribution, they can select appropriate statistical techniques, draw valid conclusions, and make informed decisions based on their findings.</w:t>
      </w:r>
    </w:p>
    <w:p w14:paraId="5327D304" w14:textId="3CFA2365" w:rsidR="00A626FE" w:rsidRPr="000E309B" w:rsidRDefault="00D14B33" w:rsidP="005426E7">
      <w:pPr>
        <w:pStyle w:val="Heading4"/>
      </w:pPr>
      <w:r w:rsidRPr="000E309B">
        <w:t>Excess Kurtosis</w:t>
      </w:r>
    </w:p>
    <w:p w14:paraId="7FB01AF7" w14:textId="77777777" w:rsidR="004C3FF6" w:rsidRDefault="004C3FF6" w:rsidP="004C3FF6">
      <w:r>
        <w:t>Excess kurtosis is a mathematical measure used to describe the shape of a normal distribution, specifically focusing on the length of the bell curve's tails. In a perfect normal distribution, the excess kurtosis is equal to 0.00. A positive excess kurtosis value indicates the presence of longer tails, while a negative value suggests shorter tails.</w:t>
      </w:r>
    </w:p>
    <w:p w14:paraId="1055E567" w14:textId="15789934" w:rsidR="004C3FF6" w:rsidRDefault="004C3FF6" w:rsidP="004C3FF6">
      <w:r>
        <w:t xml:space="preserve">It is a common misconception that excess kurtosis represents the "peakedness" of the bell curve. Intuitively, one might assume that longer tails would result in a more peaked graph. However, excess kurtosis primarily measures the presence of data outliers, which are in the tails of the </w:t>
      </w:r>
      <w:r>
        <w:lastRenderedPageBreak/>
        <w:t>distribution. The peakedness of the curve is more closely related to the standard deviation, which determines the width of the bell curve.</w:t>
      </w:r>
    </w:p>
    <w:p w14:paraId="3C315021" w14:textId="77777777" w:rsidR="004C3FF6" w:rsidRDefault="004C3FF6" w:rsidP="004C3FF6">
      <w:r>
        <w:t>When interpreting excess kurtosis, it is essential to consider the context of the data and the research question at hand. In some cases, a distribution with longer tails (positive excess kurtosis) may be desirable, as it indicates the presence of extreme values that could be of interest. For example, in financial analysis, identifying stocks with higher returns (positive outliers) might be beneficial for investment purposes.</w:t>
      </w:r>
    </w:p>
    <w:p w14:paraId="6D511F6C" w14:textId="77777777" w:rsidR="004C3FF6" w:rsidRDefault="004C3FF6" w:rsidP="004C3FF6">
      <w:r>
        <w:t>On the other hand, in other situations, longer tails may indicate a problem or anomaly in the data. For instance, in quality control, the presence of extreme values (positive outliers) could suggest defects or issues in the manufacturing process.</w:t>
      </w:r>
    </w:p>
    <w:p w14:paraId="5327D306" w14:textId="55154506" w:rsidR="00A626FE" w:rsidRPr="000E309B" w:rsidRDefault="004C3FF6" w:rsidP="00C90E80">
      <w:r>
        <w:t>To better understand the concept of excess kurtosis, consider the following four examples:</w:t>
      </w:r>
    </w:p>
    <w:p w14:paraId="406A51A5" w14:textId="77777777" w:rsidR="00CC01A9" w:rsidRDefault="00D14B33" w:rsidP="00CC01A9">
      <w:pPr>
        <w:keepNext/>
        <w:spacing w:line="360" w:lineRule="auto"/>
        <w:jc w:val="center"/>
      </w:pPr>
      <w:r w:rsidRPr="000E309B">
        <w:rPr>
          <w:noProof/>
        </w:rPr>
        <w:drawing>
          <wp:inline distT="0" distB="0" distL="0" distR="0" wp14:anchorId="5327DDB7" wp14:editId="5327DDB8">
            <wp:extent cx="4038737" cy="3133503"/>
            <wp:effectExtent l="0" t="0" r="0" b="0"/>
            <wp:docPr id="9577" name="Picture 9577"/>
            <wp:cNvGraphicFramePr/>
            <a:graphic xmlns:a="http://schemas.openxmlformats.org/drawingml/2006/main">
              <a:graphicData uri="http://schemas.openxmlformats.org/drawingml/2006/picture">
                <pic:pic xmlns:pic="http://schemas.openxmlformats.org/drawingml/2006/picture">
                  <pic:nvPicPr>
                    <pic:cNvPr id="9577" name="Picture 9577"/>
                    <pic:cNvPicPr/>
                  </pic:nvPicPr>
                  <pic:blipFill>
                    <a:blip r:embed="rId181"/>
                    <a:stretch>
                      <a:fillRect/>
                    </a:stretch>
                  </pic:blipFill>
                  <pic:spPr>
                    <a:xfrm>
                      <a:off x="0" y="0"/>
                      <a:ext cx="4038737" cy="3133503"/>
                    </a:xfrm>
                    <a:prstGeom prst="rect">
                      <a:avLst/>
                    </a:prstGeom>
                  </pic:spPr>
                </pic:pic>
              </a:graphicData>
            </a:graphic>
          </wp:inline>
        </w:drawing>
      </w:r>
    </w:p>
    <w:p w14:paraId="5327D307" w14:textId="4B0D4A14" w:rsidR="00A626FE" w:rsidRPr="000E309B" w:rsidRDefault="00CC01A9" w:rsidP="00CC01A9">
      <w:pPr>
        <w:pStyle w:val="Caption"/>
        <w:jc w:val="center"/>
      </w:pPr>
      <w:r>
        <w:t xml:space="preserve">Figure </w:t>
      </w:r>
      <w:r w:rsidR="006D77BF">
        <w:fldChar w:fldCharType="begin"/>
      </w:r>
      <w:r w:rsidR="006D77BF">
        <w:instrText xml:space="preserve"> SEQ Figure \* ARABIC </w:instrText>
      </w:r>
      <w:r w:rsidR="006D77BF">
        <w:fldChar w:fldCharType="separate"/>
      </w:r>
      <w:r w:rsidR="00980002">
        <w:rPr>
          <w:noProof/>
        </w:rPr>
        <w:t>13</w:t>
      </w:r>
      <w:r w:rsidR="006D77BF">
        <w:rPr>
          <w:noProof/>
        </w:rPr>
        <w:fldChar w:fldCharType="end"/>
      </w:r>
      <w:r>
        <w:t>: Kurtosis in a Normal Distribution</w:t>
      </w:r>
    </w:p>
    <w:p w14:paraId="524A800E" w14:textId="3B84F8E1" w:rsidR="00C90E80" w:rsidRDefault="00C90E80" w:rsidP="00C90E80">
      <w:r>
        <w:t>As the excess kurtosis increases from negative to positive values, the tails of the distribution become progressively longer. A negative excess kurtosis (Example</w:t>
      </w:r>
      <w:r w:rsidR="00AC0766">
        <w:t>s</w:t>
      </w:r>
      <w:r>
        <w:t xml:space="preserve"> </w:t>
      </w:r>
      <w:r w:rsidR="00AC0766">
        <w:t>2 and 3</w:t>
      </w:r>
      <w:r>
        <w:t>) indicates a distribution with shorter tails and fewer outliers, while a high positive excess kurtosis (Example 4) suggests a distribution with longer tails and more outliers.</w:t>
      </w:r>
    </w:p>
    <w:p w14:paraId="44EA7B5F" w14:textId="77777777" w:rsidR="00C90E80" w:rsidRDefault="00C90E80" w:rsidP="00C90E80">
      <w:r>
        <w:t>When working with normal distributions, it is crucial to calculate and interpret excess kurtosis in conjunction with other measures, such as the mean, standard deviation, and skewness. By considering these measures together, researchers can gain a more comprehensive understanding of the data's shape, central tendency, and dispersion.</w:t>
      </w:r>
    </w:p>
    <w:p w14:paraId="790D491F" w14:textId="77777777" w:rsidR="00C90E80" w:rsidRDefault="00C90E80" w:rsidP="00C90E80">
      <w:r>
        <w:lastRenderedPageBreak/>
        <w:t>Furthermore, it is important to note that while the normal distribution is a common and useful model in many fields, not all data sets follow this pattern. In cases where the data significantly deviate from a normal distribution, alternative statistical methods and models may be more appropriate for analysis.</w:t>
      </w:r>
    </w:p>
    <w:p w14:paraId="77DFAB16" w14:textId="5D90090C" w:rsidR="00C90E80" w:rsidRDefault="00C90E80" w:rsidP="00C90E80">
      <w:r>
        <w:t>In summary, excess kurtosis is a valuable tool for describing the shape of a normal distribution, particularly the length of its tails. However, the interpretation of excess kurtosis should be done cautiously and in the context of the specific research question and data set. By understanding the properties and implications of excess kurtosis, researchers can make more informed decisions when analyzing and interpreting normally distributed data.</w:t>
      </w:r>
    </w:p>
    <w:p w14:paraId="5327D309" w14:textId="2C05DC42" w:rsidR="00A626FE" w:rsidRPr="000E309B" w:rsidRDefault="00D14B33" w:rsidP="005426E7">
      <w:pPr>
        <w:pStyle w:val="Heading4"/>
      </w:pPr>
      <w:r w:rsidRPr="000E309B">
        <w:t>Skew</w:t>
      </w:r>
    </w:p>
    <w:p w14:paraId="786CFC28" w14:textId="4503B008" w:rsidR="00E07380" w:rsidRDefault="00E07380" w:rsidP="00E07380">
      <w:r>
        <w:t xml:space="preserve">Skewness is another crucial numerical measure used to describe the shape of a normal distribution, focusing on the symmetry of the curve about its mean. In a perfectly symmetrical normal distribution, such as the one </w:t>
      </w:r>
      <w:r w:rsidR="007A1386">
        <w:t xml:space="preserve">in the </w:t>
      </w:r>
      <w:r w:rsidR="00120799">
        <w:t xml:space="preserve">SAT Distribution </w:t>
      </w:r>
      <w:r w:rsidR="005D7A9A">
        <w:t xml:space="preserve">shown </w:t>
      </w:r>
      <w:r w:rsidR="00120799">
        <w:t>above</w:t>
      </w:r>
      <w:r>
        <w:t>, the skewness value is 0.00. This indicates that the curve is evenly balanced, with equal proportions of data points on both sides of the mean.</w:t>
      </w:r>
    </w:p>
    <w:p w14:paraId="470B6687" w14:textId="77777777" w:rsidR="00E07380" w:rsidRDefault="00E07380" w:rsidP="00E07380">
      <w:r>
        <w:t>However, in some cases, the distribution may be asymmetrical, with one tail longer than the other. The direction and degree of this asymmetry are determined by the skewness value. A positive skewness indicates that the right tail of the distribution is longer than the left tail. In other words, there are more data points on the far-right side of the graph, "pulling" the tail in that direction. This type of distribution is often referred to as right-skewed or positively skewed.</w:t>
      </w:r>
    </w:p>
    <w:p w14:paraId="2CE498D5" w14:textId="77777777" w:rsidR="00E07380" w:rsidRDefault="00E07380" w:rsidP="00E07380">
      <w:r>
        <w:t>Conversely, a negative skewness indicates that the left tail of the distribution is longer than the right tail. In this case, there are more data points on the far-left side of the graph, resulting in a longer left tail. This type of distribution is known as left-skewed or negatively skewed.</w:t>
      </w:r>
    </w:p>
    <w:p w14:paraId="5327D30A" w14:textId="0ACE8495" w:rsidR="00A626FE" w:rsidRPr="000E309B" w:rsidRDefault="00E07380" w:rsidP="00E07380">
      <w:r>
        <w:t>To better understand the concept of skewness, consider the following four examples:</w:t>
      </w:r>
    </w:p>
    <w:p w14:paraId="267B43A0" w14:textId="77777777" w:rsidR="00321694" w:rsidRDefault="00D14B33" w:rsidP="00321694">
      <w:pPr>
        <w:keepNext/>
        <w:spacing w:line="360" w:lineRule="auto"/>
        <w:jc w:val="center"/>
      </w:pPr>
      <w:r w:rsidRPr="000E309B">
        <w:rPr>
          <w:noProof/>
        </w:rPr>
        <w:lastRenderedPageBreak/>
        <w:drawing>
          <wp:inline distT="0" distB="0" distL="0" distR="0" wp14:anchorId="5327DDB9" wp14:editId="5327DDBA">
            <wp:extent cx="4038737" cy="3133503"/>
            <wp:effectExtent l="0" t="0" r="0" b="0"/>
            <wp:docPr id="9614" name="Picture 9614"/>
            <wp:cNvGraphicFramePr/>
            <a:graphic xmlns:a="http://schemas.openxmlformats.org/drawingml/2006/main">
              <a:graphicData uri="http://schemas.openxmlformats.org/drawingml/2006/picture">
                <pic:pic xmlns:pic="http://schemas.openxmlformats.org/drawingml/2006/picture">
                  <pic:nvPicPr>
                    <pic:cNvPr id="9614" name="Picture 9614"/>
                    <pic:cNvPicPr/>
                  </pic:nvPicPr>
                  <pic:blipFill>
                    <a:blip r:embed="rId182"/>
                    <a:stretch>
                      <a:fillRect/>
                    </a:stretch>
                  </pic:blipFill>
                  <pic:spPr>
                    <a:xfrm>
                      <a:off x="0" y="0"/>
                      <a:ext cx="4038737" cy="3133503"/>
                    </a:xfrm>
                    <a:prstGeom prst="rect">
                      <a:avLst/>
                    </a:prstGeom>
                  </pic:spPr>
                </pic:pic>
              </a:graphicData>
            </a:graphic>
          </wp:inline>
        </w:drawing>
      </w:r>
    </w:p>
    <w:p w14:paraId="5327D30C" w14:textId="7856A482" w:rsidR="00A626FE" w:rsidRPr="000E309B" w:rsidRDefault="00321694" w:rsidP="00321694">
      <w:pPr>
        <w:pStyle w:val="Caption"/>
        <w:jc w:val="center"/>
      </w:pPr>
      <w:r>
        <w:t xml:space="preserve">Figure </w:t>
      </w:r>
      <w:r w:rsidR="006D77BF">
        <w:fldChar w:fldCharType="begin"/>
      </w:r>
      <w:r w:rsidR="006D77BF">
        <w:instrText xml:space="preserve"> SEQ Figure \* ARABIC </w:instrText>
      </w:r>
      <w:r w:rsidR="006D77BF">
        <w:fldChar w:fldCharType="separate"/>
      </w:r>
      <w:r w:rsidR="00980002">
        <w:rPr>
          <w:noProof/>
        </w:rPr>
        <w:t>14</w:t>
      </w:r>
      <w:r w:rsidR="006D77BF">
        <w:rPr>
          <w:noProof/>
        </w:rPr>
        <w:fldChar w:fldCharType="end"/>
      </w:r>
      <w:r>
        <w:t>: Skew in a Normal Distribution</w:t>
      </w:r>
    </w:p>
    <w:p w14:paraId="63D34D5E" w14:textId="77777777" w:rsidR="00365979" w:rsidRDefault="00365979" w:rsidP="00365979">
      <w:r>
        <w:t>Example 1 demonstrates a negatively skewed distribution, where the left tail is longer than the right tail. This indicates that there are more data points on the lower end of the scale, pulling the tail towards the left.</w:t>
      </w:r>
    </w:p>
    <w:p w14:paraId="16EFBD94" w14:textId="43A1535D" w:rsidR="00365979" w:rsidRDefault="00365979" w:rsidP="00365979">
      <w:r>
        <w:t xml:space="preserve">Example </w:t>
      </w:r>
      <w:r w:rsidR="00FF58E6">
        <w:t>2</w:t>
      </w:r>
      <w:r>
        <w:t xml:space="preserve"> illustrates a positively skewed distribution, with a longer right tail. This suggests that there are more data points on the higher end of the scale, pulling the tail towards the right.</w:t>
      </w:r>
    </w:p>
    <w:p w14:paraId="55C003D6" w14:textId="79FB20D1" w:rsidR="0003021A" w:rsidRDefault="0003021A" w:rsidP="00365979">
      <w:r>
        <w:t>Example 3 represents a highly negatively skewed distribution, with a significantly longer left tail. This indicates the presence of extreme values or outliers on the lower end of the scale.</w:t>
      </w:r>
    </w:p>
    <w:p w14:paraId="27EF1E11" w14:textId="26F9BC78" w:rsidR="00365979" w:rsidRDefault="00365979" w:rsidP="00365979">
      <w:r>
        <w:t>Example 4 represents a highly positively skewed distribution, with a significantly longer right tail. This indicates the presence of extreme values or outliers on the higher end of the scale.</w:t>
      </w:r>
    </w:p>
    <w:p w14:paraId="7DFEAF03" w14:textId="77777777" w:rsidR="00365979" w:rsidRDefault="00365979" w:rsidP="00365979">
      <w:r>
        <w:t>When analyzing data, it is essential to consider both skewness and excess kurtosis to gain a comprehensive understanding of the distribution's shape. While skewness focuses on the symmetry of the curve, excess kurtosis describes the length of the tails. Together, these measures provide valuable insights into the nature of the data and can help researchers make informed decisions about the appropriate statistical methods to use.</w:t>
      </w:r>
    </w:p>
    <w:p w14:paraId="7093BB4F" w14:textId="77777777" w:rsidR="00365979" w:rsidRDefault="00365979" w:rsidP="00365979">
      <w:r>
        <w:t>It is important to note that while a perfect normal distribution has a skewness of 0.00, many real-world data sets may exhibit some degree of skewness. The acceptability of a certain level of skewness depends on the specific context and research objectives. In some cases, transforming the data (e.g., using logarithmic or square root transformations) can help reduce skewness and make the distribution more symmetrical.</w:t>
      </w:r>
    </w:p>
    <w:p w14:paraId="63822750" w14:textId="189C5391" w:rsidR="00175051" w:rsidRDefault="00365979" w:rsidP="00365979">
      <w:r>
        <w:lastRenderedPageBreak/>
        <w:t>In summary, skewness is a vital numerical measure that describes the symmetry of a normal distribution. By understanding the direction and degree of skewness, researchers can better interpret the shape of the data and make informed decisions about the appropriate statistical methods to use in their analyses.</w:t>
      </w:r>
    </w:p>
    <w:p w14:paraId="5327D30E" w14:textId="7AC7F154" w:rsidR="00A626FE" w:rsidRPr="000E309B" w:rsidRDefault="004F6369" w:rsidP="004F6369">
      <w:pPr>
        <w:pStyle w:val="Heading3"/>
      </w:pPr>
      <w:bookmarkStart w:id="81" w:name="_Toc169156728"/>
      <w:r>
        <w:t>D</w:t>
      </w:r>
      <w:r w:rsidR="00D14B33" w:rsidRPr="000E309B">
        <w:t>atabases</w:t>
      </w:r>
      <w:bookmarkEnd w:id="81"/>
    </w:p>
    <w:p w14:paraId="46E520CA" w14:textId="2E87C3E3" w:rsidR="00387AD3" w:rsidRDefault="00F81BD5" w:rsidP="00387AD3">
      <w:r>
        <w:rPr>
          <w:noProof/>
        </w:rPr>
        <w:drawing>
          <wp:anchor distT="0" distB="0" distL="114300" distR="114300" simplePos="0" relativeHeight="251898964" behindDoc="0" locked="0" layoutInCell="1" allowOverlap="1" wp14:anchorId="2972B275" wp14:editId="4628BEFB">
            <wp:simplePos x="0" y="0"/>
            <wp:positionH relativeFrom="column">
              <wp:align>right</wp:align>
            </wp:positionH>
            <wp:positionV relativeFrom="paragraph">
              <wp:posOffset>0</wp:posOffset>
            </wp:positionV>
            <wp:extent cx="1828800" cy="1828800"/>
            <wp:effectExtent l="0" t="0" r="0" b="0"/>
            <wp:wrapSquare wrapText="bothSides"/>
            <wp:docPr id="420691497" name="Picture 1" descr="A close up of a shelf with dra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91497" name="Picture 1" descr="A close up of a shelf with drawer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anchor>
        </w:drawing>
      </w:r>
      <w:r w:rsidR="00387AD3">
        <w:t>A database is a collection of data points gathered into a single location, allowing for efficient storage, organization, and retrieval of information. The concept of a database is not new; it has evolved from traditional methods like library card catalogs to modern electronic systems. In the past, libraries maintained hundreds of 3x5 cards containing information about books, such as the title, author, and subject. These cards were stored in a wooden cabinet called the "card catalog," enabling customers to find information about their desired books. Today, databases are often stored electronically and can be accessed via the Internet from various devices, including computers, tablets, and smartphones.</w:t>
      </w:r>
    </w:p>
    <w:p w14:paraId="1044DD63" w14:textId="77777777" w:rsidR="00387AD3" w:rsidRDefault="00387AD3" w:rsidP="00387AD3">
      <w:r>
        <w:t>In a database, data are typically organized into tables that resemble spreadsheets, with rows and columns. Each row represents a single record or observation about a particular entity, while each column represents a specific attribute or descriptor of that entity. For example, consider a database containing information about employees at a company. Each row would contain data about one employee, and each column would represent a single aspect of that employee's employment, such as their name, job title, or salary.</w:t>
      </w:r>
    </w:p>
    <w:p w14:paraId="0A2AD0AD" w14:textId="77777777" w:rsidR="00387AD3" w:rsidRDefault="00387AD3" w:rsidP="00387AD3">
      <w:r>
        <w:t>The primary purpose of a database is to provide quick and accurate answers to questions through a lookup process. For instance, if the CEO of a company needs to know the birth date of an employee in the accounting department, they can easily retrieve this information from the database.</w:t>
      </w:r>
    </w:p>
    <w:p w14:paraId="7AA7367A" w14:textId="398D23C9" w:rsidR="00387AD3" w:rsidRDefault="00387AD3" w:rsidP="00387AD3">
      <w:r>
        <w:t xml:space="preserve">However, databases are not without their challenges. One common problem is "dirty data," which refers to data that contain missing values or errors. For example, a data entry clerk might accidentally enter "1000000" instead of "100000" </w:t>
      </w:r>
      <w:r w:rsidR="00F15A0F">
        <w:t xml:space="preserve">(too many zeros in the first instance) </w:t>
      </w:r>
      <w:r>
        <w:t>for an employee's salary, creating an outlier in the data. Another issue is missing data, which occurs when some fields are left blank. This can happen when employees are asked to update their personal information but cannot remember certain details, such as their start date with the company.</w:t>
      </w:r>
    </w:p>
    <w:p w14:paraId="2380BE00" w14:textId="11675F77" w:rsidR="00387AD3" w:rsidRDefault="00387AD3" w:rsidP="00387AD3">
      <w:r>
        <w:t xml:space="preserve">Dirty data and missing values can make it difficult to analyze the database accurately. For instance, if a researcher wants to calculate the median salary for workers in a factory, but 10% of the salary data </w:t>
      </w:r>
      <w:r w:rsidR="00171780">
        <w:t>is</w:t>
      </w:r>
      <w:r>
        <w:t xml:space="preserve"> missing, the resulting median will not be representative of the true value. Statisticians have developed various methods to mitigate the problems caused by dirty data, but these techniques are beyond the scope of this text.</w:t>
      </w:r>
    </w:p>
    <w:p w14:paraId="5327D312" w14:textId="47595EB8" w:rsidR="00A626FE" w:rsidRDefault="00387AD3" w:rsidP="00387AD3">
      <w:r>
        <w:lastRenderedPageBreak/>
        <w:t>To ensure the accuracy and reliability of a database, it is essential to implement data validation and cleansing processes. This can involve setting up input constraints to prevent the entry of invalid data, regularly auditing the database for errors, and establishing procedures for handling missing or inconsistent data. By maintaining a clean and well-structured database, organizations can leverage their data assets to make informed decisions, identify trends, and drive business growth.</w:t>
      </w:r>
    </w:p>
    <w:p w14:paraId="5327D313" w14:textId="514E92F5" w:rsidR="00A626FE" w:rsidRPr="000E309B" w:rsidRDefault="00D14B33" w:rsidP="005A6148">
      <w:pPr>
        <w:pStyle w:val="Heading4"/>
      </w:pPr>
      <w:r w:rsidRPr="000E309B">
        <w:t>Public Databases</w:t>
      </w:r>
    </w:p>
    <w:p w14:paraId="2B222D2F" w14:textId="77777777" w:rsidR="00713A7E" w:rsidRDefault="00713A7E" w:rsidP="00713A7E">
      <w:r>
        <w:t>Researchers have access to a wealth of information through hundreds of publicly available databases. One notable example is the United States Census Bureau, which maintains an extensive database containing demographic information about the population of the United States. This data is freely accessible to anyone interested in using it, and the website is designed to make finding relevant information quick and easy. For instance, one can easily discover that among adults in the United States, 28% have a high school diploma, 4% have an associate degree, 22% have a bachelor's degree, 9% have a master's degree, 2% have a doctoral degree, and the remaining individuals fall elsewhere on the educational spectrum. The Census Bureau also offers advanced tools that allow researchers to narrow their search criteria significantly.</w:t>
      </w:r>
    </w:p>
    <w:p w14:paraId="0D9B765C" w14:textId="4BBD3DF8" w:rsidR="00713A7E" w:rsidRDefault="00713A7E" w:rsidP="00713A7E">
      <w:r>
        <w:t xml:space="preserve">When utilizing public databases for research, it is crucial to consider the potential for bias in the data. For example, if a database includes information about people's attitudes towards work, researchers must determine whether the data was collected using a well-designed, neutral survey or if it was merely a convenience sample. </w:t>
      </w:r>
      <w:r w:rsidR="005F3BDF">
        <w:t>Generally</w:t>
      </w:r>
      <w:r>
        <w:t>, databases found on government websites (ending with .gov) or educational institution websites (ending with .edu) are more likely to be bias-free. In contrast, databases from commercial websites (ending with .com) require careful examination to assess their reliability and potential biases.</w:t>
      </w:r>
    </w:p>
    <w:p w14:paraId="63E7DE41" w14:textId="77777777" w:rsidR="00713A7E" w:rsidRDefault="00713A7E" w:rsidP="00713A7E">
      <w:r>
        <w:t>Researchers may sometimes encounter websites that provide links to journal articles or book chapters. While these resources are valuable for conducting a literature review and gaining background knowledge on a topic, they should not be confused with databases containing raw data obtained from surveys, experiments, or other primary research activities. Journal articles and book chapters are secondary sources that present analyzed and interpreted data, whereas databases offer access to the original, unprocessed data that researchers can use to conduct their own analyses.</w:t>
      </w:r>
    </w:p>
    <w:p w14:paraId="1402DF84" w14:textId="77777777" w:rsidR="00713A7E" w:rsidRDefault="00713A7E" w:rsidP="00713A7E">
      <w:r>
        <w:t>When using public databases, it is essential to evaluate the source, methodology, and potential biases of the data to ensure the integrity and reliability of the research. By carefully selecting and scrutinizing databases, researchers can access a vast array of information to support their studies and contribute to the advancement of knowledge in their respective fields.</w:t>
      </w:r>
    </w:p>
    <w:p w14:paraId="5327D318" w14:textId="1625E78B" w:rsidR="00A626FE" w:rsidRPr="000E309B" w:rsidRDefault="00D14B33" w:rsidP="005A6148">
      <w:pPr>
        <w:pStyle w:val="Heading4"/>
      </w:pPr>
      <w:r w:rsidRPr="000E309B">
        <w:t>Using Public Databases</w:t>
      </w:r>
    </w:p>
    <w:p w14:paraId="6A529099" w14:textId="0E7500C3" w:rsidR="00D8540E" w:rsidRDefault="00D8540E" w:rsidP="00D8540E">
      <w:r>
        <w:t>Public databases, such as the US Census Bureau, can be invaluable resources for businesses seeking to make informed decisions about expansion and growth. Consider the following example</w:t>
      </w:r>
      <w:r w:rsidR="007D2BA9">
        <w:t>.</w:t>
      </w:r>
    </w:p>
    <w:p w14:paraId="04CA1B97" w14:textId="33CB1848" w:rsidR="00D8540E" w:rsidRDefault="00D8540E" w:rsidP="00D8540E">
      <w:r>
        <w:lastRenderedPageBreak/>
        <w:t>The CEO of "BASVFOODS," a retail company, is interested in opening a new neighborhood market in a small town where the company has not previously operated. To assess the viability of this venture, the CEO can leverage the wealth of demographic data available through the US Census Bureau.</w:t>
      </w:r>
      <w:r w:rsidR="007D2BA9">
        <w:t xml:space="preserve"> </w:t>
      </w:r>
      <w:r>
        <w:t>By accessing the Census Bureau database, the CEO can gather pertinent information about the target town, including:</w:t>
      </w:r>
    </w:p>
    <w:p w14:paraId="51F151F7" w14:textId="77777777" w:rsidR="00D8540E" w:rsidRDefault="00D8540E" w:rsidP="007D2BA9">
      <w:pPr>
        <w:pStyle w:val="ListParagraph"/>
        <w:numPr>
          <w:ilvl w:val="0"/>
          <w:numId w:val="238"/>
        </w:numPr>
      </w:pPr>
      <w:r>
        <w:t>Median household size: This data helps determine the average family size in the area, which can influence the types of products and quantities the store should stock.</w:t>
      </w:r>
    </w:p>
    <w:p w14:paraId="530E40CB" w14:textId="77777777" w:rsidR="00D8540E" w:rsidRDefault="00D8540E" w:rsidP="007D2BA9">
      <w:pPr>
        <w:pStyle w:val="ListParagraph"/>
        <w:numPr>
          <w:ilvl w:val="0"/>
          <w:numId w:val="238"/>
        </w:numPr>
      </w:pPr>
      <w:r>
        <w:t>Income levels: Understanding the income distribution of the town's residents can help the CEO make informed decisions about product pricing, promotions, and overall market positioning.</w:t>
      </w:r>
    </w:p>
    <w:p w14:paraId="6418FFAD" w14:textId="77777777" w:rsidR="00D8540E" w:rsidRDefault="00D8540E" w:rsidP="007D2BA9">
      <w:pPr>
        <w:pStyle w:val="ListParagraph"/>
        <w:numPr>
          <w:ilvl w:val="0"/>
          <w:numId w:val="238"/>
        </w:numPr>
      </w:pPr>
      <w:r>
        <w:t>Education levels: Knowing the educational attainment of the local population can provide insights into their likely preferences, purchasing habits, and receptiveness to certain products or marketing strategies.</w:t>
      </w:r>
    </w:p>
    <w:p w14:paraId="095E75C4" w14:textId="7E62B8C5" w:rsidR="00D8540E" w:rsidRDefault="00D8540E" w:rsidP="00D8540E">
      <w:r>
        <w:t xml:space="preserve">Armed with this data, the CEO can then compare the demographic profile of the target town to that of a town where "BASVFOODS" already has a successful store. By identifying similarities and differences between the two locations, the CEO can make a more informed assessment of the potential risks and rewards associated with opening a new store in </w:t>
      </w:r>
      <w:r w:rsidR="00D000BF">
        <w:t>an</w:t>
      </w:r>
      <w:r>
        <w:t xml:space="preserve"> unfamiliar town.</w:t>
      </w:r>
    </w:p>
    <w:p w14:paraId="18F15F8B" w14:textId="77777777" w:rsidR="00D8540E" w:rsidRDefault="00D8540E" w:rsidP="00D8540E">
      <w:r>
        <w:t>For example, if the data reveals that the target town has a similar median household size, income distribution, and education levels to the town with a thriving "BASVFOODS" store, the CEO may be more confident in the decision to expand into the new location. Conversely, if the data shows significant differences between the two towns, the CEO may need to adjust their strategy or reconsider the expansion altogether.</w:t>
      </w:r>
    </w:p>
    <w:p w14:paraId="1BE26F2E" w14:textId="77777777" w:rsidR="00D8540E" w:rsidRDefault="00D8540E" w:rsidP="00D8540E">
      <w:r>
        <w:t>This example demonstrates how public databases can be powerful tools for businesses seeking to make data-driven decisions. By leveraging the vast amounts of demographic information available through sources like the US Census Bureau, companies can gain valuable insights into potential markets, customer preferences, and growth opportunities. This, in turn, can help businesses minimize risks, optimize their strategies, and ultimately improve their chances of success when expanding into new territories.</w:t>
      </w:r>
    </w:p>
    <w:p w14:paraId="5327D31A" w14:textId="3D580644" w:rsidR="00A626FE" w:rsidRPr="000E309B" w:rsidRDefault="004D34C9" w:rsidP="004D34C9">
      <w:pPr>
        <w:pStyle w:val="Heading3"/>
      </w:pPr>
      <w:bookmarkStart w:id="82" w:name="_Toc169156729"/>
      <w:r>
        <w:t>S</w:t>
      </w:r>
      <w:r w:rsidR="00D14B33" w:rsidRPr="000E309B">
        <w:t xml:space="preserve">tatistical </w:t>
      </w:r>
      <w:r>
        <w:t>T</w:t>
      </w:r>
      <w:r w:rsidR="00D14B33" w:rsidRPr="000E309B">
        <w:t xml:space="preserve">est </w:t>
      </w:r>
      <w:r>
        <w:t>S</w:t>
      </w:r>
      <w:r w:rsidR="00D14B33" w:rsidRPr="000E309B">
        <w:t>election</w:t>
      </w:r>
      <w:bookmarkEnd w:id="82"/>
    </w:p>
    <w:p w14:paraId="4BF18F75" w14:textId="77777777" w:rsidR="00FE55AF" w:rsidRDefault="00FE55AF" w:rsidP="00FE55AF">
      <w:r>
        <w:t>After collecting data, it is crucial for researchers to apply suitable statistical methods to uncover meaningful patterns and insights. With hundreds of tests available, selecting the appropriate analysis depends on two key factors: the research objective and the nature of the data being analyzed. The first step in this process is to classify the variables under investigation.</w:t>
      </w:r>
    </w:p>
    <w:p w14:paraId="218F8FC3" w14:textId="77777777" w:rsidR="00FE55AF" w:rsidRDefault="00FE55AF" w:rsidP="00FE55AF">
      <w:r>
        <w:t>Variables can be broadly categorized into two main types: quantitative and qualitative data. Quantitative data are numeric values obtained through measurement or counting. Within this category, there are two subtypes:</w:t>
      </w:r>
    </w:p>
    <w:p w14:paraId="3B6663EC" w14:textId="77777777" w:rsidR="00FE55AF" w:rsidRDefault="00FE55AF" w:rsidP="00262C27">
      <w:pPr>
        <w:pStyle w:val="ListParagraph"/>
        <w:numPr>
          <w:ilvl w:val="0"/>
          <w:numId w:val="240"/>
        </w:numPr>
      </w:pPr>
      <w:r>
        <w:lastRenderedPageBreak/>
        <w:t>Continuous data: These are numeric values that can take on any value within a given range, including fractions or decimals. Examples include a person's height, weight, or the time taken to complete a task.</w:t>
      </w:r>
    </w:p>
    <w:p w14:paraId="3C9EBFD0" w14:textId="77777777" w:rsidR="00FE55AF" w:rsidRDefault="00FE55AF" w:rsidP="00262C27">
      <w:pPr>
        <w:pStyle w:val="ListParagraph"/>
        <w:numPr>
          <w:ilvl w:val="0"/>
          <w:numId w:val="240"/>
        </w:numPr>
      </w:pPr>
      <w:r>
        <w:t>Discrete data: These are numeric values that are typically obtained by counting and are often represented as whole numbers. Examples include the number of students in a classroom or the number of defective products in a batch.</w:t>
      </w:r>
    </w:p>
    <w:p w14:paraId="514AF466" w14:textId="77777777" w:rsidR="00FE55AF" w:rsidRDefault="00FE55AF" w:rsidP="00FE55AF">
      <w:r>
        <w:t>On the other hand, qualitative data are non-numeric and are often collected through surveys, questionnaires, or interviews. Qualitative data can be further classified into two subtypes:</w:t>
      </w:r>
    </w:p>
    <w:p w14:paraId="564BDE0E" w14:textId="77777777" w:rsidR="00FE55AF" w:rsidRDefault="00FE55AF" w:rsidP="00262C27">
      <w:pPr>
        <w:pStyle w:val="ListParagraph"/>
        <w:numPr>
          <w:ilvl w:val="0"/>
          <w:numId w:val="241"/>
        </w:numPr>
      </w:pPr>
      <w:r>
        <w:t>Ordinal data: These are categorical data that have an implied order or hierarchy. Examples include a student's grade level (e.g., freshman, sophomore, junior, senior) or a rating scale (e.g., strongly agree, agree, neutral, disagree, strongly disagree).</w:t>
      </w:r>
    </w:p>
    <w:p w14:paraId="0DB11165" w14:textId="77777777" w:rsidR="00FE55AF" w:rsidRDefault="00FE55AF" w:rsidP="00262C27">
      <w:pPr>
        <w:pStyle w:val="ListParagraph"/>
        <w:numPr>
          <w:ilvl w:val="0"/>
          <w:numId w:val="241"/>
        </w:numPr>
      </w:pPr>
      <w:r>
        <w:t>Nominal data: These are categorical data that have no inherent order or hierarchy. Examples include a person's gender, race, or favorite color.</w:t>
      </w:r>
    </w:p>
    <w:p w14:paraId="3E819A8D" w14:textId="74F5376A" w:rsidR="00FE55AF" w:rsidRDefault="00262C27" w:rsidP="00FE55AF">
      <w:r>
        <w:rPr>
          <w:noProof/>
        </w:rPr>
        <w:drawing>
          <wp:anchor distT="0" distB="0" distL="114300" distR="114300" simplePos="0" relativeHeight="251658277" behindDoc="0" locked="0" layoutInCell="1" allowOverlap="1" wp14:anchorId="398419CF" wp14:editId="72A58D6A">
            <wp:simplePos x="0" y="0"/>
            <wp:positionH relativeFrom="column">
              <wp:posOffset>1028700</wp:posOffset>
            </wp:positionH>
            <wp:positionV relativeFrom="paragraph">
              <wp:posOffset>457200</wp:posOffset>
            </wp:positionV>
            <wp:extent cx="3886200" cy="2267712"/>
            <wp:effectExtent l="38100" t="38100" r="38100" b="56515"/>
            <wp:wrapTopAndBottom/>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14:sizeRelH relativeFrom="margin">
              <wp14:pctWidth>0</wp14:pctWidth>
            </wp14:sizeRelH>
            <wp14:sizeRelV relativeFrom="margin">
              <wp14:pctHeight>0</wp14:pctHeight>
            </wp14:sizeRelV>
          </wp:anchor>
        </w:drawing>
      </w:r>
      <w:r>
        <w:t xml:space="preserve">The following figure </w:t>
      </w:r>
      <w:r w:rsidR="00FE55AF">
        <w:t>provides a visual representation of the different types of data and their relationships.</w:t>
      </w:r>
    </w:p>
    <w:p w14:paraId="2B484309" w14:textId="77777777" w:rsidR="00FE55AF" w:rsidRDefault="00FE55AF" w:rsidP="00FE55AF">
      <w:r>
        <w:t>Once researchers have identified the types of variables they are working with, they can select the most appropriate statistical tests for their analysis. For instance, when analyzing the relationship between two continuous variables, such as height and weight, researchers may use correlation or regression analysis. When comparing the means of two or more groups on a continuous variable, such as test scores between different grade levels, researchers may employ t-tests or analysis of variance (ANOVA).</w:t>
      </w:r>
    </w:p>
    <w:p w14:paraId="5BF0F200" w14:textId="77777777" w:rsidR="00FE55AF" w:rsidRDefault="00FE55AF" w:rsidP="00FE55AF">
      <w:r>
        <w:t>Similarly, when analyzing qualitative data, researchers may use chi-square tests to examine the association between two categorical variables or McNemar's test to compare paired proportions. The choice of the statistical test depends on the research question, the number and types of variables involved, and the assumptions underlying each test.</w:t>
      </w:r>
    </w:p>
    <w:p w14:paraId="5327D320" w14:textId="75033578" w:rsidR="00A626FE" w:rsidRPr="000E309B" w:rsidRDefault="00D14B33" w:rsidP="00AE7F61">
      <w:pPr>
        <w:pStyle w:val="Heading4"/>
      </w:pPr>
      <w:r w:rsidRPr="000E309B">
        <w:lastRenderedPageBreak/>
        <w:t>Summary Statistics</w:t>
      </w:r>
    </w:p>
    <w:p w14:paraId="158443E4" w14:textId="10A6EC3F" w:rsidR="00EA1E81" w:rsidRDefault="00EA1E81" w:rsidP="00EA1E81">
      <w:r>
        <w:t>When analyzing a dataset, one of the most fundamental and accessible types of analysis is determining the measures of central tendency and spread. These summary statistics provide essential information about the distribution of the data and are often among the first pieces of information that readers expect to find in research reports. Here is a guide to help select the appropriate measures based on the type of data</w:t>
      </w:r>
      <w:r w:rsidR="00B557CA">
        <w:t xml:space="preserve"> involved.</w:t>
      </w:r>
    </w:p>
    <w:p w14:paraId="78E6D18C" w14:textId="2CFBB73D" w:rsidR="00EA1E81" w:rsidRDefault="00EA1E81" w:rsidP="00582003">
      <w:pPr>
        <w:pStyle w:val="Heading5"/>
      </w:pPr>
      <w:r>
        <w:t>Normally distributed continuous data</w:t>
      </w:r>
    </w:p>
    <w:p w14:paraId="4A01D45B" w14:textId="77777777" w:rsidR="00EA1E81" w:rsidRDefault="00EA1E81" w:rsidP="00EA1E81">
      <w:pPr>
        <w:pStyle w:val="ListParagraph"/>
        <w:numPr>
          <w:ilvl w:val="0"/>
          <w:numId w:val="242"/>
        </w:numPr>
      </w:pPr>
      <w:r>
        <w:t>Central tendency: Mean</w:t>
      </w:r>
    </w:p>
    <w:p w14:paraId="433C817F" w14:textId="77777777" w:rsidR="00EA1E81" w:rsidRDefault="00EA1E81" w:rsidP="00EA1E81">
      <w:pPr>
        <w:pStyle w:val="ListParagraph"/>
        <w:numPr>
          <w:ilvl w:val="0"/>
          <w:numId w:val="242"/>
        </w:numPr>
      </w:pPr>
      <w:r>
        <w:t>Spread: Standard deviation</w:t>
      </w:r>
    </w:p>
    <w:p w14:paraId="0340C832" w14:textId="47771E6B" w:rsidR="00EA1E81" w:rsidRDefault="00EA1E81" w:rsidP="00582003">
      <w:pPr>
        <w:ind w:left="360"/>
      </w:pPr>
      <w:r>
        <w:t xml:space="preserve">When </w:t>
      </w:r>
      <w:r w:rsidR="002F537A">
        <w:t>the</w:t>
      </w:r>
      <w:r>
        <w:t xml:space="preserve"> data is continuous and follows a normal distribution (i.e., a symmetric bell-shaped curve), the mean and standard deviation are the most appropriate measures to report. The mean represents the average value of the dataset, while the standard deviation quantifies the average distance of data points from the mean, providing a measure of the data's dispersion.</w:t>
      </w:r>
    </w:p>
    <w:p w14:paraId="0B03F1B8" w14:textId="08152B9D" w:rsidR="00EA1E81" w:rsidRDefault="00EA1E81" w:rsidP="00582003">
      <w:pPr>
        <w:pStyle w:val="Heading5"/>
      </w:pPr>
      <w:r>
        <w:t>Skewed continuous or discrete data</w:t>
      </w:r>
    </w:p>
    <w:p w14:paraId="315CE66D" w14:textId="77777777" w:rsidR="00EA1E81" w:rsidRDefault="00EA1E81" w:rsidP="00582003">
      <w:pPr>
        <w:pStyle w:val="ListParagraph"/>
        <w:numPr>
          <w:ilvl w:val="0"/>
          <w:numId w:val="243"/>
        </w:numPr>
      </w:pPr>
      <w:r>
        <w:t>Central tendency: Median</w:t>
      </w:r>
    </w:p>
    <w:p w14:paraId="5400C17B" w14:textId="77777777" w:rsidR="00EA1E81" w:rsidRDefault="00EA1E81" w:rsidP="00582003">
      <w:pPr>
        <w:pStyle w:val="ListParagraph"/>
        <w:numPr>
          <w:ilvl w:val="0"/>
          <w:numId w:val="243"/>
        </w:numPr>
      </w:pPr>
      <w:r>
        <w:t>Spread: Interquartile Range (IQR)</w:t>
      </w:r>
    </w:p>
    <w:p w14:paraId="3C0B7C60" w14:textId="77777777" w:rsidR="00EA1E81" w:rsidRDefault="00EA1E81" w:rsidP="00582003">
      <w:pPr>
        <w:ind w:left="360"/>
      </w:pPr>
      <w:r>
        <w:t>For continuous data that is skewed (i.e., not symmetrically distributed) or discrete data (i.e., whole numbers obtained by counting), the median and IQR are more suitable measures. The median represents the middle value when the data is arranged in order, while the IQR captures the range of the middle 50% of the data, providing a measure of spread that is less sensitive to extreme values or outliers.</w:t>
      </w:r>
    </w:p>
    <w:p w14:paraId="239959BD" w14:textId="6325F985" w:rsidR="00EA1E81" w:rsidRDefault="00EA1E81" w:rsidP="00582003">
      <w:pPr>
        <w:pStyle w:val="Heading5"/>
      </w:pPr>
      <w:r>
        <w:t>Ordinal data</w:t>
      </w:r>
    </w:p>
    <w:p w14:paraId="4D147510" w14:textId="77777777" w:rsidR="00EA1E81" w:rsidRDefault="00EA1E81" w:rsidP="00582003">
      <w:pPr>
        <w:pStyle w:val="ListParagraph"/>
        <w:numPr>
          <w:ilvl w:val="0"/>
          <w:numId w:val="244"/>
        </w:numPr>
      </w:pPr>
      <w:r>
        <w:t>Central tendency: Median</w:t>
      </w:r>
    </w:p>
    <w:p w14:paraId="24DBB2A4" w14:textId="77777777" w:rsidR="00EA1E81" w:rsidRDefault="00EA1E81" w:rsidP="00582003">
      <w:pPr>
        <w:pStyle w:val="ListParagraph"/>
        <w:numPr>
          <w:ilvl w:val="0"/>
          <w:numId w:val="244"/>
        </w:numPr>
      </w:pPr>
      <w:r>
        <w:t>Spread: Interquartile Range (IQR)</w:t>
      </w:r>
    </w:p>
    <w:p w14:paraId="1B611087" w14:textId="77777777" w:rsidR="00EA1E81" w:rsidRDefault="00EA1E81" w:rsidP="00582003">
      <w:pPr>
        <w:ind w:left="360"/>
      </w:pPr>
      <w:r>
        <w:t>Ordinal data, which has an inherent order or ranking but no consistent scale between categories, should also be summarized using the median and IQR. These measures are less affected by the unequal spacing between categories and provide a more meaningful representation of the data's center and spread.</w:t>
      </w:r>
    </w:p>
    <w:p w14:paraId="71E0E0F1" w14:textId="2E3AFD44" w:rsidR="00EA1E81" w:rsidRDefault="00EA1E81" w:rsidP="00582003">
      <w:pPr>
        <w:pStyle w:val="Heading5"/>
      </w:pPr>
      <w:r>
        <w:t>Nominal data</w:t>
      </w:r>
    </w:p>
    <w:p w14:paraId="5B22761C" w14:textId="77777777" w:rsidR="00EA1E81" w:rsidRDefault="00EA1E81" w:rsidP="00582003">
      <w:pPr>
        <w:pStyle w:val="ListParagraph"/>
        <w:numPr>
          <w:ilvl w:val="0"/>
          <w:numId w:val="245"/>
        </w:numPr>
      </w:pPr>
      <w:r>
        <w:t>Central tendency: Mode</w:t>
      </w:r>
    </w:p>
    <w:p w14:paraId="5419F40D" w14:textId="77777777" w:rsidR="00EA1E81" w:rsidRDefault="00EA1E81" w:rsidP="00582003">
      <w:pPr>
        <w:pStyle w:val="ListParagraph"/>
        <w:numPr>
          <w:ilvl w:val="0"/>
          <w:numId w:val="245"/>
        </w:numPr>
      </w:pPr>
      <w:r>
        <w:t>Spread: Not applicable</w:t>
      </w:r>
    </w:p>
    <w:p w14:paraId="02B47570" w14:textId="77777777" w:rsidR="00EA1E81" w:rsidRDefault="00EA1E81" w:rsidP="00582003">
      <w:pPr>
        <w:ind w:left="360"/>
      </w:pPr>
      <w:r>
        <w:t>For nominal data, which consists of categories with no inherent order or numerical value, the mode is the most appropriate measure of central tendency. The mode represents the most frequently occurring category in the dataset. However, there is no meaningful measure of spread for nominal data, as the categories cannot be ordered or quantified.</w:t>
      </w:r>
    </w:p>
    <w:p w14:paraId="5327D325" w14:textId="77EC20D4" w:rsidR="00A626FE" w:rsidRDefault="00EA1E81" w:rsidP="00EA1E81">
      <w:r>
        <w:lastRenderedPageBreak/>
        <w:t>By following this guide, researchers can ensure that they are using the most appropriate measures of central tendency and spread for their data, enabling them to effectively summarize and communicate their findings to their audience. It is important to note that while these measures provide valuable insights into the data's distribution, they should be used in conjunction with other statistical methods and visualizations to gain a comprehensive understanding of the data and its implications.</w:t>
      </w:r>
    </w:p>
    <w:p w14:paraId="4613F501" w14:textId="77777777" w:rsidR="002E0181" w:rsidRDefault="00FF3156" w:rsidP="002E0181">
      <w:pPr>
        <w:keepNext/>
        <w:spacing w:line="360" w:lineRule="auto"/>
      </w:pPr>
      <w:r>
        <w:rPr>
          <w:noProof/>
        </w:rPr>
        <w:drawing>
          <wp:anchor distT="0" distB="0" distL="114300" distR="114300" simplePos="0" relativeHeight="251658278" behindDoc="0" locked="0" layoutInCell="1" allowOverlap="1" wp14:anchorId="1523085B" wp14:editId="5AB89FEC">
            <wp:simplePos x="0" y="0"/>
            <wp:positionH relativeFrom="column">
              <wp:align>center</wp:align>
            </wp:positionH>
            <wp:positionV relativeFrom="paragraph">
              <wp:posOffset>1905</wp:posOffset>
            </wp:positionV>
            <wp:extent cx="4069080" cy="2267712"/>
            <wp:effectExtent l="0" t="0" r="0" b="18415"/>
            <wp:wrapTopAndBottom/>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9" r:lo="rId190" r:qs="rId191" r:cs="rId192"/>
              </a:graphicData>
            </a:graphic>
            <wp14:sizeRelH relativeFrom="margin">
              <wp14:pctWidth>0</wp14:pctWidth>
            </wp14:sizeRelH>
            <wp14:sizeRelV relativeFrom="margin">
              <wp14:pctHeight>0</wp14:pctHeight>
            </wp14:sizeRelV>
          </wp:anchor>
        </w:drawing>
      </w:r>
    </w:p>
    <w:p w14:paraId="2CD04BD8" w14:textId="5168D8A4" w:rsidR="00FF3156" w:rsidRPr="000E309B" w:rsidRDefault="002E0181" w:rsidP="002E0181">
      <w:pPr>
        <w:pStyle w:val="Caption"/>
        <w:jc w:val="center"/>
      </w:pPr>
      <w:r>
        <w:t xml:space="preserve">Figure </w:t>
      </w:r>
      <w:r w:rsidR="006D77BF">
        <w:fldChar w:fldCharType="begin"/>
      </w:r>
      <w:r w:rsidR="006D77BF">
        <w:instrText xml:space="preserve"> SEQ Figure \* ARABIC </w:instrText>
      </w:r>
      <w:r w:rsidR="006D77BF">
        <w:fldChar w:fldCharType="separate"/>
      </w:r>
      <w:r w:rsidR="00980002">
        <w:rPr>
          <w:noProof/>
        </w:rPr>
        <w:t>15</w:t>
      </w:r>
      <w:r w:rsidR="006D77BF">
        <w:rPr>
          <w:noProof/>
        </w:rPr>
        <w:fldChar w:fldCharType="end"/>
      </w:r>
      <w:r>
        <w:t>: Central Measure and Spread</w:t>
      </w:r>
    </w:p>
    <w:p w14:paraId="5327D328" w14:textId="17273A40" w:rsidR="00A626FE" w:rsidRPr="000E309B" w:rsidRDefault="00D14B33" w:rsidP="00AE7F61">
      <w:pPr>
        <w:pStyle w:val="Heading4"/>
      </w:pPr>
      <w:r w:rsidRPr="000E309B">
        <w:t>Parametric vs. Nonparametric Tests</w:t>
      </w:r>
    </w:p>
    <w:p w14:paraId="451382B7" w14:textId="653C319C" w:rsidR="001E4C48" w:rsidRPr="001E4C48" w:rsidRDefault="001E4C48" w:rsidP="001C060A">
      <w:r w:rsidRPr="001E4C48">
        <w:t xml:space="preserve">In research, the scientific method often involves positing a hypothesis and then conducting experiments or studies to gather evidence that either supports or refutes that hypothesis. The type of hypothesis </w:t>
      </w:r>
      <w:r w:rsidR="009A0BDC" w:rsidRPr="001E4C48">
        <w:t>tests</w:t>
      </w:r>
      <w:r w:rsidRPr="001E4C48">
        <w:t xml:space="preserve"> a researcher employs depends on the nature of the variables being investigated. These variables can be broadly categorized into two main types: independent and dependent variables.</w:t>
      </w:r>
    </w:p>
    <w:p w14:paraId="17213C2B" w14:textId="77777777" w:rsidR="001E4C48" w:rsidRPr="001E4C48" w:rsidRDefault="001E4C48" w:rsidP="001C060A">
      <w:r w:rsidRPr="001E4C48">
        <w:t>Independent variables, also known as explanatory variables, are those that are believed to cause or influence a particular outcome. In other words, they explain why a certain result or observation occurs. For example, consider a hypothesis stating that women spend more money on groceries than men. In this case, the independent variable is the sex of the shopper, as it is thought to influence the amount of money spent on groceries. Similarly, if a researcher hypothesizes that elderly drivers are more dangerous than younger drivers, the independent variable would be the driver's age, as it is believed to affect driving safety.</w:t>
      </w:r>
    </w:p>
    <w:p w14:paraId="3EDB9E46" w14:textId="77777777" w:rsidR="001E4C48" w:rsidRPr="001E4C48" w:rsidRDefault="001E4C48" w:rsidP="001C060A">
      <w:r w:rsidRPr="001E4C48">
        <w:t xml:space="preserve">On the other hand, dependent variables, also referred to as outcome variables, represent the outcome or result of the study. They are the variables that are measured or observed to determine the effect of the independent variable(s). In the grocery spending example, the dependent variable would be the amount of money spent on groceries, as this is the outcome being measured and compared between men and women. In the driving safety example, the dependent variable could </w:t>
      </w:r>
      <w:r w:rsidRPr="001E4C48">
        <w:lastRenderedPageBreak/>
        <w:t>be the number of reported accidents, as this is the outcome being used to assess the relative danger posed by elderly and younger drivers.</w:t>
      </w:r>
    </w:p>
    <w:p w14:paraId="463DF805" w14:textId="174C217E" w:rsidR="001E4C48" w:rsidRPr="001E4C48" w:rsidRDefault="00D57022" w:rsidP="001C060A">
      <w:r>
        <w:rPr>
          <w:noProof/>
        </w:rPr>
        <mc:AlternateContent>
          <mc:Choice Requires="wps">
            <w:drawing>
              <wp:anchor distT="0" distB="0" distL="114300" distR="114300" simplePos="0" relativeHeight="251996244" behindDoc="0" locked="0" layoutInCell="1" allowOverlap="1" wp14:anchorId="5EAD9BB0" wp14:editId="6D0A7597">
                <wp:simplePos x="0" y="0"/>
                <wp:positionH relativeFrom="column">
                  <wp:posOffset>1009650</wp:posOffset>
                </wp:positionH>
                <wp:positionV relativeFrom="paragraph">
                  <wp:posOffset>3416300</wp:posOffset>
                </wp:positionV>
                <wp:extent cx="3895090" cy="635"/>
                <wp:effectExtent l="0" t="0" r="0" b="0"/>
                <wp:wrapTopAndBottom/>
                <wp:docPr id="957696520" name="Text Box 1"/>
                <wp:cNvGraphicFramePr/>
                <a:graphic xmlns:a="http://schemas.openxmlformats.org/drawingml/2006/main">
                  <a:graphicData uri="http://schemas.microsoft.com/office/word/2010/wordprocessingShape">
                    <wps:wsp>
                      <wps:cNvSpPr txBox="1"/>
                      <wps:spPr>
                        <a:xfrm>
                          <a:off x="0" y="0"/>
                          <a:ext cx="3895090" cy="635"/>
                        </a:xfrm>
                        <a:prstGeom prst="rect">
                          <a:avLst/>
                        </a:prstGeom>
                        <a:solidFill>
                          <a:prstClr val="white"/>
                        </a:solidFill>
                        <a:ln>
                          <a:noFill/>
                        </a:ln>
                      </wps:spPr>
                      <wps:txbx>
                        <w:txbxContent>
                          <w:p w14:paraId="16BE40FE" w14:textId="546CBA42" w:rsidR="00D57022" w:rsidRPr="00E4789C" w:rsidRDefault="00D57022" w:rsidP="00D57022">
                            <w:pPr>
                              <w:pStyle w:val="Caption"/>
                              <w:jc w:val="center"/>
                              <w:rPr>
                                <w:noProof/>
                              </w:rPr>
                            </w:pPr>
                            <w:r>
                              <w:t xml:space="preserve">Figure </w:t>
                            </w:r>
                            <w:r>
                              <w:fldChar w:fldCharType="begin"/>
                            </w:r>
                            <w:r>
                              <w:instrText xml:space="preserve"> SEQ Figure \* ARABIC </w:instrText>
                            </w:r>
                            <w:r>
                              <w:fldChar w:fldCharType="separate"/>
                            </w:r>
                            <w:r w:rsidR="00980002">
                              <w:rPr>
                                <w:noProof/>
                              </w:rPr>
                              <w:t>16</w:t>
                            </w:r>
                            <w:r>
                              <w:fldChar w:fldCharType="end"/>
                            </w:r>
                            <w:r>
                              <w:t>: Non-parametric Hypothesis Tests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AD9BB0" id="_x0000_s1092" type="#_x0000_t202" style="position:absolute;margin-left:79.5pt;margin-top:269pt;width:306.7pt;height:.05pt;z-index:251996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" stroked="f">
                <v:textbox style="mso-fit-shape-to-text:t" inset="0,0,0,0">
                  <w:txbxContent>
                    <w:p w14:paraId="16BE40FE" w14:textId="546CBA42" w:rsidR="00D57022" w:rsidRPr="00E4789C" w:rsidRDefault="00D57022" w:rsidP="00D57022">
                      <w:pPr>
                        <w:pStyle w:val="Caption"/>
                        <w:jc w:val="center"/>
                        <w:rPr>
                          <w:noProof/>
                        </w:rPr>
                      </w:pPr>
                      <w:r>
                        <w:t xml:space="preserve">Figure </w:t>
                      </w:r>
                      <w:r>
                        <w:fldChar w:fldCharType="begin"/>
                      </w:r>
                      <w:r>
                        <w:instrText xml:space="preserve"> SEQ Figure \* ARABIC </w:instrText>
                      </w:r>
                      <w:r>
                        <w:fldChar w:fldCharType="separate"/>
                      </w:r>
                      <w:r w:rsidR="00980002">
                        <w:rPr>
                          <w:noProof/>
                        </w:rPr>
                        <w:t>16</w:t>
                      </w:r>
                      <w:r>
                        <w:fldChar w:fldCharType="end"/>
                      </w:r>
                      <w:r>
                        <w:t>: Non-parametric Hypothesis Tests</w:t>
                      </w:r>
                    </w:p>
                  </w:txbxContent>
                </v:textbox>
                <w10:wrap type="topAndBottom"/>
              </v:shape>
            </w:pict>
          </mc:Fallback>
        </mc:AlternateContent>
      </w:r>
      <w:r w:rsidR="00F34124">
        <w:rPr>
          <w:noProof/>
        </w:rPr>
        <w:drawing>
          <wp:anchor distT="0" distB="0" distL="114300" distR="114300" simplePos="0" relativeHeight="251658279" behindDoc="0" locked="0" layoutInCell="1" allowOverlap="1" wp14:anchorId="1F687C7A" wp14:editId="155A7AB8">
            <wp:simplePos x="0" y="0"/>
            <wp:positionH relativeFrom="column">
              <wp:posOffset>1009650</wp:posOffset>
            </wp:positionH>
            <wp:positionV relativeFrom="paragraph">
              <wp:posOffset>826795</wp:posOffset>
            </wp:positionV>
            <wp:extent cx="3895090" cy="2532380"/>
            <wp:effectExtent l="0" t="0" r="29210" b="0"/>
            <wp:wrapTopAndBottom/>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14:sizeRelH relativeFrom="margin">
              <wp14:pctWidth>0</wp14:pctWidth>
            </wp14:sizeRelH>
            <wp14:sizeRelV relativeFrom="margin">
              <wp14:pctHeight>0</wp14:pctHeight>
            </wp14:sizeRelV>
          </wp:anchor>
        </w:drawing>
      </w:r>
      <w:r w:rsidR="001E4C48" w:rsidRPr="001E4C48">
        <w:t xml:space="preserve">When planning a hypothesis test, researchers must carefully consider the types of variables they are working with, as this determines the most appropriate statistical methods to use. </w:t>
      </w:r>
      <w:r w:rsidR="00960987">
        <w:t>The following figure</w:t>
      </w:r>
      <w:r w:rsidR="001E4C48" w:rsidRPr="001E4C48">
        <w:t xml:space="preserve"> provides a chart that helps researchers decide whether to use a parametric or nonparametric hypothesis test based on the characteristics of their dependent variable</w:t>
      </w:r>
      <w:r w:rsidR="00911E75">
        <w:t>s</w:t>
      </w:r>
      <w:r w:rsidR="001E4C48" w:rsidRPr="001E4C48">
        <w:t>.</w:t>
      </w:r>
    </w:p>
    <w:p w14:paraId="49308376" w14:textId="16E4356D" w:rsidR="004E5D7C" w:rsidRDefault="001E4C48" w:rsidP="00960987">
      <w:r w:rsidRPr="001E4C48">
        <w:t>By understanding the distinction between independent and dependent variables and selecting the appropriate hypothesis test based on the nature of these variables, researchers can effectively investigate their hypotheses and draw meaningful conclusions from their data. This process of hypothesis testing forms the foundation of the scientific method and is essential for advancing our understanding of various phenomena across diverse fields of study.</w:t>
      </w:r>
    </w:p>
    <w:p w14:paraId="05A33730" w14:textId="77777777" w:rsidR="00174EF2" w:rsidRDefault="00174EF2" w:rsidP="00174EF2">
      <w:r>
        <w:t>Parametric tests, such as t-tests and ANOVA, assume that the data follow a normal distribution. This means that the data should be symmetrically distributed around the mean, with a specific mathematical relationship between the mean, median, and mode. When these assumptions are met, parametric tests are generally more powerful than their nonparametric counterparts, meaning they are more likely to detect significant relationships or differences when they exist in the population.</w:t>
      </w:r>
    </w:p>
    <w:p w14:paraId="597077C9" w14:textId="77777777" w:rsidR="00174EF2" w:rsidRDefault="00174EF2" w:rsidP="00174EF2">
      <w:r>
        <w:t>In contrast, nonparametric tests are used when the data do not follow a normal distribution, which can occur when the data are skewed (i.e., asymmetrically distributed) or when working with qualitative variables, such as ordinal or nominal data. Nonparametric techniques often rely on the ranks of the data rather than the actual values, making them less sensitive to outliers and extreme values. However, this also means that nonparametric tests are typically less powerful than parametric tests, as they may be less likely to detect significant patterns or differences in the data.</w:t>
      </w:r>
    </w:p>
    <w:p w14:paraId="64EA8EC8" w14:textId="77777777" w:rsidR="00174EF2" w:rsidRDefault="00174EF2" w:rsidP="00174EF2">
      <w:r>
        <w:lastRenderedPageBreak/>
        <w:t>One specific nonparametric test is the chi-square test, which is used when the dependent variable is nominal (i.e., categorical with no inherent order). The chi-square test compares the observed frequencies of each category to the expected frequencies based on the null hypothesis. If the observed frequencies differ significantly from the expected frequencies, the chi-square test indicates that there is a significant association between the variables.</w:t>
      </w:r>
    </w:p>
    <w:p w14:paraId="30A281BD" w14:textId="77777777" w:rsidR="00174EF2" w:rsidRDefault="00174EF2" w:rsidP="00174EF2">
      <w:r>
        <w:t>For example, suppose a researcher wants to determine whether a coin is fair (i.e., has an equal probability of landing on "heads" or "tails"). They toss the coin 100 times and record the outcome of each toss. If the coin is fair, the expected frequency of "heads" would be 50 out of 100 tosses. However, if the observed frequency of "heads" is 75 out of 100 tosses, the chi-square test would indicate a significant difference between the observed and expected frequencies, suggesting that the coin is not fair.</w:t>
      </w:r>
    </w:p>
    <w:p w14:paraId="5327D331" w14:textId="79B1305D" w:rsidR="00A626FE" w:rsidRPr="000E309B" w:rsidRDefault="00174EF2" w:rsidP="00174EF2">
      <w:r>
        <w:t>By understanding the differences between parametric and nonparametric tests and selecting the appropriate technique based on the nature of their data and research questions, researchers can effectively analyze their data and draw meaningful conclusions. While parametric tests are generally preferred when their assumptions are met due to their increased power, nonparametric tests, such as the chi-square test, provide valuable alternatives when working with non-normally distributed or qualitative data.</w:t>
      </w:r>
    </w:p>
    <w:p w14:paraId="5327D334" w14:textId="56F27441" w:rsidR="00A626FE" w:rsidRPr="000E309B" w:rsidRDefault="00D14B33" w:rsidP="00AE7F61">
      <w:pPr>
        <w:pStyle w:val="Heading4"/>
      </w:pPr>
      <w:r w:rsidRPr="000E309B">
        <w:t>Hypothesis Test Selection</w:t>
      </w:r>
    </w:p>
    <w:p w14:paraId="50A1E00C" w14:textId="77777777" w:rsidR="005846B3" w:rsidRPr="005846B3" w:rsidRDefault="005846B3" w:rsidP="005846B3">
      <w:r w:rsidRPr="005846B3">
        <w:t>In research, investigators often seek to determine the impact of a specific treatment on an outcome or to explore the relationships between different variables. Two common research scenarios involve comparing means between groups and identifying associations or correlations between variables.</w:t>
      </w:r>
    </w:p>
    <w:p w14:paraId="258B9A9B" w14:textId="67F6763C" w:rsidR="00F23A77" w:rsidRDefault="00F23A77" w:rsidP="00F23A77">
      <w:pPr>
        <w:pStyle w:val="Heading5"/>
      </w:pPr>
      <w:r>
        <w:t>Comparing means between groups</w:t>
      </w:r>
    </w:p>
    <w:p w14:paraId="77B702C6" w14:textId="6FA02D32" w:rsidR="00F23A77" w:rsidRDefault="00F23A77" w:rsidP="00F23A77">
      <w:r>
        <w:t xml:space="preserve">When researchers hypothesize that a particular treatment will lead to an outcome, they typically design an experiment in which they apply the treatment to one group (the treatment group) and compare the results to another group that does not receive the treatment (the control group). The </w:t>
      </w:r>
      <w:r w:rsidR="002E0857">
        <w:t xml:space="preserve">following </w:t>
      </w:r>
      <w:r>
        <w:t>figure lists the statistical tests commonly used to compare means between two or more groups, depending on whether the groups are "independent" or "matched."</w:t>
      </w:r>
    </w:p>
    <w:p w14:paraId="660BD1B4" w14:textId="77777777" w:rsidR="00F23A77" w:rsidRDefault="00F23A77" w:rsidP="00F23A77">
      <w:r>
        <w:t>Independent groups have no overlapping members, meaning that each participant belongs to only one group. For example, suppose researchers want to investigate how a movie affects people's attitudes. In that case, they could survey two separate groups of people: one group leaving a theater after watching the movie and another group leaving a different theater after watching a different movie.</w:t>
      </w:r>
    </w:p>
    <w:p w14:paraId="5327D335" w14:textId="5D2F91BF" w:rsidR="00A626FE" w:rsidRDefault="00F23A77" w:rsidP="00F23A77">
      <w:r>
        <w:t xml:space="preserve">Matched groups, on the other hand, involve testing the same members twice, usually before and after a treatment or intervention. In the movie example, researchers could survey the same group of people before and after watching the movie to assess how their attitudes changed </w:t>
      </w:r>
      <w:r w:rsidR="002E0857">
        <w:t>because of</w:t>
      </w:r>
      <w:r>
        <w:t xml:space="preserve"> the viewing experience.</w:t>
      </w:r>
    </w:p>
    <w:tbl>
      <w:tblPr>
        <w:tblStyle w:val="GridTable4-Accent5"/>
        <w:tblW w:w="7804" w:type="dxa"/>
        <w:jc w:val="center"/>
        <w:tblLook w:val="04A0" w:firstRow="1" w:lastRow="0" w:firstColumn="1" w:lastColumn="0" w:noHBand="0" w:noVBand="1"/>
      </w:tblPr>
      <w:tblGrid>
        <w:gridCol w:w="2683"/>
        <w:gridCol w:w="1043"/>
        <w:gridCol w:w="969"/>
        <w:gridCol w:w="1431"/>
        <w:gridCol w:w="1678"/>
      </w:tblGrid>
      <w:tr w:rsidR="008A310F" w14:paraId="138A24A0" w14:textId="77777777" w:rsidTr="00F42A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3" w:type="dxa"/>
          </w:tcPr>
          <w:p w14:paraId="125E9D3D" w14:textId="0FA0E6A9" w:rsidR="008A310F" w:rsidRDefault="008A310F" w:rsidP="008A310F">
            <w:r>
              <w:lastRenderedPageBreak/>
              <w:t>Comparing</w:t>
            </w:r>
          </w:p>
        </w:tc>
        <w:tc>
          <w:tcPr>
            <w:tcW w:w="1043" w:type="dxa"/>
          </w:tcPr>
          <w:p w14:paraId="52C2E8BA" w14:textId="584D24A6" w:rsidR="008A310F" w:rsidRDefault="008A310F" w:rsidP="008A310F">
            <w:pPr>
              <w:cnfStyle w:val="100000000000" w:firstRow="1" w:lastRow="0" w:firstColumn="0" w:lastColumn="0" w:oddVBand="0" w:evenVBand="0" w:oddHBand="0" w:evenHBand="0" w:firstRowFirstColumn="0" w:firstRowLastColumn="0" w:lastRowFirstColumn="0" w:lastRowLastColumn="0"/>
            </w:pPr>
            <w:r>
              <w:t>Dep Var</w:t>
            </w:r>
          </w:p>
        </w:tc>
        <w:tc>
          <w:tcPr>
            <w:tcW w:w="969" w:type="dxa"/>
          </w:tcPr>
          <w:p w14:paraId="1A6710EC" w14:textId="7A8EFCFD" w:rsidR="008A310F" w:rsidRDefault="008A310F" w:rsidP="008A310F">
            <w:pPr>
              <w:cnfStyle w:val="100000000000" w:firstRow="1" w:lastRow="0" w:firstColumn="0" w:lastColumn="0" w:oddVBand="0" w:evenVBand="0" w:oddHBand="0" w:evenHBand="0" w:firstRowFirstColumn="0" w:firstRowLastColumn="0" w:lastRowFirstColumn="0" w:lastRowLastColumn="0"/>
            </w:pPr>
            <w:r>
              <w:t>Ind Var</w:t>
            </w:r>
          </w:p>
        </w:tc>
        <w:tc>
          <w:tcPr>
            <w:tcW w:w="1431" w:type="dxa"/>
          </w:tcPr>
          <w:p w14:paraId="7F00F00B" w14:textId="0F297D47" w:rsidR="008A310F" w:rsidRDefault="008A310F" w:rsidP="008A310F">
            <w:pPr>
              <w:cnfStyle w:val="100000000000" w:firstRow="1" w:lastRow="0" w:firstColumn="0" w:lastColumn="0" w:oddVBand="0" w:evenVBand="0" w:oddHBand="0" w:evenHBand="0" w:firstRowFirstColumn="0" w:firstRowLastColumn="0" w:lastRowFirstColumn="0" w:lastRowLastColumn="0"/>
            </w:pPr>
            <w:r>
              <w:t>Para</w:t>
            </w:r>
          </w:p>
        </w:tc>
        <w:tc>
          <w:tcPr>
            <w:tcW w:w="1678" w:type="dxa"/>
          </w:tcPr>
          <w:p w14:paraId="6205CCAE" w14:textId="3FA5263E" w:rsidR="008A310F" w:rsidRDefault="008A310F" w:rsidP="008A310F">
            <w:pPr>
              <w:cnfStyle w:val="100000000000" w:firstRow="1" w:lastRow="0" w:firstColumn="0" w:lastColumn="0" w:oddVBand="0" w:evenVBand="0" w:oddHBand="0" w:evenHBand="0" w:firstRowFirstColumn="0" w:firstRowLastColumn="0" w:lastRowFirstColumn="0" w:lastRowLastColumn="0"/>
            </w:pPr>
            <w:r>
              <w:t>NonPara</w:t>
            </w:r>
          </w:p>
        </w:tc>
      </w:tr>
      <w:tr w:rsidR="008A310F" w14:paraId="393DB35B" w14:textId="77777777" w:rsidTr="00F42A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3" w:type="dxa"/>
          </w:tcPr>
          <w:p w14:paraId="35ABD9CE" w14:textId="22CD1E84" w:rsidR="008A310F" w:rsidRDefault="008A310F" w:rsidP="008A310F">
            <w:r>
              <w:t>2 independent groups</w:t>
            </w:r>
          </w:p>
        </w:tc>
        <w:tc>
          <w:tcPr>
            <w:tcW w:w="1043" w:type="dxa"/>
          </w:tcPr>
          <w:p w14:paraId="1CCF78D9" w14:textId="3D9C5D9C" w:rsidR="008A310F" w:rsidRDefault="008A310F" w:rsidP="008A310F">
            <w:pPr>
              <w:cnfStyle w:val="000000100000" w:firstRow="0" w:lastRow="0" w:firstColumn="0" w:lastColumn="0" w:oddVBand="0" w:evenVBand="0" w:oddHBand="1" w:evenHBand="0" w:firstRowFirstColumn="0" w:firstRowLastColumn="0" w:lastRowFirstColumn="0" w:lastRowLastColumn="0"/>
            </w:pPr>
            <w:r>
              <w:t>Quant</w:t>
            </w:r>
          </w:p>
        </w:tc>
        <w:tc>
          <w:tcPr>
            <w:tcW w:w="969" w:type="dxa"/>
          </w:tcPr>
          <w:p w14:paraId="5E5BDB78" w14:textId="33671823" w:rsidR="008A310F" w:rsidRDefault="008A310F" w:rsidP="008A310F">
            <w:pPr>
              <w:cnfStyle w:val="000000100000" w:firstRow="0" w:lastRow="0" w:firstColumn="0" w:lastColumn="0" w:oddVBand="0" w:evenVBand="0" w:oddHBand="1" w:evenHBand="0" w:firstRowFirstColumn="0" w:firstRowLastColumn="0" w:lastRowFirstColumn="0" w:lastRowLastColumn="0"/>
            </w:pPr>
            <w:r>
              <w:t>Binary</w:t>
            </w:r>
          </w:p>
        </w:tc>
        <w:tc>
          <w:tcPr>
            <w:tcW w:w="1431" w:type="dxa"/>
          </w:tcPr>
          <w:p w14:paraId="04FF851B" w14:textId="3F42E3A0" w:rsidR="008A310F" w:rsidRDefault="008A310F" w:rsidP="008A310F">
            <w:pPr>
              <w:cnfStyle w:val="000000100000" w:firstRow="0" w:lastRow="0" w:firstColumn="0" w:lastColumn="0" w:oddVBand="0" w:evenVBand="0" w:oddHBand="1" w:evenHBand="0" w:firstRowFirstColumn="0" w:firstRowLastColumn="0" w:lastRowFirstColumn="0" w:lastRowLastColumn="0"/>
            </w:pPr>
            <w:r>
              <w:t>Indep t-test</w:t>
            </w:r>
          </w:p>
        </w:tc>
        <w:tc>
          <w:tcPr>
            <w:tcW w:w="1678" w:type="dxa"/>
          </w:tcPr>
          <w:p w14:paraId="59A20F9C" w14:textId="662A8450" w:rsidR="008A310F" w:rsidRDefault="008A310F" w:rsidP="008A310F">
            <w:pPr>
              <w:cnfStyle w:val="000000100000" w:firstRow="0" w:lastRow="0" w:firstColumn="0" w:lastColumn="0" w:oddVBand="0" w:evenVBand="0" w:oddHBand="1" w:evenHBand="0" w:firstRowFirstColumn="0" w:firstRowLastColumn="0" w:lastRowFirstColumn="0" w:lastRowLastColumn="0"/>
            </w:pPr>
            <w:r>
              <w:t>Mann-Whitney</w:t>
            </w:r>
          </w:p>
        </w:tc>
      </w:tr>
      <w:tr w:rsidR="008A310F" w14:paraId="45C1CA04" w14:textId="77777777" w:rsidTr="00F42ADE">
        <w:trPr>
          <w:jc w:val="center"/>
        </w:trPr>
        <w:tc>
          <w:tcPr>
            <w:cnfStyle w:val="001000000000" w:firstRow="0" w:lastRow="0" w:firstColumn="1" w:lastColumn="0" w:oddVBand="0" w:evenVBand="0" w:oddHBand="0" w:evenHBand="0" w:firstRowFirstColumn="0" w:firstRowLastColumn="0" w:lastRowFirstColumn="0" w:lastRowLastColumn="0"/>
            <w:tcW w:w="2683" w:type="dxa"/>
          </w:tcPr>
          <w:p w14:paraId="0F16822D" w14:textId="25D4537C" w:rsidR="008A310F" w:rsidRDefault="008A310F" w:rsidP="008A310F">
            <w:r>
              <w:t>3+ independent groups</w:t>
            </w:r>
          </w:p>
        </w:tc>
        <w:tc>
          <w:tcPr>
            <w:tcW w:w="1043" w:type="dxa"/>
          </w:tcPr>
          <w:p w14:paraId="6D8CC333" w14:textId="0856158A" w:rsidR="008A310F" w:rsidRDefault="008A310F" w:rsidP="008A310F">
            <w:pPr>
              <w:cnfStyle w:val="000000000000" w:firstRow="0" w:lastRow="0" w:firstColumn="0" w:lastColumn="0" w:oddVBand="0" w:evenVBand="0" w:oddHBand="0" w:evenHBand="0" w:firstRowFirstColumn="0" w:firstRowLastColumn="0" w:lastRowFirstColumn="0" w:lastRowLastColumn="0"/>
            </w:pPr>
            <w:r>
              <w:t>Quant</w:t>
            </w:r>
          </w:p>
        </w:tc>
        <w:tc>
          <w:tcPr>
            <w:tcW w:w="969" w:type="dxa"/>
          </w:tcPr>
          <w:p w14:paraId="4C2966F9" w14:textId="7058EC8E" w:rsidR="008A310F" w:rsidRDefault="008A310F" w:rsidP="008A310F">
            <w:pPr>
              <w:cnfStyle w:val="000000000000" w:firstRow="0" w:lastRow="0" w:firstColumn="0" w:lastColumn="0" w:oddVBand="0" w:evenVBand="0" w:oddHBand="0" w:evenHBand="0" w:firstRowFirstColumn="0" w:firstRowLastColumn="0" w:lastRowFirstColumn="0" w:lastRowLastColumn="0"/>
            </w:pPr>
            <w:r>
              <w:t>Nom</w:t>
            </w:r>
          </w:p>
        </w:tc>
        <w:tc>
          <w:tcPr>
            <w:tcW w:w="1431" w:type="dxa"/>
          </w:tcPr>
          <w:p w14:paraId="6B604A94" w14:textId="0D3EB747" w:rsidR="008A310F" w:rsidRDefault="008A310F" w:rsidP="008A310F">
            <w:pPr>
              <w:cnfStyle w:val="000000000000" w:firstRow="0" w:lastRow="0" w:firstColumn="0" w:lastColumn="0" w:oddVBand="0" w:evenVBand="0" w:oddHBand="0" w:evenHBand="0" w:firstRowFirstColumn="0" w:firstRowLastColumn="0" w:lastRowFirstColumn="0" w:lastRowLastColumn="0"/>
            </w:pPr>
            <w:r>
              <w:t>ANOVA</w:t>
            </w:r>
          </w:p>
        </w:tc>
        <w:tc>
          <w:tcPr>
            <w:tcW w:w="1678" w:type="dxa"/>
          </w:tcPr>
          <w:p w14:paraId="6819EDB9" w14:textId="6F9442DD" w:rsidR="008A310F" w:rsidRDefault="008A310F" w:rsidP="008A310F">
            <w:pPr>
              <w:cnfStyle w:val="000000000000" w:firstRow="0" w:lastRow="0" w:firstColumn="0" w:lastColumn="0" w:oddVBand="0" w:evenVBand="0" w:oddHBand="0" w:evenHBand="0" w:firstRowFirstColumn="0" w:firstRowLastColumn="0" w:lastRowFirstColumn="0" w:lastRowLastColumn="0"/>
            </w:pPr>
            <w:r>
              <w:t>Kruskal-Wallis</w:t>
            </w:r>
          </w:p>
        </w:tc>
      </w:tr>
      <w:tr w:rsidR="008A310F" w14:paraId="1A2ED335" w14:textId="77777777" w:rsidTr="00F42A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3" w:type="dxa"/>
          </w:tcPr>
          <w:p w14:paraId="366FE64D" w14:textId="1457D19D" w:rsidR="008A310F" w:rsidRDefault="00121E8F" w:rsidP="008A310F">
            <w:r>
              <w:t>2 matched groups</w:t>
            </w:r>
          </w:p>
        </w:tc>
        <w:tc>
          <w:tcPr>
            <w:tcW w:w="1043" w:type="dxa"/>
          </w:tcPr>
          <w:p w14:paraId="7DE2F28F" w14:textId="1ACA823A" w:rsidR="008A310F" w:rsidRDefault="00121E8F" w:rsidP="008A310F">
            <w:pPr>
              <w:cnfStyle w:val="000000100000" w:firstRow="0" w:lastRow="0" w:firstColumn="0" w:lastColumn="0" w:oddVBand="0" w:evenVBand="0" w:oddHBand="1" w:evenHBand="0" w:firstRowFirstColumn="0" w:firstRowLastColumn="0" w:lastRowFirstColumn="0" w:lastRowLastColumn="0"/>
            </w:pPr>
            <w:r>
              <w:t>Quant</w:t>
            </w:r>
          </w:p>
        </w:tc>
        <w:tc>
          <w:tcPr>
            <w:tcW w:w="969" w:type="dxa"/>
          </w:tcPr>
          <w:p w14:paraId="068048F2" w14:textId="70DFF938" w:rsidR="008A310F" w:rsidRDefault="00121E8F" w:rsidP="008A310F">
            <w:pPr>
              <w:cnfStyle w:val="000000100000" w:firstRow="0" w:lastRow="0" w:firstColumn="0" w:lastColumn="0" w:oddVBand="0" w:evenVBand="0" w:oddHBand="1" w:evenHBand="0" w:firstRowFirstColumn="0" w:firstRowLastColumn="0" w:lastRowFirstColumn="0" w:lastRowLastColumn="0"/>
            </w:pPr>
            <w:r>
              <w:t>Time</w:t>
            </w:r>
          </w:p>
        </w:tc>
        <w:tc>
          <w:tcPr>
            <w:tcW w:w="1431" w:type="dxa"/>
          </w:tcPr>
          <w:p w14:paraId="027B1C19" w14:textId="6F8A504A" w:rsidR="008A310F" w:rsidRDefault="00121E8F" w:rsidP="008A310F">
            <w:pPr>
              <w:cnfStyle w:val="000000100000" w:firstRow="0" w:lastRow="0" w:firstColumn="0" w:lastColumn="0" w:oddVBand="0" w:evenVBand="0" w:oddHBand="1" w:evenHBand="0" w:firstRowFirstColumn="0" w:firstRowLastColumn="0" w:lastRowFirstColumn="0" w:lastRowLastColumn="0"/>
            </w:pPr>
            <w:r>
              <w:t>Paired t-test</w:t>
            </w:r>
          </w:p>
        </w:tc>
        <w:tc>
          <w:tcPr>
            <w:tcW w:w="1678" w:type="dxa"/>
          </w:tcPr>
          <w:p w14:paraId="47F196B1" w14:textId="1D56E998" w:rsidR="008A310F" w:rsidRDefault="00121E8F" w:rsidP="008A310F">
            <w:pPr>
              <w:cnfStyle w:val="000000100000" w:firstRow="0" w:lastRow="0" w:firstColumn="0" w:lastColumn="0" w:oddVBand="0" w:evenVBand="0" w:oddHBand="1" w:evenHBand="0" w:firstRowFirstColumn="0" w:firstRowLastColumn="0" w:lastRowFirstColumn="0" w:lastRowLastColumn="0"/>
            </w:pPr>
            <w:r>
              <w:t>Wilcoxon</w:t>
            </w:r>
          </w:p>
        </w:tc>
      </w:tr>
      <w:tr w:rsidR="008A310F" w14:paraId="08649F7E" w14:textId="77777777" w:rsidTr="00F42ADE">
        <w:trPr>
          <w:jc w:val="center"/>
        </w:trPr>
        <w:tc>
          <w:tcPr>
            <w:cnfStyle w:val="001000000000" w:firstRow="0" w:lastRow="0" w:firstColumn="1" w:lastColumn="0" w:oddVBand="0" w:evenVBand="0" w:oddHBand="0" w:evenHBand="0" w:firstRowFirstColumn="0" w:firstRowLastColumn="0" w:lastRowFirstColumn="0" w:lastRowLastColumn="0"/>
            <w:tcW w:w="2683" w:type="dxa"/>
          </w:tcPr>
          <w:p w14:paraId="116946A3" w14:textId="6F341289" w:rsidR="008A310F" w:rsidRDefault="00121E8F" w:rsidP="008A310F">
            <w:r>
              <w:t>3+ measures same subject</w:t>
            </w:r>
          </w:p>
        </w:tc>
        <w:tc>
          <w:tcPr>
            <w:tcW w:w="1043" w:type="dxa"/>
          </w:tcPr>
          <w:p w14:paraId="0EC79F67" w14:textId="54A7CE34" w:rsidR="008A310F" w:rsidRDefault="00121E8F" w:rsidP="008A310F">
            <w:pPr>
              <w:cnfStyle w:val="000000000000" w:firstRow="0" w:lastRow="0" w:firstColumn="0" w:lastColumn="0" w:oddVBand="0" w:evenVBand="0" w:oddHBand="0" w:evenHBand="0" w:firstRowFirstColumn="0" w:firstRowLastColumn="0" w:lastRowFirstColumn="0" w:lastRowLastColumn="0"/>
            </w:pPr>
            <w:r>
              <w:t>Quant</w:t>
            </w:r>
          </w:p>
        </w:tc>
        <w:tc>
          <w:tcPr>
            <w:tcW w:w="969" w:type="dxa"/>
          </w:tcPr>
          <w:p w14:paraId="1B3AF123" w14:textId="03AB3AE1" w:rsidR="008A310F" w:rsidRDefault="00121E8F" w:rsidP="008A310F">
            <w:pPr>
              <w:cnfStyle w:val="000000000000" w:firstRow="0" w:lastRow="0" w:firstColumn="0" w:lastColumn="0" w:oddVBand="0" w:evenVBand="0" w:oddHBand="0" w:evenHBand="0" w:firstRowFirstColumn="0" w:firstRowLastColumn="0" w:lastRowFirstColumn="0" w:lastRowLastColumn="0"/>
            </w:pPr>
            <w:r>
              <w:t>Time</w:t>
            </w:r>
          </w:p>
        </w:tc>
        <w:tc>
          <w:tcPr>
            <w:tcW w:w="1431" w:type="dxa"/>
          </w:tcPr>
          <w:p w14:paraId="3F418077" w14:textId="3E297400" w:rsidR="008A310F" w:rsidRDefault="00121E8F" w:rsidP="008A310F">
            <w:pPr>
              <w:cnfStyle w:val="000000000000" w:firstRow="0" w:lastRow="0" w:firstColumn="0" w:lastColumn="0" w:oddVBand="0" w:evenVBand="0" w:oddHBand="0" w:evenHBand="0" w:firstRowFirstColumn="0" w:firstRowLastColumn="0" w:lastRowFirstColumn="0" w:lastRowLastColumn="0"/>
            </w:pPr>
            <w:r>
              <w:t>Rep ANOVA</w:t>
            </w:r>
          </w:p>
        </w:tc>
        <w:tc>
          <w:tcPr>
            <w:tcW w:w="1678" w:type="dxa"/>
          </w:tcPr>
          <w:p w14:paraId="4EEA2A46" w14:textId="143C07C6" w:rsidR="008A310F" w:rsidRDefault="00121E8F" w:rsidP="00F42ADE">
            <w:pPr>
              <w:keepNext/>
              <w:cnfStyle w:val="000000000000" w:firstRow="0" w:lastRow="0" w:firstColumn="0" w:lastColumn="0" w:oddVBand="0" w:evenVBand="0" w:oddHBand="0" w:evenHBand="0" w:firstRowFirstColumn="0" w:firstRowLastColumn="0" w:lastRowFirstColumn="0" w:lastRowLastColumn="0"/>
            </w:pPr>
            <w:r>
              <w:t>F</w:t>
            </w:r>
            <w:r w:rsidR="00215C6D">
              <w:t>ri</w:t>
            </w:r>
            <w:r>
              <w:t>edman</w:t>
            </w:r>
          </w:p>
        </w:tc>
      </w:tr>
    </w:tbl>
    <w:p w14:paraId="6C7EBA9E" w14:textId="4BE1545A" w:rsidR="000E309D" w:rsidRPr="000E309B" w:rsidRDefault="00F42ADE" w:rsidP="00F42ADE">
      <w:pPr>
        <w:pStyle w:val="Caption"/>
        <w:jc w:val="center"/>
      </w:pPr>
      <w:bookmarkStart w:id="83" w:name="_Ref71009339"/>
      <w:r>
        <w:t xml:space="preserve">Figure </w:t>
      </w:r>
      <w:r w:rsidR="006D77BF">
        <w:fldChar w:fldCharType="begin"/>
      </w:r>
      <w:r w:rsidR="006D77BF">
        <w:instrText xml:space="preserve"> SEQ Figure \* ARABIC </w:instrText>
      </w:r>
      <w:r w:rsidR="006D77BF">
        <w:fldChar w:fldCharType="separate"/>
      </w:r>
      <w:r w:rsidR="00980002">
        <w:rPr>
          <w:noProof/>
        </w:rPr>
        <w:t>17</w:t>
      </w:r>
      <w:r w:rsidR="006D77BF">
        <w:rPr>
          <w:noProof/>
        </w:rPr>
        <w:fldChar w:fldCharType="end"/>
      </w:r>
      <w:bookmarkEnd w:id="83"/>
      <w:r>
        <w:t>: Tests to Compare Two or More Samples</w:t>
      </w:r>
    </w:p>
    <w:p w14:paraId="4DF6758B" w14:textId="7EF04883" w:rsidR="00F0199A" w:rsidRDefault="00F0199A" w:rsidP="00F0199A">
      <w:pPr>
        <w:pStyle w:val="Heading5"/>
      </w:pPr>
      <w:r>
        <w:t>Determining associations or correlations between variables</w:t>
      </w:r>
    </w:p>
    <w:p w14:paraId="03083FC0" w14:textId="77777777" w:rsidR="00F0199A" w:rsidRDefault="00F0199A" w:rsidP="00F0199A">
      <w:r>
        <w:t>Another common research goal is to identify associations or correlations between two or more variables. A correlation indicates the strength and direction of the relationship between variables and may be used to predict an outcome for a new observation.</w:t>
      </w:r>
    </w:p>
    <w:p w14:paraId="179ACB75" w14:textId="77777777" w:rsidR="00F0199A" w:rsidRDefault="00F0199A" w:rsidP="00F0199A">
      <w:r>
        <w:t>For example, researchers might conduct an experiment in which students receive tutoring once a week and then measure the students' test scores. If the data reveals a positive correlation between "tutoring time" and "test scores," it suggests that increased tutoring time is associated with higher test scores. This correlation could potentially be used to predict a new student's test score based on the amount of tutoring they receive.</w:t>
      </w:r>
    </w:p>
    <w:p w14:paraId="5327D356" w14:textId="39DC23E3" w:rsidR="00A626FE" w:rsidRDefault="00F0199A" w:rsidP="00F0199A">
      <w:r>
        <w:t>The figure accompanying this text lists the hypothesis tests commonly used to find correlations and make predictions between two groups, depending on the nature of the variables involved (e.g., continuous, ordinal, or nominal) and the specific research question being addressed.</w:t>
      </w:r>
    </w:p>
    <w:tbl>
      <w:tblPr>
        <w:tblStyle w:val="GridTable4-Accent5"/>
        <w:tblW w:w="7195" w:type="dxa"/>
        <w:jc w:val="center"/>
        <w:tblLook w:val="04A0" w:firstRow="1" w:lastRow="0" w:firstColumn="1" w:lastColumn="0" w:noHBand="0" w:noVBand="1"/>
      </w:tblPr>
      <w:tblGrid>
        <w:gridCol w:w="1609"/>
        <w:gridCol w:w="1029"/>
        <w:gridCol w:w="982"/>
        <w:gridCol w:w="1775"/>
        <w:gridCol w:w="1800"/>
      </w:tblGrid>
      <w:tr w:rsidR="005D2D36" w14:paraId="437EA3AC" w14:textId="77777777" w:rsidTr="004338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4E0BA4D6" w14:textId="77777777" w:rsidR="005D2D36" w:rsidRDefault="005D2D36" w:rsidP="003610E3">
            <w:r>
              <w:t>Comparing</w:t>
            </w:r>
          </w:p>
        </w:tc>
        <w:tc>
          <w:tcPr>
            <w:tcW w:w="1029" w:type="dxa"/>
          </w:tcPr>
          <w:p w14:paraId="2FBF87F9" w14:textId="77777777" w:rsidR="005D2D36" w:rsidRDefault="005D2D36" w:rsidP="003610E3">
            <w:pPr>
              <w:cnfStyle w:val="100000000000" w:firstRow="1" w:lastRow="0" w:firstColumn="0" w:lastColumn="0" w:oddVBand="0" w:evenVBand="0" w:oddHBand="0" w:evenHBand="0" w:firstRowFirstColumn="0" w:firstRowLastColumn="0" w:lastRowFirstColumn="0" w:lastRowLastColumn="0"/>
            </w:pPr>
            <w:r>
              <w:t>Dep Var</w:t>
            </w:r>
          </w:p>
        </w:tc>
        <w:tc>
          <w:tcPr>
            <w:tcW w:w="982" w:type="dxa"/>
          </w:tcPr>
          <w:p w14:paraId="61D03A51" w14:textId="77777777" w:rsidR="005D2D36" w:rsidRDefault="005D2D36" w:rsidP="003610E3">
            <w:pPr>
              <w:cnfStyle w:val="100000000000" w:firstRow="1" w:lastRow="0" w:firstColumn="0" w:lastColumn="0" w:oddVBand="0" w:evenVBand="0" w:oddHBand="0" w:evenHBand="0" w:firstRowFirstColumn="0" w:firstRowLastColumn="0" w:lastRowFirstColumn="0" w:lastRowLastColumn="0"/>
            </w:pPr>
            <w:r>
              <w:t>Ind Var</w:t>
            </w:r>
          </w:p>
        </w:tc>
        <w:tc>
          <w:tcPr>
            <w:tcW w:w="1775" w:type="dxa"/>
          </w:tcPr>
          <w:p w14:paraId="0C5A0D9F" w14:textId="77777777" w:rsidR="005D2D36" w:rsidRDefault="005D2D36" w:rsidP="003610E3">
            <w:pPr>
              <w:cnfStyle w:val="100000000000" w:firstRow="1" w:lastRow="0" w:firstColumn="0" w:lastColumn="0" w:oddVBand="0" w:evenVBand="0" w:oddHBand="0" w:evenHBand="0" w:firstRowFirstColumn="0" w:firstRowLastColumn="0" w:lastRowFirstColumn="0" w:lastRowLastColumn="0"/>
            </w:pPr>
            <w:r>
              <w:t>Para</w:t>
            </w:r>
          </w:p>
        </w:tc>
        <w:tc>
          <w:tcPr>
            <w:tcW w:w="1800" w:type="dxa"/>
          </w:tcPr>
          <w:p w14:paraId="75C93838" w14:textId="77777777" w:rsidR="005D2D36" w:rsidRDefault="005D2D36" w:rsidP="003610E3">
            <w:pPr>
              <w:cnfStyle w:val="100000000000" w:firstRow="1" w:lastRow="0" w:firstColumn="0" w:lastColumn="0" w:oddVBand="0" w:evenVBand="0" w:oddHBand="0" w:evenHBand="0" w:firstRowFirstColumn="0" w:firstRowLastColumn="0" w:lastRowFirstColumn="0" w:lastRowLastColumn="0"/>
            </w:pPr>
            <w:r>
              <w:t>NonPara</w:t>
            </w:r>
          </w:p>
        </w:tc>
      </w:tr>
      <w:tr w:rsidR="005D2D36" w14:paraId="7136E1F2" w14:textId="77777777" w:rsidTr="0043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6C59C38A" w14:textId="25194003" w:rsidR="005D2D36" w:rsidRDefault="005D2D36" w:rsidP="003610E3">
            <w:r>
              <w:t xml:space="preserve">2 </w:t>
            </w:r>
            <w:r w:rsidR="00276E0C">
              <w:t>Continuous</w:t>
            </w:r>
          </w:p>
        </w:tc>
        <w:tc>
          <w:tcPr>
            <w:tcW w:w="1029" w:type="dxa"/>
          </w:tcPr>
          <w:p w14:paraId="4AAF7EF7" w14:textId="77777777" w:rsidR="005D2D36" w:rsidRDefault="005D2D36" w:rsidP="003610E3">
            <w:pPr>
              <w:cnfStyle w:val="000000100000" w:firstRow="0" w:lastRow="0" w:firstColumn="0" w:lastColumn="0" w:oddVBand="0" w:evenVBand="0" w:oddHBand="1" w:evenHBand="0" w:firstRowFirstColumn="0" w:firstRowLastColumn="0" w:lastRowFirstColumn="0" w:lastRowLastColumn="0"/>
            </w:pPr>
            <w:r>
              <w:t>Quant</w:t>
            </w:r>
          </w:p>
        </w:tc>
        <w:tc>
          <w:tcPr>
            <w:tcW w:w="982" w:type="dxa"/>
          </w:tcPr>
          <w:p w14:paraId="49A6B10E" w14:textId="577B51F2" w:rsidR="005D2D36" w:rsidRDefault="00276E0C" w:rsidP="003610E3">
            <w:pPr>
              <w:cnfStyle w:val="000000100000" w:firstRow="0" w:lastRow="0" w:firstColumn="0" w:lastColumn="0" w:oddVBand="0" w:evenVBand="0" w:oddHBand="1" w:evenHBand="0" w:firstRowFirstColumn="0" w:firstRowLastColumn="0" w:lastRowFirstColumn="0" w:lastRowLastColumn="0"/>
            </w:pPr>
            <w:r>
              <w:t>Quant</w:t>
            </w:r>
          </w:p>
        </w:tc>
        <w:tc>
          <w:tcPr>
            <w:tcW w:w="1775" w:type="dxa"/>
          </w:tcPr>
          <w:p w14:paraId="1AE3526F" w14:textId="48937466" w:rsidR="005D2D36" w:rsidRDefault="00276E0C" w:rsidP="003610E3">
            <w:pPr>
              <w:cnfStyle w:val="000000100000" w:firstRow="0" w:lastRow="0" w:firstColumn="0" w:lastColumn="0" w:oddVBand="0" w:evenVBand="0" w:oddHBand="1" w:evenHBand="0" w:firstRowFirstColumn="0" w:firstRowLastColumn="0" w:lastRowFirstColumn="0" w:lastRowLastColumn="0"/>
            </w:pPr>
            <w:r>
              <w:t>Pearson's r</w:t>
            </w:r>
          </w:p>
        </w:tc>
        <w:tc>
          <w:tcPr>
            <w:tcW w:w="1800" w:type="dxa"/>
          </w:tcPr>
          <w:p w14:paraId="1DDE38D4" w14:textId="41F06044" w:rsidR="005D2D36" w:rsidRDefault="00276E0C" w:rsidP="003610E3">
            <w:pPr>
              <w:cnfStyle w:val="000000100000" w:firstRow="0" w:lastRow="0" w:firstColumn="0" w:lastColumn="0" w:oddVBand="0" w:evenVBand="0" w:oddHBand="1" w:evenHBand="0" w:firstRowFirstColumn="0" w:firstRowLastColumn="0" w:lastRowFirstColumn="0" w:lastRowLastColumn="0"/>
            </w:pPr>
            <w:r>
              <w:t>Spearman's rho</w:t>
            </w:r>
          </w:p>
        </w:tc>
      </w:tr>
      <w:tr w:rsidR="005D2D36" w14:paraId="098D7FE9" w14:textId="77777777" w:rsidTr="004338C0">
        <w:trPr>
          <w:jc w:val="center"/>
        </w:trPr>
        <w:tc>
          <w:tcPr>
            <w:cnfStyle w:val="001000000000" w:firstRow="0" w:lastRow="0" w:firstColumn="1" w:lastColumn="0" w:oddVBand="0" w:evenVBand="0" w:oddHBand="0" w:evenHBand="0" w:firstRowFirstColumn="0" w:firstRowLastColumn="0" w:lastRowFirstColumn="0" w:lastRowLastColumn="0"/>
            <w:tcW w:w="1609" w:type="dxa"/>
          </w:tcPr>
          <w:p w14:paraId="61870550" w14:textId="17D7DEE3" w:rsidR="005D2D36" w:rsidRDefault="00276E0C" w:rsidP="003610E3">
            <w:r>
              <w:t>Prediction</w:t>
            </w:r>
          </w:p>
        </w:tc>
        <w:tc>
          <w:tcPr>
            <w:tcW w:w="1029" w:type="dxa"/>
          </w:tcPr>
          <w:p w14:paraId="13E3A668" w14:textId="77777777" w:rsidR="005D2D36" w:rsidRDefault="005D2D36" w:rsidP="003610E3">
            <w:pPr>
              <w:cnfStyle w:val="000000000000" w:firstRow="0" w:lastRow="0" w:firstColumn="0" w:lastColumn="0" w:oddVBand="0" w:evenVBand="0" w:oddHBand="0" w:evenHBand="0" w:firstRowFirstColumn="0" w:firstRowLastColumn="0" w:lastRowFirstColumn="0" w:lastRowLastColumn="0"/>
            </w:pPr>
            <w:r>
              <w:t>Quant</w:t>
            </w:r>
          </w:p>
        </w:tc>
        <w:tc>
          <w:tcPr>
            <w:tcW w:w="982" w:type="dxa"/>
          </w:tcPr>
          <w:p w14:paraId="1F739D2E" w14:textId="39181C5C" w:rsidR="005D2D36" w:rsidRDefault="00276E0C" w:rsidP="003610E3">
            <w:pPr>
              <w:cnfStyle w:val="000000000000" w:firstRow="0" w:lastRow="0" w:firstColumn="0" w:lastColumn="0" w:oddVBand="0" w:evenVBand="0" w:oddHBand="0" w:evenHBand="0" w:firstRowFirstColumn="0" w:firstRowLastColumn="0" w:lastRowFirstColumn="0" w:lastRowLastColumn="0"/>
            </w:pPr>
            <w:r>
              <w:t>Any</w:t>
            </w:r>
          </w:p>
        </w:tc>
        <w:tc>
          <w:tcPr>
            <w:tcW w:w="1775" w:type="dxa"/>
          </w:tcPr>
          <w:p w14:paraId="3161A66F" w14:textId="56BA216E" w:rsidR="005D2D36" w:rsidRDefault="001C3D42" w:rsidP="003610E3">
            <w:pPr>
              <w:cnfStyle w:val="000000000000" w:firstRow="0" w:lastRow="0" w:firstColumn="0" w:lastColumn="0" w:oddVBand="0" w:evenVBand="0" w:oddHBand="0" w:evenHBand="0" w:firstRowFirstColumn="0" w:firstRowLastColumn="0" w:lastRowFirstColumn="0" w:lastRowLastColumn="0"/>
            </w:pPr>
            <w:r>
              <w:t>Regression</w:t>
            </w:r>
          </w:p>
        </w:tc>
        <w:tc>
          <w:tcPr>
            <w:tcW w:w="1800" w:type="dxa"/>
          </w:tcPr>
          <w:p w14:paraId="0A3AB70F" w14:textId="29CDA480" w:rsidR="005D2D36" w:rsidRDefault="001C3D42" w:rsidP="003610E3">
            <w:pPr>
              <w:cnfStyle w:val="000000000000" w:firstRow="0" w:lastRow="0" w:firstColumn="0" w:lastColumn="0" w:oddVBand="0" w:evenVBand="0" w:oddHBand="0" w:evenHBand="0" w:firstRowFirstColumn="0" w:firstRowLastColumn="0" w:lastRowFirstColumn="0" w:lastRowLastColumn="0"/>
            </w:pPr>
            <w:r>
              <w:t>None</w:t>
            </w:r>
          </w:p>
        </w:tc>
      </w:tr>
      <w:tr w:rsidR="005D2D36" w14:paraId="5F88799C" w14:textId="77777777" w:rsidTr="0043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1470CFBC" w14:textId="3DA8C625" w:rsidR="005D2D36" w:rsidRDefault="00276E0C" w:rsidP="003610E3">
            <w:r>
              <w:t>Prediction</w:t>
            </w:r>
          </w:p>
        </w:tc>
        <w:tc>
          <w:tcPr>
            <w:tcW w:w="1029" w:type="dxa"/>
          </w:tcPr>
          <w:p w14:paraId="46DE1AB7" w14:textId="704BB1B2" w:rsidR="005D2D36" w:rsidRDefault="00276E0C" w:rsidP="003610E3">
            <w:pPr>
              <w:cnfStyle w:val="000000100000" w:firstRow="0" w:lastRow="0" w:firstColumn="0" w:lastColumn="0" w:oddVBand="0" w:evenVBand="0" w:oddHBand="1" w:evenHBand="0" w:firstRowFirstColumn="0" w:firstRowLastColumn="0" w:lastRowFirstColumn="0" w:lastRowLastColumn="0"/>
            </w:pPr>
            <w:r>
              <w:t>Nominal</w:t>
            </w:r>
          </w:p>
        </w:tc>
        <w:tc>
          <w:tcPr>
            <w:tcW w:w="982" w:type="dxa"/>
          </w:tcPr>
          <w:p w14:paraId="51B3B9E4" w14:textId="0964BE1B" w:rsidR="005D2D36" w:rsidRDefault="00276E0C" w:rsidP="003610E3">
            <w:pPr>
              <w:cnfStyle w:val="000000100000" w:firstRow="0" w:lastRow="0" w:firstColumn="0" w:lastColumn="0" w:oddVBand="0" w:evenVBand="0" w:oddHBand="1" w:evenHBand="0" w:firstRowFirstColumn="0" w:firstRowLastColumn="0" w:lastRowFirstColumn="0" w:lastRowLastColumn="0"/>
            </w:pPr>
            <w:r>
              <w:t>Any</w:t>
            </w:r>
          </w:p>
        </w:tc>
        <w:tc>
          <w:tcPr>
            <w:tcW w:w="1775" w:type="dxa"/>
          </w:tcPr>
          <w:p w14:paraId="76EF50BE" w14:textId="5E92AD3D" w:rsidR="005D2D36" w:rsidRDefault="001C3D42" w:rsidP="003610E3">
            <w:pPr>
              <w:cnfStyle w:val="000000100000" w:firstRow="0" w:lastRow="0" w:firstColumn="0" w:lastColumn="0" w:oddVBand="0" w:evenVBand="0" w:oddHBand="1" w:evenHBand="0" w:firstRowFirstColumn="0" w:firstRowLastColumn="0" w:lastRowFirstColumn="0" w:lastRowLastColumn="0"/>
            </w:pPr>
            <w:r>
              <w:t>Log Regression</w:t>
            </w:r>
          </w:p>
        </w:tc>
        <w:tc>
          <w:tcPr>
            <w:tcW w:w="1800" w:type="dxa"/>
          </w:tcPr>
          <w:p w14:paraId="55F97EF6" w14:textId="1846AB6A" w:rsidR="005D2D36" w:rsidRDefault="001C3D42" w:rsidP="003610E3">
            <w:pPr>
              <w:cnfStyle w:val="000000100000" w:firstRow="0" w:lastRow="0" w:firstColumn="0" w:lastColumn="0" w:oddVBand="0" w:evenVBand="0" w:oddHBand="1" w:evenHBand="0" w:firstRowFirstColumn="0" w:firstRowLastColumn="0" w:lastRowFirstColumn="0" w:lastRowLastColumn="0"/>
            </w:pPr>
            <w:r>
              <w:t>None</w:t>
            </w:r>
          </w:p>
        </w:tc>
      </w:tr>
      <w:tr w:rsidR="005D2D36" w14:paraId="1A874B03" w14:textId="77777777" w:rsidTr="004338C0">
        <w:trPr>
          <w:jc w:val="center"/>
        </w:trPr>
        <w:tc>
          <w:tcPr>
            <w:cnfStyle w:val="001000000000" w:firstRow="0" w:lastRow="0" w:firstColumn="1" w:lastColumn="0" w:oddVBand="0" w:evenVBand="0" w:oddHBand="0" w:evenHBand="0" w:firstRowFirstColumn="0" w:firstRowLastColumn="0" w:lastRowFirstColumn="0" w:lastRowLastColumn="0"/>
            <w:tcW w:w="1609" w:type="dxa"/>
          </w:tcPr>
          <w:p w14:paraId="11AE3223" w14:textId="2F440792" w:rsidR="005D2D36" w:rsidRDefault="00276E0C" w:rsidP="003610E3">
            <w:r>
              <w:t>2 Qual Vars</w:t>
            </w:r>
          </w:p>
        </w:tc>
        <w:tc>
          <w:tcPr>
            <w:tcW w:w="1029" w:type="dxa"/>
          </w:tcPr>
          <w:p w14:paraId="62C621BC" w14:textId="1822BDCC" w:rsidR="005D2D36" w:rsidRDefault="00276E0C" w:rsidP="003610E3">
            <w:pPr>
              <w:cnfStyle w:val="000000000000" w:firstRow="0" w:lastRow="0" w:firstColumn="0" w:lastColumn="0" w:oddVBand="0" w:evenVBand="0" w:oddHBand="0" w:evenHBand="0" w:firstRowFirstColumn="0" w:firstRowLastColumn="0" w:lastRowFirstColumn="0" w:lastRowLastColumn="0"/>
            </w:pPr>
            <w:r>
              <w:t>Qual</w:t>
            </w:r>
          </w:p>
        </w:tc>
        <w:tc>
          <w:tcPr>
            <w:tcW w:w="982" w:type="dxa"/>
          </w:tcPr>
          <w:p w14:paraId="66090BE7" w14:textId="3EF92CE6" w:rsidR="005D2D36" w:rsidRDefault="00276E0C" w:rsidP="003610E3">
            <w:pPr>
              <w:cnfStyle w:val="000000000000" w:firstRow="0" w:lastRow="0" w:firstColumn="0" w:lastColumn="0" w:oddVBand="0" w:evenVBand="0" w:oddHBand="0" w:evenHBand="0" w:firstRowFirstColumn="0" w:firstRowLastColumn="0" w:lastRowFirstColumn="0" w:lastRowLastColumn="0"/>
            </w:pPr>
            <w:r>
              <w:t>Qual</w:t>
            </w:r>
          </w:p>
        </w:tc>
        <w:tc>
          <w:tcPr>
            <w:tcW w:w="1775" w:type="dxa"/>
          </w:tcPr>
          <w:p w14:paraId="041A7842" w14:textId="09DF186A" w:rsidR="005D2D36" w:rsidRDefault="001C3D42" w:rsidP="003610E3">
            <w:pPr>
              <w:cnfStyle w:val="000000000000" w:firstRow="0" w:lastRow="0" w:firstColumn="0" w:lastColumn="0" w:oddVBand="0" w:evenVBand="0" w:oddHBand="0" w:evenHBand="0" w:firstRowFirstColumn="0" w:firstRowLastColumn="0" w:lastRowFirstColumn="0" w:lastRowLastColumn="0"/>
            </w:pPr>
            <w:r>
              <w:t>None</w:t>
            </w:r>
          </w:p>
        </w:tc>
        <w:tc>
          <w:tcPr>
            <w:tcW w:w="1800" w:type="dxa"/>
          </w:tcPr>
          <w:p w14:paraId="06843F91" w14:textId="6FB94E95" w:rsidR="005D2D36" w:rsidRDefault="001C3D42" w:rsidP="00A14EFF">
            <w:pPr>
              <w:keepNext/>
              <w:cnfStyle w:val="000000000000" w:firstRow="0" w:lastRow="0" w:firstColumn="0" w:lastColumn="0" w:oddVBand="0" w:evenVBand="0" w:oddHBand="0" w:evenHBand="0" w:firstRowFirstColumn="0" w:firstRowLastColumn="0" w:lastRowFirstColumn="0" w:lastRowLastColumn="0"/>
            </w:pPr>
            <w:r>
              <w:t>Chi-square</w:t>
            </w:r>
          </w:p>
        </w:tc>
      </w:tr>
    </w:tbl>
    <w:p w14:paraId="532C0771" w14:textId="3A513E89" w:rsidR="005D2D36" w:rsidRDefault="00A14EFF" w:rsidP="00A14EFF">
      <w:pPr>
        <w:pStyle w:val="Caption"/>
        <w:jc w:val="center"/>
      </w:pPr>
      <w:bookmarkStart w:id="84" w:name="_Ref71009435"/>
      <w:r>
        <w:t xml:space="preserve">Figure </w:t>
      </w:r>
      <w:r w:rsidR="006D77BF">
        <w:fldChar w:fldCharType="begin"/>
      </w:r>
      <w:r w:rsidR="006D77BF">
        <w:instrText xml:space="preserve"> SEQ Figure \* ARABIC </w:instrText>
      </w:r>
      <w:r w:rsidR="006D77BF">
        <w:fldChar w:fldCharType="separate"/>
      </w:r>
      <w:r w:rsidR="00980002">
        <w:rPr>
          <w:noProof/>
        </w:rPr>
        <w:t>18</w:t>
      </w:r>
      <w:r w:rsidR="006D77BF">
        <w:rPr>
          <w:noProof/>
        </w:rPr>
        <w:fldChar w:fldCharType="end"/>
      </w:r>
      <w:bookmarkEnd w:id="84"/>
      <w:r>
        <w:t xml:space="preserve">: </w:t>
      </w:r>
      <w:r w:rsidRPr="005932FF">
        <w:t>Tests of Association Between Two Samples</w:t>
      </w:r>
    </w:p>
    <w:p w14:paraId="63374030" w14:textId="3190CDCE" w:rsidR="00F0199A" w:rsidRDefault="00DF4FD0" w:rsidP="00F0199A">
      <w:r>
        <w:t>By understanding these common research scenarios and selecting the appropriate statistical tests based on the characteristics of their data and research design, investigators can effectively analyze their results and draw meaningful conclusions about the relationships between variables and the impact of interventions on outcomes. This knowledge is essential for advancing our understanding of various phenomena and informing evidence-based decision-making across diverse fields of study.</w:t>
      </w:r>
    </w:p>
    <w:p w14:paraId="5327D374" w14:textId="3EDA9948" w:rsidR="00A626FE" w:rsidRPr="000E309B" w:rsidRDefault="004D34C9" w:rsidP="004D34C9">
      <w:pPr>
        <w:pStyle w:val="Heading3"/>
      </w:pPr>
      <w:bookmarkStart w:id="85" w:name="_Toc169156730"/>
      <w:r>
        <w:t>S</w:t>
      </w:r>
      <w:r w:rsidR="00D14B33" w:rsidRPr="000E309B">
        <w:t xml:space="preserve">tatistical </w:t>
      </w:r>
      <w:r>
        <w:t>T</w:t>
      </w:r>
      <w:r w:rsidR="00D14B33" w:rsidRPr="000E309B">
        <w:t xml:space="preserve">est </w:t>
      </w:r>
      <w:r>
        <w:t>S</w:t>
      </w:r>
      <w:r w:rsidR="00D14B33" w:rsidRPr="000E309B">
        <w:t>ampler</w:t>
      </w:r>
      <w:bookmarkEnd w:id="85"/>
    </w:p>
    <w:p w14:paraId="5327D375" w14:textId="77777777" w:rsidR="00A626FE" w:rsidRPr="000E309B" w:rsidRDefault="00D14B33" w:rsidP="00DF4FD0">
      <w:r w:rsidRPr="000E309B">
        <w:t>While there are hundreds of statistical procedures available, this section covers those that are commonly used.</w:t>
      </w:r>
    </w:p>
    <w:p w14:paraId="5327D376" w14:textId="2E62B4A3" w:rsidR="00A626FE" w:rsidRPr="000E309B" w:rsidRDefault="00D14B33" w:rsidP="00AE7F61">
      <w:pPr>
        <w:pStyle w:val="Heading4"/>
      </w:pPr>
      <w:r w:rsidRPr="000E309B">
        <w:lastRenderedPageBreak/>
        <w:t>Central Measures</w:t>
      </w:r>
    </w:p>
    <w:p w14:paraId="1CED74C0" w14:textId="77777777" w:rsidR="004B42BF" w:rsidRDefault="004B42BF" w:rsidP="004B42BF">
      <w:r>
        <w:t>When summarizing data, researchers often use measures of central tendency to describe the typical or central value of a dataset. The three most common measures are the mean, median, and mode, each of which is suitable for different types of data and research questions. Due to the complexity of some calculations, these values are usually computed using statistical software.</w:t>
      </w:r>
    </w:p>
    <w:p w14:paraId="31C350A8" w14:textId="77777777" w:rsidR="004B42BF" w:rsidRDefault="004B42BF" w:rsidP="004B42BF">
      <w:pPr>
        <w:pStyle w:val="Heading5"/>
      </w:pPr>
      <w:r>
        <w:t>Mean</w:t>
      </w:r>
    </w:p>
    <w:p w14:paraId="2CFA1992" w14:textId="77777777" w:rsidR="004B42BF" w:rsidRDefault="004B42BF" w:rsidP="004B42BF">
      <w:r>
        <w:t>The mean is the most widely used measure of central tendency and is often referred to as the "average." There are three types of means:</w:t>
      </w:r>
    </w:p>
    <w:p w14:paraId="11B3B608" w14:textId="03FACE8C" w:rsidR="004B42BF" w:rsidRDefault="004B42BF" w:rsidP="00F247D5">
      <w:pPr>
        <w:pStyle w:val="ListParagraph"/>
        <w:numPr>
          <w:ilvl w:val="0"/>
          <w:numId w:val="246"/>
        </w:numPr>
      </w:pPr>
      <w:r w:rsidRPr="00D04CF7">
        <w:rPr>
          <w:b/>
          <w:bCs/>
        </w:rPr>
        <w:t>Arithmetic mean</w:t>
      </w:r>
      <w:r>
        <w:t>: Calculated by adding all the values in a dataset and dividing by the number of terms. This is the most common type of mean and is appropriate for data that are normally distributed and have no extreme outliers.</w:t>
      </w:r>
    </w:p>
    <w:p w14:paraId="5D762D41" w14:textId="316CD592" w:rsidR="004B42BF" w:rsidRDefault="004B42BF" w:rsidP="00F247D5">
      <w:pPr>
        <w:pStyle w:val="ListParagraph"/>
        <w:numPr>
          <w:ilvl w:val="0"/>
          <w:numId w:val="246"/>
        </w:numPr>
      </w:pPr>
      <w:r w:rsidRPr="00D04CF7">
        <w:rPr>
          <w:b/>
          <w:bCs/>
        </w:rPr>
        <w:t>Geometric mean</w:t>
      </w:r>
      <w:r>
        <w:t>: Used when the terms in a dataset have widely different values. It is calculated by multiplying all the values together and then taking the n-root of the product, where "n" is the number of terms. The geometric mean is less affected by extreme values than the arithmetic mean.</w:t>
      </w:r>
    </w:p>
    <w:p w14:paraId="02A24E17" w14:textId="29184C6F" w:rsidR="004B42BF" w:rsidRDefault="004B42BF" w:rsidP="00F247D5">
      <w:pPr>
        <w:pStyle w:val="ListParagraph"/>
        <w:numPr>
          <w:ilvl w:val="0"/>
          <w:numId w:val="246"/>
        </w:numPr>
      </w:pPr>
      <w:r w:rsidRPr="00D04CF7">
        <w:rPr>
          <w:b/>
          <w:bCs/>
        </w:rPr>
        <w:t>Harmonic mean</w:t>
      </w:r>
      <w:r>
        <w:t>: Used when calculating the mean of a series of rates. To find the harmonic mean, each term is reciprocated, the arithmetic mean of the reciprocated terms is calculated, and then the result is reciprocated.</w:t>
      </w:r>
    </w:p>
    <w:p w14:paraId="6C372FEE" w14:textId="77777777" w:rsidR="004B42BF" w:rsidRDefault="004B42BF" w:rsidP="00F247D5">
      <w:pPr>
        <w:pStyle w:val="Heading5"/>
      </w:pPr>
      <w:r>
        <w:t>Median</w:t>
      </w:r>
    </w:p>
    <w:p w14:paraId="1C36B666" w14:textId="77777777" w:rsidR="004B42BF" w:rsidRDefault="004B42BF" w:rsidP="004B42BF">
      <w:r>
        <w:t>The median is the middle value when the terms in a dataset are arranged in numeric order. It is particularly useful when the dataset contains outliers, as it is less affected by extreme values than the mean. For example, when reporting house values in an area, the median is often used because a few newer houses may have much higher values than the older houses, which could skew the mean. If there is an even number of terms, the median is calculated by taking the arithmetic mean of the two middle values.</w:t>
      </w:r>
    </w:p>
    <w:p w14:paraId="720399B2" w14:textId="77777777" w:rsidR="004B42BF" w:rsidRDefault="004B42BF" w:rsidP="00F247D5">
      <w:pPr>
        <w:pStyle w:val="Heading5"/>
      </w:pPr>
      <w:r>
        <w:t>Mode</w:t>
      </w:r>
    </w:p>
    <w:p w14:paraId="0F2C3030" w14:textId="77777777" w:rsidR="004B42BF" w:rsidRDefault="004B42BF" w:rsidP="004B42BF">
      <w:r>
        <w:t>The mode is used for nominal or categorical data and represents the most frequently occurring value in the dataset. For example, if a researcher counts the number of undergraduate students in each class year and finds that there are more seniors than any other group, the mode would be "senior."</w:t>
      </w:r>
    </w:p>
    <w:p w14:paraId="5327D37A" w14:textId="3DF06BDA" w:rsidR="00A626FE" w:rsidRPr="000E309B" w:rsidRDefault="004B42BF" w:rsidP="004B42BF">
      <w:r>
        <w:t>By understanding the properties and appropriate use cases for each measure of central tendency, researchers can effectively summarize and communicate the key characteristics of their data. It is important to select the measure that best represents the central value of the dataset while considering the nature of the data and the presence of outliers or extreme values. This knowledge is essential for accurately interpreting and reporting research findings across various fields of study.</w:t>
      </w:r>
    </w:p>
    <w:p w14:paraId="5327D37B" w14:textId="2509026A" w:rsidR="00A626FE" w:rsidRPr="000E309B" w:rsidRDefault="00D14B33" w:rsidP="00AE7F61">
      <w:pPr>
        <w:pStyle w:val="Heading4"/>
      </w:pPr>
      <w:r w:rsidRPr="000E309B">
        <w:lastRenderedPageBreak/>
        <w:t>Spread</w:t>
      </w:r>
    </w:p>
    <w:p w14:paraId="656B9FA7" w14:textId="6CB18D72" w:rsidR="00431DF2" w:rsidRDefault="00431DF2" w:rsidP="00431DF2">
      <w:r>
        <w:t xml:space="preserve">In addition to measures of central tendency, researchers often use measures of spread to describe the variability or dispersion of a dataset. Two commonly used measures of spread are </w:t>
      </w:r>
      <w:r w:rsidR="005E695E">
        <w:t>range</w:t>
      </w:r>
      <w:r>
        <w:t xml:space="preserve"> and standard deviation.</w:t>
      </w:r>
    </w:p>
    <w:p w14:paraId="4F027884" w14:textId="77777777" w:rsidR="00431DF2" w:rsidRDefault="00431DF2" w:rsidP="00431DF2">
      <w:pPr>
        <w:pStyle w:val="Heading5"/>
      </w:pPr>
      <w:r>
        <w:t>Range</w:t>
      </w:r>
    </w:p>
    <w:p w14:paraId="2CD64E79" w14:textId="77777777" w:rsidR="00431DF2" w:rsidRDefault="00431DF2" w:rsidP="00431DF2">
      <w:r>
        <w:t>The range, also known as the "dispersion," is the simplest measure of spread and represents the difference between the highest and lowest values in a dataset. To calculate the range, subtract the minimum value from the maximum value.</w:t>
      </w:r>
    </w:p>
    <w:p w14:paraId="348D4EBA" w14:textId="77777777" w:rsidR="00431DF2" w:rsidRDefault="00431DF2" w:rsidP="00431DF2">
      <w:r>
        <w:t>For example, if a survey collected data on respondents' ages and found that the oldest person was 70 years old and the youngest was 30 years old, the range would be:</w:t>
      </w:r>
    </w:p>
    <w:p w14:paraId="481A6C87" w14:textId="77777777" w:rsidR="00431DF2" w:rsidRPr="00194F51" w:rsidRDefault="00431DF2" w:rsidP="00194F51">
      <w:pPr>
        <w:pStyle w:val="NoSpacing"/>
        <w:ind w:left="720"/>
        <w:rPr>
          <w:rFonts w:ascii="Aptos" w:hAnsi="Aptos"/>
        </w:rPr>
      </w:pPr>
      <w:r w:rsidRPr="00194F51">
        <w:rPr>
          <w:rFonts w:ascii="Aptos" w:hAnsi="Aptos"/>
        </w:rPr>
        <w:t>Range = Maximum value - Minimum value</w:t>
      </w:r>
    </w:p>
    <w:p w14:paraId="38C25C46" w14:textId="77777777" w:rsidR="00431DF2" w:rsidRDefault="00431DF2" w:rsidP="00431DF2">
      <w:pPr>
        <w:ind w:left="720"/>
      </w:pPr>
      <w:r>
        <w:t>Range = 70 - 30 = 40</w:t>
      </w:r>
    </w:p>
    <w:p w14:paraId="1889C7B4" w14:textId="77777777" w:rsidR="00431DF2" w:rsidRDefault="00431DF2" w:rsidP="00431DF2">
      <w:r>
        <w:t>This means that the ages of the respondents in the survey varied by 40 years.</w:t>
      </w:r>
    </w:p>
    <w:p w14:paraId="5243254B" w14:textId="77777777" w:rsidR="00431DF2" w:rsidRDefault="00431DF2" w:rsidP="00F436DA">
      <w:pPr>
        <w:pStyle w:val="Heading5"/>
      </w:pPr>
      <w:r>
        <w:t>Standard deviation</w:t>
      </w:r>
    </w:p>
    <w:p w14:paraId="74FA8815" w14:textId="77777777" w:rsidR="00431DF2" w:rsidRDefault="00431DF2" w:rsidP="00431DF2">
      <w:r>
        <w:t>The standard deviation is a more complex measure of spread that indicates how much variation exists in the data or how "scattered out" the values are. It is calculated by taking the square root of the variance, which is the average of the squared differences from the mean.</w:t>
      </w:r>
    </w:p>
    <w:p w14:paraId="4A4385AA" w14:textId="77777777" w:rsidR="00431DF2" w:rsidRDefault="00431DF2" w:rsidP="00431DF2">
      <w:r>
        <w:t>A larger standard deviation implies that the data points are more spread out from the mean, while a smaller standard deviation suggests that the data points are more tightly clustered around the mean.</w:t>
      </w:r>
    </w:p>
    <w:p w14:paraId="0B8AD3C6" w14:textId="77777777" w:rsidR="00431DF2" w:rsidRDefault="00431DF2" w:rsidP="00431DF2">
      <w:r>
        <w:t>For example, consider a professor who administers the same examination to two different groups of students. In the first group, the mean score is 70% with a standard deviation of 15, while in the second group, the mean score is 85% with a standard deviation of 5.</w:t>
      </w:r>
    </w:p>
    <w:p w14:paraId="40C8B9C7" w14:textId="77777777" w:rsidR="00431DF2" w:rsidRDefault="00431DF2" w:rsidP="00431DF2">
      <w:r>
        <w:t>These results indicate that not only did the second group perform better on average (with a higher mean score), but their scores were also more consistent and less variable (with a lower standard deviation). In other words, the second group's scores were grouped more "tightly" around the mean, which is likely a desirable outcome for the professor.</w:t>
      </w:r>
    </w:p>
    <w:p w14:paraId="5327D37E" w14:textId="6448A706" w:rsidR="00A626FE" w:rsidRPr="000E309B" w:rsidRDefault="00431DF2" w:rsidP="00431DF2">
      <w:r>
        <w:t>By understanding and utilizing measures of spread, such as the range and standard deviation, researchers can provide a more comprehensive description of their data and better communicate the variability or consistency of their findings. This information is crucial for interpreting results, comparing groups, and making informed decisions based on the data. When reporting research findings, it is often useful to present both measures of central tendency and measures of spread to give readers a clear picture of the data's distribution and characteristics.</w:t>
      </w:r>
    </w:p>
    <w:p w14:paraId="5327D37F" w14:textId="65AE75D2" w:rsidR="00A626FE" w:rsidRPr="000E309B" w:rsidRDefault="00D14B33" w:rsidP="00AE7F61">
      <w:pPr>
        <w:pStyle w:val="Heading4"/>
      </w:pPr>
      <w:r w:rsidRPr="000E309B">
        <w:lastRenderedPageBreak/>
        <w:t>Frequency Tables</w:t>
      </w:r>
    </w:p>
    <w:p w14:paraId="59562DFC" w14:textId="77777777" w:rsidR="001E2B0E" w:rsidRDefault="001E2B0E" w:rsidP="001E2B0E">
      <w:r>
        <w:t>When working with discrete or qualitative data, researchers often use frequency tables to present the distribution of the data across different categories. A frequency table displays the count or frequency of each unique value or category in the dataset.</w:t>
      </w:r>
    </w:p>
    <w:p w14:paraId="1ABAC390" w14:textId="56A0A648" w:rsidR="001E2B0E" w:rsidRDefault="001E2B0E" w:rsidP="001E2B0E">
      <w:r>
        <w:t>For example, consider a survey that asks respondents about their favorite color. A frequency table for this data might look like this:</w:t>
      </w:r>
    </w:p>
    <w:tbl>
      <w:tblPr>
        <w:tblStyle w:val="ListTable4-Accent3"/>
        <w:tblW w:w="0" w:type="auto"/>
        <w:jc w:val="center"/>
        <w:tblLook w:val="04A0" w:firstRow="1" w:lastRow="0" w:firstColumn="1" w:lastColumn="0" w:noHBand="0" w:noVBand="1"/>
      </w:tblPr>
      <w:tblGrid>
        <w:gridCol w:w="1009"/>
        <w:gridCol w:w="1392"/>
      </w:tblGrid>
      <w:tr w:rsidR="00404110" w14:paraId="7BD8351D" w14:textId="77777777" w:rsidTr="005D22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9" w:type="dxa"/>
          </w:tcPr>
          <w:p w14:paraId="78E7A094" w14:textId="4133CD94" w:rsidR="00404110" w:rsidRDefault="00404110" w:rsidP="007C1936">
            <w:r>
              <w:t>Color</w:t>
            </w:r>
          </w:p>
        </w:tc>
        <w:tc>
          <w:tcPr>
            <w:tcW w:w="1392" w:type="dxa"/>
          </w:tcPr>
          <w:p w14:paraId="69083B4F" w14:textId="5C855B99" w:rsidR="00404110" w:rsidRDefault="00404110" w:rsidP="007C1936">
            <w:pPr>
              <w:cnfStyle w:val="100000000000" w:firstRow="1" w:lastRow="0" w:firstColumn="0" w:lastColumn="0" w:oddVBand="0" w:evenVBand="0" w:oddHBand="0" w:evenHBand="0" w:firstRowFirstColumn="0" w:firstRowLastColumn="0" w:lastRowFirstColumn="0" w:lastRowLastColumn="0"/>
            </w:pPr>
            <w:r>
              <w:t>Frequency</w:t>
            </w:r>
          </w:p>
        </w:tc>
      </w:tr>
      <w:tr w:rsidR="00404110" w14:paraId="46A7A36F" w14:textId="77777777" w:rsidTr="005D22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9" w:type="dxa"/>
          </w:tcPr>
          <w:p w14:paraId="307A9D8F" w14:textId="61478EC1" w:rsidR="00404110" w:rsidRDefault="00404110" w:rsidP="007C1936">
            <w:r>
              <w:t>Blue</w:t>
            </w:r>
          </w:p>
        </w:tc>
        <w:tc>
          <w:tcPr>
            <w:tcW w:w="1392" w:type="dxa"/>
          </w:tcPr>
          <w:p w14:paraId="6AFB52E2" w14:textId="57ED5FC8" w:rsidR="00404110" w:rsidRDefault="00404110" w:rsidP="007C1936">
            <w:pPr>
              <w:cnfStyle w:val="000000100000" w:firstRow="0" w:lastRow="0" w:firstColumn="0" w:lastColumn="0" w:oddVBand="0" w:evenVBand="0" w:oddHBand="1" w:evenHBand="0" w:firstRowFirstColumn="0" w:firstRowLastColumn="0" w:lastRowFirstColumn="0" w:lastRowLastColumn="0"/>
            </w:pPr>
            <w:r>
              <w:t>25</w:t>
            </w:r>
          </w:p>
        </w:tc>
      </w:tr>
      <w:tr w:rsidR="00404110" w14:paraId="1966EBBA" w14:textId="77777777" w:rsidTr="005D22A0">
        <w:trPr>
          <w:jc w:val="center"/>
        </w:trPr>
        <w:tc>
          <w:tcPr>
            <w:cnfStyle w:val="001000000000" w:firstRow="0" w:lastRow="0" w:firstColumn="1" w:lastColumn="0" w:oddVBand="0" w:evenVBand="0" w:oddHBand="0" w:evenHBand="0" w:firstRowFirstColumn="0" w:firstRowLastColumn="0" w:lastRowFirstColumn="0" w:lastRowLastColumn="0"/>
            <w:tcW w:w="1009" w:type="dxa"/>
          </w:tcPr>
          <w:p w14:paraId="2835B291" w14:textId="3F437DF9" w:rsidR="00404110" w:rsidRDefault="00404110" w:rsidP="007C1936">
            <w:r>
              <w:t>Green</w:t>
            </w:r>
          </w:p>
        </w:tc>
        <w:tc>
          <w:tcPr>
            <w:tcW w:w="1392" w:type="dxa"/>
          </w:tcPr>
          <w:p w14:paraId="2F1024F7" w14:textId="2FFEE5DA" w:rsidR="00404110" w:rsidRDefault="00404110" w:rsidP="007C1936">
            <w:pPr>
              <w:cnfStyle w:val="000000000000" w:firstRow="0" w:lastRow="0" w:firstColumn="0" w:lastColumn="0" w:oddVBand="0" w:evenVBand="0" w:oddHBand="0" w:evenHBand="0" w:firstRowFirstColumn="0" w:firstRowLastColumn="0" w:lastRowFirstColumn="0" w:lastRowLastColumn="0"/>
            </w:pPr>
            <w:r>
              <w:t>18</w:t>
            </w:r>
          </w:p>
        </w:tc>
      </w:tr>
      <w:tr w:rsidR="00404110" w14:paraId="33FF93A3" w14:textId="77777777" w:rsidTr="005D22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9" w:type="dxa"/>
          </w:tcPr>
          <w:p w14:paraId="1C6E09CD" w14:textId="3F95E270" w:rsidR="00404110" w:rsidRDefault="00404110" w:rsidP="007C1936">
            <w:r>
              <w:t>Red</w:t>
            </w:r>
          </w:p>
        </w:tc>
        <w:tc>
          <w:tcPr>
            <w:tcW w:w="1392" w:type="dxa"/>
          </w:tcPr>
          <w:p w14:paraId="447ABF09" w14:textId="0FB27F1D" w:rsidR="00404110" w:rsidRDefault="00404110" w:rsidP="007C1936">
            <w:pPr>
              <w:cnfStyle w:val="000000100000" w:firstRow="0" w:lastRow="0" w:firstColumn="0" w:lastColumn="0" w:oddVBand="0" w:evenVBand="0" w:oddHBand="1" w:evenHBand="0" w:firstRowFirstColumn="0" w:firstRowLastColumn="0" w:lastRowFirstColumn="0" w:lastRowLastColumn="0"/>
            </w:pPr>
            <w:r>
              <w:t>20</w:t>
            </w:r>
          </w:p>
        </w:tc>
      </w:tr>
      <w:tr w:rsidR="00404110" w14:paraId="13FEC004" w14:textId="77777777" w:rsidTr="005D22A0">
        <w:trPr>
          <w:jc w:val="center"/>
        </w:trPr>
        <w:tc>
          <w:tcPr>
            <w:cnfStyle w:val="001000000000" w:firstRow="0" w:lastRow="0" w:firstColumn="1" w:lastColumn="0" w:oddVBand="0" w:evenVBand="0" w:oddHBand="0" w:evenHBand="0" w:firstRowFirstColumn="0" w:firstRowLastColumn="0" w:lastRowFirstColumn="0" w:lastRowLastColumn="0"/>
            <w:tcW w:w="1009" w:type="dxa"/>
          </w:tcPr>
          <w:p w14:paraId="186B1CFA" w14:textId="09375B30" w:rsidR="00404110" w:rsidRDefault="00404110" w:rsidP="007C1936">
            <w:r>
              <w:t>Yellow</w:t>
            </w:r>
          </w:p>
        </w:tc>
        <w:tc>
          <w:tcPr>
            <w:tcW w:w="1392" w:type="dxa"/>
          </w:tcPr>
          <w:p w14:paraId="60436175" w14:textId="636E9A9F" w:rsidR="00404110" w:rsidRDefault="00404110" w:rsidP="007C1936">
            <w:pPr>
              <w:cnfStyle w:val="000000000000" w:firstRow="0" w:lastRow="0" w:firstColumn="0" w:lastColumn="0" w:oddVBand="0" w:evenVBand="0" w:oddHBand="0" w:evenHBand="0" w:firstRowFirstColumn="0" w:firstRowLastColumn="0" w:lastRowFirstColumn="0" w:lastRowLastColumn="0"/>
            </w:pPr>
            <w:r>
              <w:t>12</w:t>
            </w:r>
          </w:p>
        </w:tc>
      </w:tr>
    </w:tbl>
    <w:p w14:paraId="4FA6B767" w14:textId="77777777" w:rsidR="00AA29EA" w:rsidRDefault="00AA29EA" w:rsidP="00AA29EA">
      <w:pPr>
        <w:pStyle w:val="NoSpacing"/>
      </w:pPr>
    </w:p>
    <w:p w14:paraId="72F5974A" w14:textId="2C0ED24E" w:rsidR="00F96562" w:rsidRDefault="00F96562" w:rsidP="00F96562">
      <w:r>
        <w:t>In this table, each color is listed along with the number of respondents who selected that color as their favorite.</w:t>
      </w:r>
    </w:p>
    <w:p w14:paraId="3EA6747C" w14:textId="15C132F7" w:rsidR="00F96562" w:rsidRDefault="00F96562" w:rsidP="00F96562">
      <w:r>
        <w:t>When a frequency table has two dimensions, it is often referred to as a "crosstab" or "pivot table." These tables allow researchers to examine the relationship between two categorical variables by displaying the frequencies or counts of each combination of categories.</w:t>
      </w:r>
    </w:p>
    <w:p w14:paraId="423429C3" w14:textId="3D250656" w:rsidR="00F96562" w:rsidRDefault="00F96562" w:rsidP="00F96562">
      <w:r>
        <w:t>The following figure contains an exit poll from the 2016 presidential election</w:t>
      </w:r>
      <w:r w:rsidR="00AD7777">
        <w:t xml:space="preserve"> </w:t>
      </w:r>
      <w:r w:rsidR="00AD7777">
        <w:fldChar w:fldCharType="begin"/>
      </w:r>
      <w:r w:rsidR="007C07B4">
        <w:instrText xml:space="preserve"> ADDIN ZOTERO_ITEM CSL_CITATION {"citationID":"a5f7kaqtvm","properties":{"formattedCitation":"[65]","plainCitation":"[65]","noteIndex":0},"citationItems":[{"id":193,"uris":["http://zotero.org/users/5015692/items/34XFEXRV"],"itemData":{"id":193,"type":"webpage","title":"Election 2016","URL":"https://www.cnn.com/election/2016/results/exit-polls","author":[{"family":"Politics","given":"C. N. N."}],"accessed":{"date-parts":[["2018",12,23]]},"issued":{"date-parts":[["2016"]]}}}],"schema":"https://github.com/citation-style-language/schema/raw/master/csl-citation.json"} </w:instrText>
      </w:r>
      <w:r w:rsidR="00AD7777">
        <w:fldChar w:fldCharType="separate"/>
      </w:r>
      <w:r w:rsidR="007C07B4" w:rsidRPr="007C07B4">
        <w:t>[65]</w:t>
      </w:r>
      <w:r w:rsidR="00AD7777">
        <w:fldChar w:fldCharType="end"/>
      </w:r>
      <w:r>
        <w:t xml:space="preserve">. </w:t>
      </w:r>
      <w:r w:rsidR="00245AC7">
        <w:t xml:space="preserve">This crosstab </w:t>
      </w:r>
      <w:r w:rsidR="00EB1E6A">
        <w:t xml:space="preserve">contains the number of voters for each candidate </w:t>
      </w:r>
      <w:r>
        <w:t xml:space="preserve">broken down by </w:t>
      </w:r>
      <w:r w:rsidR="00BC5EB1">
        <w:t>various factors</w:t>
      </w:r>
      <w:r>
        <w:t>.</w:t>
      </w:r>
    </w:p>
    <w:tbl>
      <w:tblPr>
        <w:tblStyle w:val="GridTable4-Accent5"/>
        <w:tblW w:w="4855" w:type="dxa"/>
        <w:jc w:val="center"/>
        <w:tblLook w:val="04A0" w:firstRow="1" w:lastRow="0" w:firstColumn="1" w:lastColumn="0" w:noHBand="0" w:noVBand="1"/>
      </w:tblPr>
      <w:tblGrid>
        <w:gridCol w:w="1609"/>
        <w:gridCol w:w="1073"/>
        <w:gridCol w:w="978"/>
        <w:gridCol w:w="1195"/>
      </w:tblGrid>
      <w:tr w:rsidR="00B50A5C" w14:paraId="305470D7" w14:textId="77777777" w:rsidTr="00CB4D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16CD99AD" w14:textId="6A4A293B" w:rsidR="00B50A5C" w:rsidRDefault="00187D80" w:rsidP="005E106F">
            <w:r>
              <w:t>Factor</w:t>
            </w:r>
          </w:p>
        </w:tc>
        <w:tc>
          <w:tcPr>
            <w:tcW w:w="1073" w:type="dxa"/>
          </w:tcPr>
          <w:p w14:paraId="688D3060" w14:textId="77777777" w:rsidR="00B50A5C" w:rsidRDefault="00B50A5C" w:rsidP="00CB4D7C">
            <w:pPr>
              <w:jc w:val="center"/>
              <w:cnfStyle w:val="100000000000" w:firstRow="1" w:lastRow="0" w:firstColumn="0" w:lastColumn="0" w:oddVBand="0" w:evenVBand="0" w:oddHBand="0" w:evenHBand="0" w:firstRowFirstColumn="0" w:firstRowLastColumn="0" w:lastRowFirstColumn="0" w:lastRowLastColumn="0"/>
            </w:pPr>
            <w:r>
              <w:t>Clinton</w:t>
            </w:r>
          </w:p>
        </w:tc>
        <w:tc>
          <w:tcPr>
            <w:tcW w:w="978" w:type="dxa"/>
          </w:tcPr>
          <w:p w14:paraId="0B85CB5D" w14:textId="77777777" w:rsidR="00B50A5C" w:rsidRDefault="00B50A5C" w:rsidP="00CB4D7C">
            <w:pPr>
              <w:jc w:val="center"/>
              <w:cnfStyle w:val="100000000000" w:firstRow="1" w:lastRow="0" w:firstColumn="0" w:lastColumn="0" w:oddVBand="0" w:evenVBand="0" w:oddHBand="0" w:evenHBand="0" w:firstRowFirstColumn="0" w:firstRowLastColumn="0" w:lastRowFirstColumn="0" w:lastRowLastColumn="0"/>
            </w:pPr>
            <w:r>
              <w:t>Trump</w:t>
            </w:r>
          </w:p>
        </w:tc>
        <w:tc>
          <w:tcPr>
            <w:tcW w:w="1195" w:type="dxa"/>
          </w:tcPr>
          <w:p w14:paraId="26D76543" w14:textId="77777777" w:rsidR="00B50A5C" w:rsidRDefault="00B50A5C" w:rsidP="00CB4D7C">
            <w:pPr>
              <w:jc w:val="center"/>
              <w:cnfStyle w:val="100000000000" w:firstRow="1" w:lastRow="0" w:firstColumn="0" w:lastColumn="0" w:oddVBand="0" w:evenVBand="0" w:oddHBand="0" w:evenHBand="0" w:firstRowFirstColumn="0" w:firstRowLastColumn="0" w:lastRowFirstColumn="0" w:lastRowLastColumn="0"/>
            </w:pPr>
            <w:r>
              <w:t>Other</w:t>
            </w:r>
          </w:p>
        </w:tc>
      </w:tr>
      <w:tr w:rsidR="00B50A5C" w14:paraId="22BF2DF9" w14:textId="77777777" w:rsidTr="00CB4D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3279B61B" w14:textId="77777777" w:rsidR="00B50A5C" w:rsidRDefault="00B50A5C" w:rsidP="005E106F">
            <w:r>
              <w:t>Democrats</w:t>
            </w:r>
          </w:p>
        </w:tc>
        <w:tc>
          <w:tcPr>
            <w:tcW w:w="1073" w:type="dxa"/>
          </w:tcPr>
          <w:p w14:paraId="024C0706" w14:textId="77777777" w:rsidR="00B50A5C" w:rsidRDefault="00B50A5C" w:rsidP="00CB4D7C">
            <w:pPr>
              <w:jc w:val="center"/>
              <w:cnfStyle w:val="000000100000" w:firstRow="0" w:lastRow="0" w:firstColumn="0" w:lastColumn="0" w:oddVBand="0" w:evenVBand="0" w:oddHBand="1" w:evenHBand="0" w:firstRowFirstColumn="0" w:firstRowLastColumn="0" w:lastRowFirstColumn="0" w:lastRowLastColumn="0"/>
            </w:pPr>
            <w:r>
              <w:t>89%</w:t>
            </w:r>
          </w:p>
        </w:tc>
        <w:tc>
          <w:tcPr>
            <w:tcW w:w="978" w:type="dxa"/>
          </w:tcPr>
          <w:p w14:paraId="39B62328" w14:textId="77777777" w:rsidR="00B50A5C" w:rsidRDefault="00B50A5C" w:rsidP="00CB4D7C">
            <w:pPr>
              <w:jc w:val="center"/>
              <w:cnfStyle w:val="000000100000" w:firstRow="0" w:lastRow="0" w:firstColumn="0" w:lastColumn="0" w:oddVBand="0" w:evenVBand="0" w:oddHBand="1" w:evenHBand="0" w:firstRowFirstColumn="0" w:firstRowLastColumn="0" w:lastRowFirstColumn="0" w:lastRowLastColumn="0"/>
            </w:pPr>
            <w:r>
              <w:t>8%</w:t>
            </w:r>
          </w:p>
        </w:tc>
        <w:tc>
          <w:tcPr>
            <w:tcW w:w="1195" w:type="dxa"/>
          </w:tcPr>
          <w:p w14:paraId="1B6F954B" w14:textId="77777777" w:rsidR="00B50A5C" w:rsidRDefault="00B50A5C" w:rsidP="00CB4D7C">
            <w:pPr>
              <w:jc w:val="center"/>
              <w:cnfStyle w:val="000000100000" w:firstRow="0" w:lastRow="0" w:firstColumn="0" w:lastColumn="0" w:oddVBand="0" w:evenVBand="0" w:oddHBand="1" w:evenHBand="0" w:firstRowFirstColumn="0" w:firstRowLastColumn="0" w:lastRowFirstColumn="0" w:lastRowLastColumn="0"/>
            </w:pPr>
            <w:r>
              <w:t>3%</w:t>
            </w:r>
          </w:p>
        </w:tc>
      </w:tr>
      <w:tr w:rsidR="00B50A5C" w14:paraId="7C99C100" w14:textId="77777777" w:rsidTr="00CB4D7C">
        <w:trPr>
          <w:jc w:val="center"/>
        </w:trPr>
        <w:tc>
          <w:tcPr>
            <w:cnfStyle w:val="001000000000" w:firstRow="0" w:lastRow="0" w:firstColumn="1" w:lastColumn="0" w:oddVBand="0" w:evenVBand="0" w:oddHBand="0" w:evenHBand="0" w:firstRowFirstColumn="0" w:firstRowLastColumn="0" w:lastRowFirstColumn="0" w:lastRowLastColumn="0"/>
            <w:tcW w:w="1609" w:type="dxa"/>
          </w:tcPr>
          <w:p w14:paraId="1B536720" w14:textId="77777777" w:rsidR="00B50A5C" w:rsidRDefault="00B50A5C" w:rsidP="005E106F">
            <w:r>
              <w:t>Republicans</w:t>
            </w:r>
          </w:p>
        </w:tc>
        <w:tc>
          <w:tcPr>
            <w:tcW w:w="1073" w:type="dxa"/>
          </w:tcPr>
          <w:p w14:paraId="69A7FCE8" w14:textId="77777777" w:rsidR="00B50A5C" w:rsidRDefault="00B50A5C" w:rsidP="00CB4D7C">
            <w:pPr>
              <w:jc w:val="center"/>
              <w:cnfStyle w:val="000000000000" w:firstRow="0" w:lastRow="0" w:firstColumn="0" w:lastColumn="0" w:oddVBand="0" w:evenVBand="0" w:oddHBand="0" w:evenHBand="0" w:firstRowFirstColumn="0" w:firstRowLastColumn="0" w:lastRowFirstColumn="0" w:lastRowLastColumn="0"/>
            </w:pPr>
            <w:r>
              <w:t>8%</w:t>
            </w:r>
          </w:p>
        </w:tc>
        <w:tc>
          <w:tcPr>
            <w:tcW w:w="978" w:type="dxa"/>
          </w:tcPr>
          <w:p w14:paraId="6C9E38A7" w14:textId="77777777" w:rsidR="00B50A5C" w:rsidRDefault="00B50A5C" w:rsidP="00CB4D7C">
            <w:pPr>
              <w:jc w:val="center"/>
              <w:cnfStyle w:val="000000000000" w:firstRow="0" w:lastRow="0" w:firstColumn="0" w:lastColumn="0" w:oddVBand="0" w:evenVBand="0" w:oddHBand="0" w:evenHBand="0" w:firstRowFirstColumn="0" w:firstRowLastColumn="0" w:lastRowFirstColumn="0" w:lastRowLastColumn="0"/>
            </w:pPr>
            <w:r>
              <w:t>88%</w:t>
            </w:r>
          </w:p>
        </w:tc>
        <w:tc>
          <w:tcPr>
            <w:tcW w:w="1195" w:type="dxa"/>
          </w:tcPr>
          <w:p w14:paraId="0CF05FD9" w14:textId="77777777" w:rsidR="00B50A5C" w:rsidRDefault="00B50A5C" w:rsidP="00CB4D7C">
            <w:pPr>
              <w:jc w:val="center"/>
              <w:cnfStyle w:val="000000000000" w:firstRow="0" w:lastRow="0" w:firstColumn="0" w:lastColumn="0" w:oddVBand="0" w:evenVBand="0" w:oddHBand="0" w:evenHBand="0" w:firstRowFirstColumn="0" w:firstRowLastColumn="0" w:lastRowFirstColumn="0" w:lastRowLastColumn="0"/>
            </w:pPr>
            <w:r>
              <w:t>4%</w:t>
            </w:r>
          </w:p>
        </w:tc>
      </w:tr>
      <w:tr w:rsidR="00B50A5C" w14:paraId="00E2DE84" w14:textId="77777777" w:rsidTr="00CB4D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318E0D8B" w14:textId="77777777" w:rsidR="00B50A5C" w:rsidRDefault="00B50A5C" w:rsidP="005E106F">
            <w:r>
              <w:t>Independents</w:t>
            </w:r>
          </w:p>
        </w:tc>
        <w:tc>
          <w:tcPr>
            <w:tcW w:w="1073" w:type="dxa"/>
          </w:tcPr>
          <w:p w14:paraId="31AA60BE" w14:textId="77777777" w:rsidR="00B50A5C" w:rsidRDefault="00B50A5C" w:rsidP="00CB4D7C">
            <w:pPr>
              <w:jc w:val="center"/>
              <w:cnfStyle w:val="000000100000" w:firstRow="0" w:lastRow="0" w:firstColumn="0" w:lastColumn="0" w:oddVBand="0" w:evenVBand="0" w:oddHBand="1" w:evenHBand="0" w:firstRowFirstColumn="0" w:firstRowLastColumn="0" w:lastRowFirstColumn="0" w:lastRowLastColumn="0"/>
            </w:pPr>
            <w:r>
              <w:t>42%</w:t>
            </w:r>
          </w:p>
        </w:tc>
        <w:tc>
          <w:tcPr>
            <w:tcW w:w="978" w:type="dxa"/>
          </w:tcPr>
          <w:p w14:paraId="704E2B4B" w14:textId="77777777" w:rsidR="00B50A5C" w:rsidRDefault="00B50A5C" w:rsidP="00CB4D7C">
            <w:pPr>
              <w:jc w:val="center"/>
              <w:cnfStyle w:val="000000100000" w:firstRow="0" w:lastRow="0" w:firstColumn="0" w:lastColumn="0" w:oddVBand="0" w:evenVBand="0" w:oddHBand="1" w:evenHBand="0" w:firstRowFirstColumn="0" w:firstRowLastColumn="0" w:lastRowFirstColumn="0" w:lastRowLastColumn="0"/>
            </w:pPr>
            <w:r>
              <w:t>46%</w:t>
            </w:r>
          </w:p>
        </w:tc>
        <w:tc>
          <w:tcPr>
            <w:tcW w:w="1195" w:type="dxa"/>
          </w:tcPr>
          <w:p w14:paraId="01DFC706" w14:textId="77777777" w:rsidR="00B50A5C" w:rsidRDefault="00B50A5C" w:rsidP="00CB4D7C">
            <w:pPr>
              <w:keepNext/>
              <w:jc w:val="center"/>
              <w:cnfStyle w:val="000000100000" w:firstRow="0" w:lastRow="0" w:firstColumn="0" w:lastColumn="0" w:oddVBand="0" w:evenVBand="0" w:oddHBand="1" w:evenHBand="0" w:firstRowFirstColumn="0" w:firstRowLastColumn="0" w:lastRowFirstColumn="0" w:lastRowLastColumn="0"/>
            </w:pPr>
            <w:r>
              <w:t>12%</w:t>
            </w:r>
          </w:p>
        </w:tc>
      </w:tr>
      <w:tr w:rsidR="00C372F8" w14:paraId="5D784BA3" w14:textId="77777777" w:rsidTr="00CB4D7C">
        <w:trPr>
          <w:jc w:val="center"/>
        </w:trPr>
        <w:tc>
          <w:tcPr>
            <w:cnfStyle w:val="001000000000" w:firstRow="0" w:lastRow="0" w:firstColumn="1" w:lastColumn="0" w:oddVBand="0" w:evenVBand="0" w:oddHBand="0" w:evenHBand="0" w:firstRowFirstColumn="0" w:firstRowLastColumn="0" w:lastRowFirstColumn="0" w:lastRowLastColumn="0"/>
            <w:tcW w:w="1609" w:type="dxa"/>
          </w:tcPr>
          <w:p w14:paraId="0DE62C80" w14:textId="1C08BE3A" w:rsidR="00C372F8" w:rsidRDefault="00187D80" w:rsidP="005E106F">
            <w:r>
              <w:t>Male</w:t>
            </w:r>
          </w:p>
        </w:tc>
        <w:tc>
          <w:tcPr>
            <w:tcW w:w="1073" w:type="dxa"/>
          </w:tcPr>
          <w:p w14:paraId="5245E7A4" w14:textId="74030892" w:rsidR="00C372F8" w:rsidRDefault="00187D80" w:rsidP="00CB4D7C">
            <w:pPr>
              <w:jc w:val="center"/>
              <w:cnfStyle w:val="000000000000" w:firstRow="0" w:lastRow="0" w:firstColumn="0" w:lastColumn="0" w:oddVBand="0" w:evenVBand="0" w:oddHBand="0" w:evenHBand="0" w:firstRowFirstColumn="0" w:firstRowLastColumn="0" w:lastRowFirstColumn="0" w:lastRowLastColumn="0"/>
            </w:pPr>
            <w:r>
              <w:t>41%</w:t>
            </w:r>
          </w:p>
        </w:tc>
        <w:tc>
          <w:tcPr>
            <w:tcW w:w="978" w:type="dxa"/>
          </w:tcPr>
          <w:p w14:paraId="5ED460CF" w14:textId="1B6E1634" w:rsidR="00C372F8" w:rsidRDefault="00187D80" w:rsidP="00CB4D7C">
            <w:pPr>
              <w:jc w:val="center"/>
              <w:cnfStyle w:val="000000000000" w:firstRow="0" w:lastRow="0" w:firstColumn="0" w:lastColumn="0" w:oddVBand="0" w:evenVBand="0" w:oddHBand="0" w:evenHBand="0" w:firstRowFirstColumn="0" w:firstRowLastColumn="0" w:lastRowFirstColumn="0" w:lastRowLastColumn="0"/>
            </w:pPr>
            <w:r>
              <w:t>52%</w:t>
            </w:r>
          </w:p>
        </w:tc>
        <w:tc>
          <w:tcPr>
            <w:tcW w:w="1195" w:type="dxa"/>
          </w:tcPr>
          <w:p w14:paraId="1492C410" w14:textId="37FEDC06" w:rsidR="00C372F8" w:rsidRDefault="00187D80" w:rsidP="00CB4D7C">
            <w:pPr>
              <w:keepNext/>
              <w:jc w:val="center"/>
              <w:cnfStyle w:val="000000000000" w:firstRow="0" w:lastRow="0" w:firstColumn="0" w:lastColumn="0" w:oddVBand="0" w:evenVBand="0" w:oddHBand="0" w:evenHBand="0" w:firstRowFirstColumn="0" w:firstRowLastColumn="0" w:lastRowFirstColumn="0" w:lastRowLastColumn="0"/>
            </w:pPr>
            <w:r>
              <w:t>7%</w:t>
            </w:r>
          </w:p>
        </w:tc>
      </w:tr>
      <w:tr w:rsidR="00187D80" w14:paraId="5FE18085" w14:textId="77777777" w:rsidTr="00CB4D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3611A9D9" w14:textId="1961FB9D" w:rsidR="00187D80" w:rsidRDefault="00187D80" w:rsidP="005E106F">
            <w:r>
              <w:t>Female</w:t>
            </w:r>
          </w:p>
        </w:tc>
        <w:tc>
          <w:tcPr>
            <w:tcW w:w="1073" w:type="dxa"/>
          </w:tcPr>
          <w:p w14:paraId="5EADACF7" w14:textId="14A77549" w:rsidR="00187D80" w:rsidRDefault="00187D80" w:rsidP="00CB4D7C">
            <w:pPr>
              <w:jc w:val="center"/>
              <w:cnfStyle w:val="000000100000" w:firstRow="0" w:lastRow="0" w:firstColumn="0" w:lastColumn="0" w:oddVBand="0" w:evenVBand="0" w:oddHBand="1" w:evenHBand="0" w:firstRowFirstColumn="0" w:firstRowLastColumn="0" w:lastRowFirstColumn="0" w:lastRowLastColumn="0"/>
            </w:pPr>
            <w:r>
              <w:t>54%</w:t>
            </w:r>
          </w:p>
        </w:tc>
        <w:tc>
          <w:tcPr>
            <w:tcW w:w="978" w:type="dxa"/>
          </w:tcPr>
          <w:p w14:paraId="47D17658" w14:textId="011CB6F1" w:rsidR="00187D80" w:rsidRDefault="00187D80" w:rsidP="00CB4D7C">
            <w:pPr>
              <w:jc w:val="center"/>
              <w:cnfStyle w:val="000000100000" w:firstRow="0" w:lastRow="0" w:firstColumn="0" w:lastColumn="0" w:oddVBand="0" w:evenVBand="0" w:oddHBand="1" w:evenHBand="0" w:firstRowFirstColumn="0" w:firstRowLastColumn="0" w:lastRowFirstColumn="0" w:lastRowLastColumn="0"/>
            </w:pPr>
            <w:r>
              <w:t>41%</w:t>
            </w:r>
          </w:p>
        </w:tc>
        <w:tc>
          <w:tcPr>
            <w:tcW w:w="1195" w:type="dxa"/>
          </w:tcPr>
          <w:p w14:paraId="49B5D60D" w14:textId="14DE668F" w:rsidR="00187D80" w:rsidRDefault="00187D80" w:rsidP="00CB4D7C">
            <w:pPr>
              <w:keepNext/>
              <w:jc w:val="center"/>
              <w:cnfStyle w:val="000000100000" w:firstRow="0" w:lastRow="0" w:firstColumn="0" w:lastColumn="0" w:oddVBand="0" w:evenVBand="0" w:oddHBand="1" w:evenHBand="0" w:firstRowFirstColumn="0" w:firstRowLastColumn="0" w:lastRowFirstColumn="0" w:lastRowLastColumn="0"/>
            </w:pPr>
            <w:r>
              <w:t>5%</w:t>
            </w:r>
          </w:p>
        </w:tc>
      </w:tr>
      <w:tr w:rsidR="00187D80" w14:paraId="4DEFF2C3" w14:textId="77777777" w:rsidTr="00CB4D7C">
        <w:trPr>
          <w:jc w:val="center"/>
        </w:trPr>
        <w:tc>
          <w:tcPr>
            <w:cnfStyle w:val="001000000000" w:firstRow="0" w:lastRow="0" w:firstColumn="1" w:lastColumn="0" w:oddVBand="0" w:evenVBand="0" w:oddHBand="0" w:evenHBand="0" w:firstRowFirstColumn="0" w:firstRowLastColumn="0" w:lastRowFirstColumn="0" w:lastRowLastColumn="0"/>
            <w:tcW w:w="1609" w:type="dxa"/>
          </w:tcPr>
          <w:p w14:paraId="3F55EDE7" w14:textId="44A9B2B6" w:rsidR="00187D80" w:rsidRDefault="00276F1E" w:rsidP="005E106F">
            <w:r>
              <w:t>Age 18-44</w:t>
            </w:r>
          </w:p>
        </w:tc>
        <w:tc>
          <w:tcPr>
            <w:tcW w:w="1073" w:type="dxa"/>
          </w:tcPr>
          <w:p w14:paraId="5E947A5A" w14:textId="69F00F92" w:rsidR="00187D80" w:rsidRDefault="00276F1E" w:rsidP="00CB4D7C">
            <w:pPr>
              <w:jc w:val="center"/>
              <w:cnfStyle w:val="000000000000" w:firstRow="0" w:lastRow="0" w:firstColumn="0" w:lastColumn="0" w:oddVBand="0" w:evenVBand="0" w:oddHBand="0" w:evenHBand="0" w:firstRowFirstColumn="0" w:firstRowLastColumn="0" w:lastRowFirstColumn="0" w:lastRowLastColumn="0"/>
            </w:pPr>
            <w:r>
              <w:t>53%</w:t>
            </w:r>
          </w:p>
        </w:tc>
        <w:tc>
          <w:tcPr>
            <w:tcW w:w="978" w:type="dxa"/>
          </w:tcPr>
          <w:p w14:paraId="0126BAD2" w14:textId="49ABA61D" w:rsidR="00187D80" w:rsidRDefault="00276F1E" w:rsidP="00CB4D7C">
            <w:pPr>
              <w:jc w:val="center"/>
              <w:cnfStyle w:val="000000000000" w:firstRow="0" w:lastRow="0" w:firstColumn="0" w:lastColumn="0" w:oddVBand="0" w:evenVBand="0" w:oddHBand="0" w:evenHBand="0" w:firstRowFirstColumn="0" w:firstRowLastColumn="0" w:lastRowFirstColumn="0" w:lastRowLastColumn="0"/>
            </w:pPr>
            <w:r>
              <w:t>39%</w:t>
            </w:r>
          </w:p>
        </w:tc>
        <w:tc>
          <w:tcPr>
            <w:tcW w:w="1195" w:type="dxa"/>
          </w:tcPr>
          <w:p w14:paraId="45D9C1E3" w14:textId="69BD8D2C" w:rsidR="00187D80" w:rsidRDefault="00276F1E" w:rsidP="00CB4D7C">
            <w:pPr>
              <w:keepNext/>
              <w:jc w:val="center"/>
              <w:cnfStyle w:val="000000000000" w:firstRow="0" w:lastRow="0" w:firstColumn="0" w:lastColumn="0" w:oddVBand="0" w:evenVBand="0" w:oddHBand="0" w:evenHBand="0" w:firstRowFirstColumn="0" w:firstRowLastColumn="0" w:lastRowFirstColumn="0" w:lastRowLastColumn="0"/>
            </w:pPr>
            <w:r>
              <w:t>8%</w:t>
            </w:r>
          </w:p>
        </w:tc>
      </w:tr>
      <w:tr w:rsidR="00276F1E" w14:paraId="149429D9" w14:textId="77777777" w:rsidTr="00CB4D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9" w:type="dxa"/>
          </w:tcPr>
          <w:p w14:paraId="603C716D" w14:textId="5302351F" w:rsidR="00276F1E" w:rsidRDefault="00276F1E" w:rsidP="005E106F">
            <w:r>
              <w:t>Age 45+</w:t>
            </w:r>
          </w:p>
        </w:tc>
        <w:tc>
          <w:tcPr>
            <w:tcW w:w="1073" w:type="dxa"/>
          </w:tcPr>
          <w:p w14:paraId="09D84E33" w14:textId="1459122D" w:rsidR="00276F1E" w:rsidRDefault="00BC5EB1" w:rsidP="00CB4D7C">
            <w:pPr>
              <w:jc w:val="center"/>
              <w:cnfStyle w:val="000000100000" w:firstRow="0" w:lastRow="0" w:firstColumn="0" w:lastColumn="0" w:oddVBand="0" w:evenVBand="0" w:oddHBand="1" w:evenHBand="0" w:firstRowFirstColumn="0" w:firstRowLastColumn="0" w:lastRowFirstColumn="0" w:lastRowLastColumn="0"/>
            </w:pPr>
            <w:r>
              <w:t>44%</w:t>
            </w:r>
          </w:p>
        </w:tc>
        <w:tc>
          <w:tcPr>
            <w:tcW w:w="978" w:type="dxa"/>
          </w:tcPr>
          <w:p w14:paraId="4A3CA7B5" w14:textId="5448F1C7" w:rsidR="00276F1E" w:rsidRDefault="00BC5EB1" w:rsidP="00CB4D7C">
            <w:pPr>
              <w:jc w:val="center"/>
              <w:cnfStyle w:val="000000100000" w:firstRow="0" w:lastRow="0" w:firstColumn="0" w:lastColumn="0" w:oddVBand="0" w:evenVBand="0" w:oddHBand="1" w:evenHBand="0" w:firstRowFirstColumn="0" w:firstRowLastColumn="0" w:lastRowFirstColumn="0" w:lastRowLastColumn="0"/>
            </w:pPr>
            <w:r>
              <w:t>52%</w:t>
            </w:r>
          </w:p>
        </w:tc>
        <w:tc>
          <w:tcPr>
            <w:tcW w:w="1195" w:type="dxa"/>
          </w:tcPr>
          <w:p w14:paraId="13FAB8E7" w14:textId="694150EE" w:rsidR="00276F1E" w:rsidRDefault="00BC5EB1" w:rsidP="00CB4D7C">
            <w:pPr>
              <w:keepNext/>
              <w:jc w:val="center"/>
              <w:cnfStyle w:val="000000100000" w:firstRow="0" w:lastRow="0" w:firstColumn="0" w:lastColumn="0" w:oddVBand="0" w:evenVBand="0" w:oddHBand="1" w:evenHBand="0" w:firstRowFirstColumn="0" w:firstRowLastColumn="0" w:lastRowFirstColumn="0" w:lastRowLastColumn="0"/>
            </w:pPr>
            <w:r>
              <w:t>4%</w:t>
            </w:r>
          </w:p>
        </w:tc>
      </w:tr>
    </w:tbl>
    <w:p w14:paraId="655552AE" w14:textId="15A0A1C9" w:rsidR="00C500DB" w:rsidRDefault="00C500DB" w:rsidP="00CB4D7C">
      <w:pPr>
        <w:pStyle w:val="NoSpacing"/>
      </w:pPr>
    </w:p>
    <w:p w14:paraId="107EA2BF" w14:textId="76C9C0F5" w:rsidR="00B50A5C" w:rsidRDefault="00B50A5C" w:rsidP="00B50A5C">
      <w:r>
        <w:t xml:space="preserve">This table allows readers to quickly compare the voting preferences of voters and observe any differences in the support for each candidate across </w:t>
      </w:r>
      <w:r w:rsidR="007D4FE8">
        <w:t>the reported categories</w:t>
      </w:r>
      <w:r>
        <w:t>.</w:t>
      </w:r>
    </w:p>
    <w:p w14:paraId="6978368F" w14:textId="5C6BA2BF" w:rsidR="00B50A5C" w:rsidRDefault="00B50A5C" w:rsidP="00B50A5C">
      <w:r>
        <w:t>Crosstabs are valuable tools for exploring and presenting the relationships between categorical variables in a dataset. They provide a clear and concise way to summarize the distribution of data across multiple dimensions and can help researchers identify patterns, trends, and potential associations between variables.</w:t>
      </w:r>
    </w:p>
    <w:p w14:paraId="1E57A6CC" w14:textId="1DC7A844" w:rsidR="00B50A5C" w:rsidRDefault="00B50A5C" w:rsidP="00B50A5C">
      <w:r>
        <w:t xml:space="preserve">When presenting data using frequency tables or crosstabs, it is essential to provide clear labels and explanations for each variable and category, as well as any relevant contextual information, </w:t>
      </w:r>
      <w:r>
        <w:lastRenderedPageBreak/>
        <w:t>such as the sample size or data collection methods. This ensures that readers can accurately interpret the data and draw meaningful conclusions from the presented results.</w:t>
      </w:r>
    </w:p>
    <w:p w14:paraId="5327D38C" w14:textId="70EAE6E8" w:rsidR="00A626FE" w:rsidRPr="000E309B" w:rsidRDefault="00D14B33" w:rsidP="00AE7F61">
      <w:pPr>
        <w:pStyle w:val="Heading4"/>
      </w:pPr>
      <w:r w:rsidRPr="000E309B">
        <w:t>Correlation</w:t>
      </w:r>
    </w:p>
    <w:p w14:paraId="71EC1409" w14:textId="77777777" w:rsidR="00A03AC7" w:rsidRDefault="00A03AC7" w:rsidP="00A03AC7">
      <w:r>
        <w:t>Correlation is a statistical measure that describes the strength and direction of the relationship between two variables in a research project. Typically, the independent variable is plotted on the X-axis, while the dependent variable is plotted on the Y-axis. The correlation coefficient is a number between -1.0 and +1.0, where the sign indicates the direction of the relationship (positive or negative), and the absolute value represents the strength of the association.</w:t>
      </w:r>
    </w:p>
    <w:p w14:paraId="39E47A1E" w14:textId="77777777" w:rsidR="00A03AC7" w:rsidRDefault="00A03AC7" w:rsidP="00A03AC7">
      <w:r>
        <w:t>A correlation coefficient closer to +1.0 or -1.0 indicates a stronger relationship between the variables, while a correlation coefficient closer to 0 suggests a weaker association. For example, if two variables have a correlation of +0.65, they have a stronger positive relationship than two variables with a correlation of +0.23.</w:t>
      </w:r>
    </w:p>
    <w:p w14:paraId="2C1B84E9" w14:textId="2805BF9D" w:rsidR="00A03AC7" w:rsidRDefault="00A03AC7" w:rsidP="00A03AC7">
      <w:r>
        <w:t xml:space="preserve">Researchers often display correlations in a matrix, which allows for the examination of relationships between multiple variables simultaneously. The </w:t>
      </w:r>
      <w:r w:rsidR="00950C57">
        <w:t xml:space="preserve">following </w:t>
      </w:r>
      <w:r>
        <w:t>figure shows a correlation matrix for a group of automobiles, including the variables Miles per Gallon, Displacement, and Horsepower.</w:t>
      </w:r>
    </w:p>
    <w:tbl>
      <w:tblPr>
        <w:tblStyle w:val="GridTable5Dark-Accent5"/>
        <w:tblW w:w="3219" w:type="dxa"/>
        <w:jc w:val="center"/>
        <w:tblLook w:val="04A0" w:firstRow="1" w:lastRow="0" w:firstColumn="1" w:lastColumn="0" w:noHBand="0" w:noVBand="1"/>
      </w:tblPr>
      <w:tblGrid>
        <w:gridCol w:w="741"/>
        <w:gridCol w:w="826"/>
        <w:gridCol w:w="826"/>
        <w:gridCol w:w="826"/>
      </w:tblGrid>
      <w:tr w:rsidR="00950C57" w14:paraId="0DB69EC7" w14:textId="77777777" w:rsidTr="005E10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1" w:type="dxa"/>
          </w:tcPr>
          <w:p w14:paraId="26044C66" w14:textId="77777777" w:rsidR="00950C57" w:rsidRDefault="00950C57" w:rsidP="005E106F"/>
        </w:tc>
        <w:tc>
          <w:tcPr>
            <w:tcW w:w="826" w:type="dxa"/>
          </w:tcPr>
          <w:p w14:paraId="0DF39BAE" w14:textId="77777777" w:rsidR="00950C57" w:rsidRDefault="00950C57" w:rsidP="005E106F">
            <w:pPr>
              <w:cnfStyle w:val="100000000000" w:firstRow="1" w:lastRow="0" w:firstColumn="0" w:lastColumn="0" w:oddVBand="0" w:evenVBand="0" w:oddHBand="0" w:evenHBand="0" w:firstRowFirstColumn="0" w:firstRowLastColumn="0" w:lastRowFirstColumn="0" w:lastRowLastColumn="0"/>
            </w:pPr>
            <w:r>
              <w:t>MPG</w:t>
            </w:r>
          </w:p>
        </w:tc>
        <w:tc>
          <w:tcPr>
            <w:tcW w:w="826" w:type="dxa"/>
          </w:tcPr>
          <w:p w14:paraId="55A825A5" w14:textId="77777777" w:rsidR="00950C57" w:rsidRDefault="00950C57" w:rsidP="005E106F">
            <w:pPr>
              <w:cnfStyle w:val="100000000000" w:firstRow="1" w:lastRow="0" w:firstColumn="0" w:lastColumn="0" w:oddVBand="0" w:evenVBand="0" w:oddHBand="0" w:evenHBand="0" w:firstRowFirstColumn="0" w:firstRowLastColumn="0" w:lastRowFirstColumn="0" w:lastRowLastColumn="0"/>
            </w:pPr>
            <w:r>
              <w:t>Disp</w:t>
            </w:r>
          </w:p>
        </w:tc>
        <w:tc>
          <w:tcPr>
            <w:tcW w:w="826" w:type="dxa"/>
          </w:tcPr>
          <w:p w14:paraId="2EB91710" w14:textId="77777777" w:rsidR="00950C57" w:rsidRDefault="00950C57" w:rsidP="005E106F">
            <w:pPr>
              <w:cnfStyle w:val="100000000000" w:firstRow="1" w:lastRow="0" w:firstColumn="0" w:lastColumn="0" w:oddVBand="0" w:evenVBand="0" w:oddHBand="0" w:evenHBand="0" w:firstRowFirstColumn="0" w:firstRowLastColumn="0" w:lastRowFirstColumn="0" w:lastRowLastColumn="0"/>
            </w:pPr>
            <w:r>
              <w:t>HP</w:t>
            </w:r>
          </w:p>
        </w:tc>
      </w:tr>
      <w:tr w:rsidR="00950C57" w14:paraId="3B762577" w14:textId="77777777" w:rsidTr="005E1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1" w:type="dxa"/>
          </w:tcPr>
          <w:p w14:paraId="31F5E33A" w14:textId="77777777" w:rsidR="00950C57" w:rsidRDefault="00950C57" w:rsidP="005E106F">
            <w:r>
              <w:t>MPG</w:t>
            </w:r>
          </w:p>
        </w:tc>
        <w:tc>
          <w:tcPr>
            <w:tcW w:w="826" w:type="dxa"/>
          </w:tcPr>
          <w:p w14:paraId="411B04FB" w14:textId="77777777" w:rsidR="00950C57" w:rsidRDefault="00950C57" w:rsidP="005E106F">
            <w:pPr>
              <w:cnfStyle w:val="000000100000" w:firstRow="0" w:lastRow="0" w:firstColumn="0" w:lastColumn="0" w:oddVBand="0" w:evenVBand="0" w:oddHBand="1" w:evenHBand="0" w:firstRowFirstColumn="0" w:firstRowLastColumn="0" w:lastRowFirstColumn="0" w:lastRowLastColumn="0"/>
            </w:pPr>
            <w:r>
              <w:t>+1.00</w:t>
            </w:r>
          </w:p>
        </w:tc>
        <w:tc>
          <w:tcPr>
            <w:tcW w:w="826" w:type="dxa"/>
          </w:tcPr>
          <w:p w14:paraId="449AF404" w14:textId="77777777" w:rsidR="00950C57" w:rsidRDefault="00950C57" w:rsidP="005E106F">
            <w:pPr>
              <w:cnfStyle w:val="000000100000" w:firstRow="0" w:lastRow="0" w:firstColumn="0" w:lastColumn="0" w:oddVBand="0" w:evenVBand="0" w:oddHBand="1" w:evenHBand="0" w:firstRowFirstColumn="0" w:firstRowLastColumn="0" w:lastRowFirstColumn="0" w:lastRowLastColumn="0"/>
            </w:pPr>
            <w:r>
              <w:t>-0.85</w:t>
            </w:r>
          </w:p>
        </w:tc>
        <w:tc>
          <w:tcPr>
            <w:tcW w:w="826" w:type="dxa"/>
          </w:tcPr>
          <w:p w14:paraId="07900756" w14:textId="77777777" w:rsidR="00950C57" w:rsidRDefault="00950C57" w:rsidP="005E106F">
            <w:pPr>
              <w:cnfStyle w:val="000000100000" w:firstRow="0" w:lastRow="0" w:firstColumn="0" w:lastColumn="0" w:oddVBand="0" w:evenVBand="0" w:oddHBand="1" w:evenHBand="0" w:firstRowFirstColumn="0" w:firstRowLastColumn="0" w:lastRowFirstColumn="0" w:lastRowLastColumn="0"/>
            </w:pPr>
            <w:r>
              <w:t>-0.78</w:t>
            </w:r>
          </w:p>
        </w:tc>
      </w:tr>
      <w:tr w:rsidR="00950C57" w14:paraId="71855DAB" w14:textId="77777777" w:rsidTr="005E106F">
        <w:trPr>
          <w:jc w:val="center"/>
        </w:trPr>
        <w:tc>
          <w:tcPr>
            <w:cnfStyle w:val="001000000000" w:firstRow="0" w:lastRow="0" w:firstColumn="1" w:lastColumn="0" w:oddVBand="0" w:evenVBand="0" w:oddHBand="0" w:evenHBand="0" w:firstRowFirstColumn="0" w:firstRowLastColumn="0" w:lastRowFirstColumn="0" w:lastRowLastColumn="0"/>
            <w:tcW w:w="741" w:type="dxa"/>
          </w:tcPr>
          <w:p w14:paraId="3E881B0D" w14:textId="77777777" w:rsidR="00950C57" w:rsidRDefault="00950C57" w:rsidP="005E106F">
            <w:r>
              <w:t>Disp</w:t>
            </w:r>
          </w:p>
        </w:tc>
        <w:tc>
          <w:tcPr>
            <w:tcW w:w="826" w:type="dxa"/>
          </w:tcPr>
          <w:p w14:paraId="06828CE1" w14:textId="708514D1" w:rsidR="00950C57" w:rsidRDefault="00950C57" w:rsidP="005E106F">
            <w:pPr>
              <w:cnfStyle w:val="000000000000" w:firstRow="0" w:lastRow="0" w:firstColumn="0" w:lastColumn="0" w:oddVBand="0" w:evenVBand="0" w:oddHBand="0" w:evenHBand="0" w:firstRowFirstColumn="0" w:firstRowLastColumn="0" w:lastRowFirstColumn="0" w:lastRowLastColumn="0"/>
            </w:pPr>
          </w:p>
        </w:tc>
        <w:tc>
          <w:tcPr>
            <w:tcW w:w="826" w:type="dxa"/>
          </w:tcPr>
          <w:p w14:paraId="59634E55" w14:textId="77777777" w:rsidR="00950C57" w:rsidRDefault="00950C57" w:rsidP="005E106F">
            <w:pPr>
              <w:cnfStyle w:val="000000000000" w:firstRow="0" w:lastRow="0" w:firstColumn="0" w:lastColumn="0" w:oddVBand="0" w:evenVBand="0" w:oddHBand="0" w:evenHBand="0" w:firstRowFirstColumn="0" w:firstRowLastColumn="0" w:lastRowFirstColumn="0" w:lastRowLastColumn="0"/>
            </w:pPr>
            <w:r>
              <w:t>+1.00</w:t>
            </w:r>
          </w:p>
        </w:tc>
        <w:tc>
          <w:tcPr>
            <w:tcW w:w="826" w:type="dxa"/>
          </w:tcPr>
          <w:p w14:paraId="51C0EE5E" w14:textId="77777777" w:rsidR="00950C57" w:rsidRDefault="00950C57" w:rsidP="005E106F">
            <w:pPr>
              <w:cnfStyle w:val="000000000000" w:firstRow="0" w:lastRow="0" w:firstColumn="0" w:lastColumn="0" w:oddVBand="0" w:evenVBand="0" w:oddHBand="0" w:evenHBand="0" w:firstRowFirstColumn="0" w:firstRowLastColumn="0" w:lastRowFirstColumn="0" w:lastRowLastColumn="0"/>
            </w:pPr>
            <w:r>
              <w:t>+0.79</w:t>
            </w:r>
          </w:p>
        </w:tc>
      </w:tr>
      <w:tr w:rsidR="00950C57" w14:paraId="1AAC79D1" w14:textId="77777777" w:rsidTr="005E1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1" w:type="dxa"/>
          </w:tcPr>
          <w:p w14:paraId="24675AF0" w14:textId="77777777" w:rsidR="00950C57" w:rsidRDefault="00950C57" w:rsidP="005E106F">
            <w:r>
              <w:t>HP</w:t>
            </w:r>
          </w:p>
        </w:tc>
        <w:tc>
          <w:tcPr>
            <w:tcW w:w="826" w:type="dxa"/>
          </w:tcPr>
          <w:p w14:paraId="2C187FBB" w14:textId="3C7C89D7" w:rsidR="00950C57" w:rsidRDefault="00950C57" w:rsidP="005E106F">
            <w:pPr>
              <w:cnfStyle w:val="000000100000" w:firstRow="0" w:lastRow="0" w:firstColumn="0" w:lastColumn="0" w:oddVBand="0" w:evenVBand="0" w:oddHBand="1" w:evenHBand="0" w:firstRowFirstColumn="0" w:firstRowLastColumn="0" w:lastRowFirstColumn="0" w:lastRowLastColumn="0"/>
            </w:pPr>
          </w:p>
        </w:tc>
        <w:tc>
          <w:tcPr>
            <w:tcW w:w="826" w:type="dxa"/>
          </w:tcPr>
          <w:p w14:paraId="42E8FAE8" w14:textId="10C0D6F3" w:rsidR="00950C57" w:rsidRDefault="00950C57" w:rsidP="005E106F">
            <w:pPr>
              <w:cnfStyle w:val="000000100000" w:firstRow="0" w:lastRow="0" w:firstColumn="0" w:lastColumn="0" w:oddVBand="0" w:evenVBand="0" w:oddHBand="1" w:evenHBand="0" w:firstRowFirstColumn="0" w:firstRowLastColumn="0" w:lastRowFirstColumn="0" w:lastRowLastColumn="0"/>
            </w:pPr>
          </w:p>
        </w:tc>
        <w:tc>
          <w:tcPr>
            <w:tcW w:w="826" w:type="dxa"/>
          </w:tcPr>
          <w:p w14:paraId="7EEE652D" w14:textId="77777777" w:rsidR="00950C57" w:rsidRDefault="00950C57" w:rsidP="005E106F">
            <w:pPr>
              <w:keepNext/>
              <w:cnfStyle w:val="000000100000" w:firstRow="0" w:lastRow="0" w:firstColumn="0" w:lastColumn="0" w:oddVBand="0" w:evenVBand="0" w:oddHBand="1" w:evenHBand="0" w:firstRowFirstColumn="0" w:firstRowLastColumn="0" w:lastRowFirstColumn="0" w:lastRowLastColumn="0"/>
            </w:pPr>
            <w:r>
              <w:t>+1.00</w:t>
            </w:r>
          </w:p>
        </w:tc>
      </w:tr>
    </w:tbl>
    <w:p w14:paraId="71F369A9" w14:textId="77777777" w:rsidR="00954FBE" w:rsidRDefault="00954FBE" w:rsidP="00954FBE">
      <w:pPr>
        <w:pStyle w:val="NoSpacing"/>
      </w:pPr>
    </w:p>
    <w:p w14:paraId="7F83AB85" w14:textId="64BAEBC2" w:rsidR="00A03AC7" w:rsidRDefault="00240D36" w:rsidP="00A03AC7">
      <w:r>
        <w:t>T</w:t>
      </w:r>
      <w:r w:rsidR="00A03AC7">
        <w:t xml:space="preserve">he table reveals a negative correlation </w:t>
      </w:r>
      <w:r>
        <w:t xml:space="preserve">(-0.78) </w:t>
      </w:r>
      <w:r w:rsidR="00A03AC7">
        <w:t>between horsepower and miles per gallon. This means that as the horsepower of a car increases, its fuel efficiency (miles per gallon) tends to decrease. In other words, cars with greater horsepower generally consume more fuel per mile driven.</w:t>
      </w:r>
    </w:p>
    <w:p w14:paraId="3FE0B219" w14:textId="7A3F7C00" w:rsidR="00A03AC7" w:rsidRDefault="00A03AC7" w:rsidP="00A03AC7">
      <w:r>
        <w:t xml:space="preserve">On the other hand, </w:t>
      </w:r>
      <w:r w:rsidR="00240D36">
        <w:t xml:space="preserve">there is </w:t>
      </w:r>
      <w:r>
        <w:t>a positive correlation between displacement and horsepower</w:t>
      </w:r>
      <w:r w:rsidR="00306D2B">
        <w:t xml:space="preserve"> (+0.79)</w:t>
      </w:r>
      <w:r>
        <w:t>. Displacement refers to the total volume of the engine cylinders, with larger displacements indicating bigger engines. The positive correlation suggests that cars with larger engines (more displacement) tend to have higher horsepower.</w:t>
      </w:r>
    </w:p>
    <w:p w14:paraId="401BA3B7" w14:textId="77777777" w:rsidR="00A03AC7" w:rsidRDefault="00A03AC7" w:rsidP="00A03AC7">
      <w:r>
        <w:t>Understanding correlations is crucial for researchers, as they help identify potential relationships between variables and guide further investigation into the underlying causes of these associations. However, it is essential to remember that correlation does not imply causation; just because two variables are correlated does not necessarily mean that one variable directly causes changes in the other.</w:t>
      </w:r>
    </w:p>
    <w:p w14:paraId="5327D38D" w14:textId="4EA9B321" w:rsidR="00A626FE" w:rsidRDefault="00A03AC7" w:rsidP="00A03AC7">
      <w:r>
        <w:t xml:space="preserve">When interpreting correlations, researchers must also consider the context of the data and the potential influence of other factors not included in the analysis. By examining correlations and </w:t>
      </w:r>
      <w:r>
        <w:lastRenderedPageBreak/>
        <w:t>conducting appropriate statistical tests, researchers can better understand the relationships between variables and make more informed decisions based on their findings.</w:t>
      </w:r>
    </w:p>
    <w:p w14:paraId="5327D3A0" w14:textId="76A09897" w:rsidR="00A626FE" w:rsidRPr="000E309B" w:rsidRDefault="00D14B33" w:rsidP="00AE7F61">
      <w:pPr>
        <w:pStyle w:val="Heading4"/>
      </w:pPr>
      <w:r w:rsidRPr="000E309B">
        <w:t>Parametric Hypothesis Tests</w:t>
      </w:r>
    </w:p>
    <w:p w14:paraId="334522F9" w14:textId="77777777" w:rsidR="00575CAF" w:rsidRDefault="00575CAF" w:rsidP="00575CAF">
      <w:r>
        <w:t>When working with parametric data, researchers have access to numerous statistical techniques for analysis. However, two methods stand out as the most frequently used: the t-test and the Analysis of Variance (ANOVA).</w:t>
      </w:r>
    </w:p>
    <w:p w14:paraId="169BF88B" w14:textId="77777777" w:rsidR="00575CAF" w:rsidRDefault="00575CAF" w:rsidP="00575CAF">
      <w:pPr>
        <w:pStyle w:val="Heading5"/>
      </w:pPr>
      <w:r>
        <w:t>T-test</w:t>
      </w:r>
    </w:p>
    <w:p w14:paraId="789AB972" w14:textId="77777777" w:rsidR="00575CAF" w:rsidRDefault="00575CAF" w:rsidP="00575CAF">
      <w:r>
        <w:t>A t-test is a statistical method used to analyze the difference between two groups of normally distributed samples. For example, a researcher might hypothesize that there is a significant difference in the ages of people living in two different towns. After collecting data on the ages of individuals from both towns, the researcher can use a t-test to determine if there is a statistically significant difference in the mean age between the two populations.</w:t>
      </w:r>
    </w:p>
    <w:p w14:paraId="62C93928" w14:textId="77777777" w:rsidR="00575CAF" w:rsidRDefault="00575CAF" w:rsidP="00575CAF">
      <w:r>
        <w:t>There are two main types of t-tests:</w:t>
      </w:r>
    </w:p>
    <w:p w14:paraId="65C82825" w14:textId="68D8E585" w:rsidR="00575CAF" w:rsidRDefault="00575CAF" w:rsidP="00791887">
      <w:pPr>
        <w:pStyle w:val="ListParagraph"/>
        <w:numPr>
          <w:ilvl w:val="0"/>
          <w:numId w:val="248"/>
        </w:numPr>
      </w:pPr>
      <w:r w:rsidRPr="00706E5C">
        <w:rPr>
          <w:b/>
          <w:bCs/>
        </w:rPr>
        <w:t>Independent t-test</w:t>
      </w:r>
      <w:r>
        <w:t>: Used when the two groups being compared are independent of each other. For instance, comparing the ages of people in Town A to those in Town B.</w:t>
      </w:r>
    </w:p>
    <w:p w14:paraId="34A4671F" w14:textId="65058D08" w:rsidR="00575CAF" w:rsidRDefault="00575CAF" w:rsidP="00791887">
      <w:pPr>
        <w:pStyle w:val="ListParagraph"/>
        <w:numPr>
          <w:ilvl w:val="0"/>
          <w:numId w:val="248"/>
        </w:numPr>
      </w:pPr>
      <w:r w:rsidRPr="00706E5C">
        <w:rPr>
          <w:b/>
          <w:bCs/>
        </w:rPr>
        <w:t>Paired t-test</w:t>
      </w:r>
      <w:r>
        <w:t>: Used when the same group is tested at two different times. This is common in medical trials, where a factor (e.g., blood pressure) is measured before a treatment is applied and then measured again after the treatment. The paired t-test compares the pre-treatment values to the post-treatment values within the same group.</w:t>
      </w:r>
    </w:p>
    <w:p w14:paraId="151B5381" w14:textId="77777777" w:rsidR="00575CAF" w:rsidRDefault="00575CAF" w:rsidP="00370717">
      <w:pPr>
        <w:pStyle w:val="Heading5"/>
      </w:pPr>
      <w:r>
        <w:t>Analysis of Variance (ANOVA)</w:t>
      </w:r>
    </w:p>
    <w:p w14:paraId="545F2B97" w14:textId="16DC5710" w:rsidR="00575CAF" w:rsidRDefault="00575CAF" w:rsidP="00575CAF">
      <w:r>
        <w:t xml:space="preserve">ANOVA is </w:t>
      </w:r>
      <w:r w:rsidR="00370717">
        <w:t>like</w:t>
      </w:r>
      <w:r>
        <w:t xml:space="preserve"> the t-test but is used when comparing three or more groups to detect significant differences. For example, if a researcher wants to compare the ages of people across multiple towns or cities, ANOVA would be the appropriate method.</w:t>
      </w:r>
    </w:p>
    <w:p w14:paraId="621834BE" w14:textId="77777777" w:rsidR="00575CAF" w:rsidRDefault="00575CAF" w:rsidP="00575CAF">
      <w:r>
        <w:t>Both t-tests and ANOVAs result in a p-value, which represents the probability that the observed results were due to chance rather than the applied treatment or intervention. Researchers generally consider a p-value less than 0.05 (5%) to be statistically significant, meaning there is a low probability that the results occurred by chance alone. If the p-value is greater than 0.05, the researcher would conclude that no significant result was found.</w:t>
      </w:r>
    </w:p>
    <w:p w14:paraId="5327D3A5" w14:textId="4CD27629" w:rsidR="00A626FE" w:rsidRPr="000E309B" w:rsidRDefault="00575CAF" w:rsidP="00575CAF">
      <w:r>
        <w:t>It is essential for researchers to choose the appropriate statistical test based on the nature of their data and research questions. By using t-tests and ANOVAs to analyze parametric data, researchers can make informed decisions about the significance of their findings and draw meaningful conclusions from their data. However, it is crucial to remember that statistical significance does not always imply practical significance, and researchers must interpret their results within the context of their specific field and the limitations of their study.</w:t>
      </w:r>
    </w:p>
    <w:p w14:paraId="5327D3A6" w14:textId="0A0AC0B6" w:rsidR="00A626FE" w:rsidRPr="000E309B" w:rsidRDefault="00D14B33" w:rsidP="00AE7F61">
      <w:pPr>
        <w:pStyle w:val="Heading4"/>
      </w:pPr>
      <w:r w:rsidRPr="000E309B">
        <w:lastRenderedPageBreak/>
        <w:t>Nonparametric Hypothesis Tests</w:t>
      </w:r>
    </w:p>
    <w:p w14:paraId="24A61716" w14:textId="18268050" w:rsidR="00B554BB" w:rsidRDefault="00B554BB" w:rsidP="00B554BB">
      <w:r>
        <w:t>When analyzing nonparametric data, researchers often rely on two statistical techniques: the Mann-Whitney U test and the Kruskal-Wallis H test. Although there are numerous methods available for nonparametric data analysis, these two tests are the most used.</w:t>
      </w:r>
    </w:p>
    <w:p w14:paraId="63C8BE9A" w14:textId="77777777" w:rsidR="00B554BB" w:rsidRDefault="00B554BB" w:rsidP="00B554BB">
      <w:pPr>
        <w:pStyle w:val="Heading5"/>
      </w:pPr>
      <w:r>
        <w:t>Mann-Whitney U test</w:t>
      </w:r>
    </w:p>
    <w:p w14:paraId="2744FE6D" w14:textId="77777777" w:rsidR="00B554BB" w:rsidRDefault="00B554BB" w:rsidP="00B554BB">
      <w:r>
        <w:t>The Mann-Whitney U test is a statistical method used to determine significant differences between two groups of data that are not normally distributed, often categorical. This test is particularly useful when the assumptions required for a t-test are not met.</w:t>
      </w:r>
    </w:p>
    <w:p w14:paraId="1CE16554" w14:textId="277A598D" w:rsidR="00B554BB" w:rsidRDefault="00B554BB" w:rsidP="00B554BB">
      <w:r>
        <w:t>For example, Gluck conducted a study titled "How Short Is Too Short? Implications of Length and Framing on the Effectiveness of Privacy Notices."</w:t>
      </w:r>
      <w:r w:rsidR="0034156C">
        <w:t xml:space="preserve"> </w:t>
      </w:r>
      <w:r w:rsidR="0034156C">
        <w:fldChar w:fldCharType="begin"/>
      </w:r>
      <w:r w:rsidR="007C07B4">
        <w:instrText xml:space="preserve"> ADDIN ZOTERO_ITEM CSL_CITATION {"citationID":"a2jj5k1hsgr","properties":{"formattedCitation":"[66]","plainCitation":"[66]","noteIndex":0},"citationItems":[{"id":197,"uris":["http://zotero.org/users/5015692/items/RMYW9GH9"],"itemData":{"id":197,"type":"paper-conference","container-title":"12th Symposium on Usable Privacy and Security (SOUPS)","page":"321–340","title":"How short is too short? Implications of length and framing on the effectiveness of privacy notices","author":[{"family":"Gluck","given":"Joshua"},{"family":"Schaub","given":"Florian"},{"family":"Friedman","given":"Amy"},{"family":"Habib","given":"Hana"},{"family":"Sadeh","given":"Norman"},{"family":"Cranor","given":"Lorrie Faith"},{"family":"Agarwal","given":"Yuvraj"}],"issued":{"date-parts":[["2016"]]}}}],"schema":"https://github.com/citation-style-language/schema/raw/master/csl-citation.json"} </w:instrText>
      </w:r>
      <w:r w:rsidR="0034156C">
        <w:fldChar w:fldCharType="separate"/>
      </w:r>
      <w:r w:rsidR="007C07B4" w:rsidRPr="007C07B4">
        <w:t>[66]</w:t>
      </w:r>
      <w:r w:rsidR="0034156C">
        <w:fldChar w:fldCharType="end"/>
      </w:r>
      <w:r>
        <w:t xml:space="preserve"> The researchers hypothesized that people often do not read or understand long privacy notices. They presented groups of participants with short and long privacy notices and then assessed their understanding. The Mann-Whitney U test was used to compare the groups, revealing that participants who received the shorter form had a better understanding of their privacy rights compared to those who received the longer form.</w:t>
      </w:r>
    </w:p>
    <w:p w14:paraId="27FA8352" w14:textId="77777777" w:rsidR="00B554BB" w:rsidRDefault="00B554BB" w:rsidP="00BA3047">
      <w:pPr>
        <w:pStyle w:val="Heading5"/>
      </w:pPr>
      <w:r>
        <w:t>Kruskal-Wallis H test</w:t>
      </w:r>
    </w:p>
    <w:p w14:paraId="508CAB31" w14:textId="77777777" w:rsidR="00B554BB" w:rsidRDefault="00B554BB" w:rsidP="00B554BB">
      <w:r>
        <w:t>The Kruskal-Wallis H test is a statistical method used to determine significant differences among three or more groups of data that are not normally distributed, often categorical. This test is an extension of the Mann-Whitney U test for situations involving more than two groups.</w:t>
      </w:r>
    </w:p>
    <w:p w14:paraId="3F905ECD" w14:textId="3E6FD804" w:rsidR="00B554BB" w:rsidRDefault="00B554BB" w:rsidP="00B554BB">
      <w:r>
        <w:t>Titlebaum and Lawrence provide an excellent example of using the Kruskal-Wallis H test in their study "Perceived Motivations for Corporate Suite Ownership in the 'Big Four' Leagues."</w:t>
      </w:r>
      <w:r w:rsidR="0034156C">
        <w:t xml:space="preserve"> </w:t>
      </w:r>
      <w:r w:rsidR="0034156C">
        <w:fldChar w:fldCharType="begin"/>
      </w:r>
      <w:r w:rsidR="007C07B4">
        <w:instrText xml:space="preserve"> ADDIN ZOTERO_ITEM CSL_CITATION {"citationID":"acuv5mbcj6","properties":{"formattedCitation":"[67]","plainCitation":"[67]","noteIndex":0},"citationItems":[{"id":195,"uris":["http://zotero.org/users/5015692/items/CGIGJY6F"],"itemData":{"id":195,"type":"article-journal","title":"Perceived motivations for corporate suite ownership in the'big four'leagues","author":[{"family":"Titlebaum","given":"Peter"},{"family":"Lawrence","given":"Heather"}],"issued":{"date-parts":[["2016"]]}}}],"schema":"https://github.com/citation-style-language/schema/raw/master/csl-citation.json"} </w:instrText>
      </w:r>
      <w:r w:rsidR="0034156C">
        <w:fldChar w:fldCharType="separate"/>
      </w:r>
      <w:r w:rsidR="007C07B4" w:rsidRPr="007C07B4">
        <w:t>[67]</w:t>
      </w:r>
      <w:r w:rsidR="0034156C">
        <w:fldChar w:fldCharType="end"/>
      </w:r>
      <w:r>
        <w:t xml:space="preserve"> The researchers examined 29 reasons for corporations to purchase luxury suites in the four major sports leagues (NFL, MLB, NBA, and NHL). After surveying corporate leadership, they applied the Kruskal-Wallis H test to the results to identify the most important reasons. The analysis revealed four significant motivations: entertaining employees, supporting the community, perception of the company in the community, and customized gifts for suite owners.</w:t>
      </w:r>
    </w:p>
    <w:p w14:paraId="12051EFA" w14:textId="77777777" w:rsidR="00B554BB" w:rsidRDefault="00B554BB" w:rsidP="00B554BB">
      <w:r>
        <w:t>Both the Mann-Whitney U and Kruskal-Wallis H tests result in a p-value, which represents the probability that the observed results were due to chance rather than the applied treatment or intervention. Researchers generally consider a p-value less than 0.05 (5%) to be statistically significant, indicating a low probability that the results occurred by chance alone. If the p-value is greater than 0.05, the researcher would conclude that no significant result was found.</w:t>
      </w:r>
    </w:p>
    <w:p w14:paraId="5327D3AF" w14:textId="15F60575" w:rsidR="00A626FE" w:rsidRDefault="00B554BB" w:rsidP="00B554BB">
      <w:r>
        <w:t>Researchers must select the appropriate statistical test based on the nature of their data and research questions. The Mann-Whitney U and Kruskal-Wallis H tests are valuable tools for analyzing nonparametric data and identifying significant differences between groups. By employing these techniques, researchers can make informed decisions about the significance of their findings and draw meaningful conclusions from their data, even when the data do not meet the assumptions required for parametric tests.</w:t>
      </w:r>
    </w:p>
    <w:p w14:paraId="5327D3B0" w14:textId="530D0102" w:rsidR="00A626FE" w:rsidRPr="000E309B" w:rsidRDefault="004D34C9" w:rsidP="004D34C9">
      <w:pPr>
        <w:pStyle w:val="Heading3"/>
      </w:pPr>
      <w:bookmarkStart w:id="86" w:name="_Toc169156731"/>
      <w:r>
        <w:lastRenderedPageBreak/>
        <w:t>D</w:t>
      </w:r>
      <w:r w:rsidR="00D14B33" w:rsidRPr="000E309B">
        <w:t xml:space="preserve">ata </w:t>
      </w:r>
      <w:r>
        <w:t>M</w:t>
      </w:r>
      <w:r w:rsidR="00D14B33" w:rsidRPr="000E309B">
        <w:t>ining</w:t>
      </w:r>
      <w:bookmarkEnd w:id="86"/>
    </w:p>
    <w:p w14:paraId="7C7B0B3B" w14:textId="207CA3A4" w:rsidR="009737F3" w:rsidRDefault="009737F3" w:rsidP="009737F3">
      <w:r>
        <w:t>Data mining is a relatively new and increasingly popular statistical technique that focuses on extracting valuable information from vast databases. This process involves analyzing large datasets to uncover hidden patterns, trends, and relationships that can inform decision-making and drive business growth. Raval published a comprehensive overview of data mining techniques, highlighting their potential applications and benefits</w:t>
      </w:r>
      <w:r w:rsidR="000A01AF">
        <w:t xml:space="preserve"> </w:t>
      </w:r>
      <w:r w:rsidR="000A01AF">
        <w:fldChar w:fldCharType="begin"/>
      </w:r>
      <w:r w:rsidR="007C07B4">
        <w:instrText xml:space="preserve"> ADDIN ZOTERO_ITEM CSL_CITATION {"citationID":"a15g1te733f","properties":{"formattedCitation":"[68]","plainCitation":"[68]","noteIndex":0},"citationItems":[{"id":196,"uris":["http://zotero.org/users/5015692/items/K3I9A7RW"],"itemData":{"id":196,"type":"article-journal","container-title":"International Journal of Advanced Research in Computer Science and Software Engineering","issue":"10","title":"Data Mining Techniques","volume":"2","author":[{"family":"Raval","given":"Kalyani M"}],"issued":{"date-parts":[["2012"]]}}}],"schema":"https://github.com/citation-style-language/schema/raw/master/csl-citation.json"} </w:instrText>
      </w:r>
      <w:r w:rsidR="000A01AF">
        <w:fldChar w:fldCharType="separate"/>
      </w:r>
      <w:r w:rsidR="007C07B4" w:rsidRPr="007C07B4">
        <w:t>[68]</w:t>
      </w:r>
      <w:r w:rsidR="000A01AF">
        <w:fldChar w:fldCharType="end"/>
      </w:r>
      <w:r>
        <w:t>.</w:t>
      </w:r>
    </w:p>
    <w:p w14:paraId="7540C4FF" w14:textId="77777777" w:rsidR="009737F3" w:rsidRDefault="009737F3" w:rsidP="009737F3">
      <w:r>
        <w:t>One common example of data mining in action is in the retail industry. Stores collect and analyze data on customer purchases, shopping habits, demographics, and other relevant factors to gain insights into consumer behavior. By mining this data, retailers can:</w:t>
      </w:r>
    </w:p>
    <w:p w14:paraId="30BBCA10" w14:textId="339EA2C8" w:rsidR="009737F3" w:rsidRDefault="009737F3" w:rsidP="00911A33">
      <w:pPr>
        <w:pStyle w:val="ListParagraph"/>
        <w:numPr>
          <w:ilvl w:val="0"/>
          <w:numId w:val="249"/>
        </w:numPr>
      </w:pPr>
      <w:r>
        <w:t>Plan targeted sales and promotions</w:t>
      </w:r>
      <w:r w:rsidR="00911A33">
        <w:t>.</w:t>
      </w:r>
    </w:p>
    <w:p w14:paraId="2F4389E7" w14:textId="67D7B363" w:rsidR="009737F3" w:rsidRDefault="009737F3" w:rsidP="00911A33">
      <w:pPr>
        <w:pStyle w:val="ListParagraph"/>
        <w:numPr>
          <w:ilvl w:val="0"/>
          <w:numId w:val="249"/>
        </w:numPr>
      </w:pPr>
      <w:r>
        <w:t>Send personalized coupons to customers based on their purchase history</w:t>
      </w:r>
      <w:r w:rsidR="00911A33">
        <w:t>.</w:t>
      </w:r>
    </w:p>
    <w:p w14:paraId="4D0E1E56" w14:textId="5909C9E9" w:rsidR="009737F3" w:rsidRDefault="009737F3" w:rsidP="00911A33">
      <w:pPr>
        <w:pStyle w:val="ListParagraph"/>
        <w:numPr>
          <w:ilvl w:val="0"/>
          <w:numId w:val="249"/>
        </w:numPr>
      </w:pPr>
      <w:r>
        <w:t>Make product recommendations that align with individual customer preferences</w:t>
      </w:r>
      <w:r w:rsidR="00911A33">
        <w:t>.</w:t>
      </w:r>
    </w:p>
    <w:p w14:paraId="31AEA4A8" w14:textId="6793CD87" w:rsidR="009737F3" w:rsidRDefault="009737F3" w:rsidP="00911A33">
      <w:pPr>
        <w:pStyle w:val="ListParagraph"/>
        <w:numPr>
          <w:ilvl w:val="0"/>
          <w:numId w:val="249"/>
        </w:numPr>
      </w:pPr>
      <w:r>
        <w:t>Optimize inventory management and product placement</w:t>
      </w:r>
      <w:r w:rsidR="00911A33">
        <w:t>.</w:t>
      </w:r>
    </w:p>
    <w:p w14:paraId="13EF8B97" w14:textId="2C40A4BD" w:rsidR="009737F3" w:rsidRDefault="009737F3" w:rsidP="00911A33">
      <w:pPr>
        <w:pStyle w:val="ListParagraph"/>
        <w:numPr>
          <w:ilvl w:val="0"/>
          <w:numId w:val="249"/>
        </w:numPr>
      </w:pPr>
      <w:r>
        <w:t>Identify trends and forecast future demand</w:t>
      </w:r>
      <w:r w:rsidR="00911A33">
        <w:t>.</w:t>
      </w:r>
    </w:p>
    <w:p w14:paraId="67CAC910" w14:textId="77777777" w:rsidR="009737F3" w:rsidRDefault="009737F3" w:rsidP="009737F3">
      <w:r>
        <w:t>These data-driven strategies aim to increase customer engagement, loyalty, and ultimately, spending.</w:t>
      </w:r>
    </w:p>
    <w:p w14:paraId="63D69097" w14:textId="739A2C8E" w:rsidR="009737F3" w:rsidRDefault="009737F3" w:rsidP="009737F3">
      <w:r>
        <w:t xml:space="preserve">While there are numerous data mining techniques available, three have emerged as the </w:t>
      </w:r>
      <w:r w:rsidR="00A87A60">
        <w:t>most used</w:t>
      </w:r>
      <w:r w:rsidR="00207830">
        <w:t>: clustering, decision tree, and market basket</w:t>
      </w:r>
      <w:r>
        <w:t>. Each of these methods employs unique algorithms and approaches to uncover valuable insights from large datasets.</w:t>
      </w:r>
    </w:p>
    <w:p w14:paraId="5327D3B2" w14:textId="02A09CD4" w:rsidR="00A626FE" w:rsidRPr="000E309B" w:rsidRDefault="00D14B33" w:rsidP="00FE318D">
      <w:pPr>
        <w:pStyle w:val="Heading4"/>
      </w:pPr>
      <w:r w:rsidRPr="000E309B">
        <w:t>Clustering</w:t>
      </w:r>
    </w:p>
    <w:p w14:paraId="4358D003" w14:textId="5F9977E2" w:rsidR="00A26D63" w:rsidRDefault="00A26D63" w:rsidP="00A26D63">
      <w:r>
        <w:t>Clustering is a powerful data mining technique that involves grouping customers or data points based on shared characteristics or patterns. In the context of marketing and sales, clustering can be highly beneficial for developing targeted advertising strategies and improving overall effectiveness. By identifying common traits among customers in a specific region or market segment, businesses can tailor their marketing efforts to better resonate with that group.</w:t>
      </w:r>
    </w:p>
    <w:p w14:paraId="62B1707D" w14:textId="77777777" w:rsidR="000659A5" w:rsidRDefault="00A26D63" w:rsidP="00A26D63">
      <w:r>
        <w:t>To illustrate the concept of clustering, consider a scatter plot with three distinct clusters</w:t>
      </w:r>
      <w:r w:rsidR="000659A5">
        <w:t>, as illustrated in the following figure</w:t>
      </w:r>
      <w:r>
        <w:t xml:space="preserve">. Although this plot was generated using dummy data, it demonstrates the type of clustering that a researcher might encounter in a real-world dataset. </w:t>
      </w:r>
    </w:p>
    <w:p w14:paraId="53CC073C" w14:textId="047E65A6" w:rsidR="00572FE3" w:rsidRDefault="005B098F" w:rsidP="005B098F">
      <w:pPr>
        <w:pStyle w:val="NoSpacing"/>
      </w:pPr>
      <w:r>
        <w:rPr>
          <w:noProof/>
        </w:rPr>
        <w:lastRenderedPageBreak/>
        <mc:AlternateContent>
          <mc:Choice Requires="wps">
            <w:drawing>
              <wp:anchor distT="0" distB="0" distL="114300" distR="114300" simplePos="0" relativeHeight="251998292" behindDoc="0" locked="0" layoutInCell="1" allowOverlap="1" wp14:anchorId="000E4FF3" wp14:editId="044F706D">
                <wp:simplePos x="0" y="0"/>
                <wp:positionH relativeFrom="column">
                  <wp:posOffset>951230</wp:posOffset>
                </wp:positionH>
                <wp:positionV relativeFrom="paragraph">
                  <wp:posOffset>3266440</wp:posOffset>
                </wp:positionV>
                <wp:extent cx="4041140" cy="635"/>
                <wp:effectExtent l="0" t="0" r="0" b="0"/>
                <wp:wrapTopAndBottom/>
                <wp:docPr id="1156774607" name="Text Box 1"/>
                <wp:cNvGraphicFramePr/>
                <a:graphic xmlns:a="http://schemas.openxmlformats.org/drawingml/2006/main">
                  <a:graphicData uri="http://schemas.microsoft.com/office/word/2010/wordprocessingShape">
                    <wps:wsp>
                      <wps:cNvSpPr txBox="1"/>
                      <wps:spPr>
                        <a:xfrm>
                          <a:off x="0" y="0"/>
                          <a:ext cx="4041140" cy="635"/>
                        </a:xfrm>
                        <a:prstGeom prst="rect">
                          <a:avLst/>
                        </a:prstGeom>
                        <a:solidFill>
                          <a:prstClr val="white"/>
                        </a:solidFill>
                        <a:ln>
                          <a:noFill/>
                        </a:ln>
                      </wps:spPr>
                      <wps:txbx>
                        <w:txbxContent>
                          <w:p w14:paraId="3F570D85" w14:textId="68953CC8" w:rsidR="005B098F" w:rsidRPr="00B67859" w:rsidRDefault="005B098F" w:rsidP="005B098F">
                            <w:pPr>
                              <w:pStyle w:val="Caption"/>
                              <w:jc w:val="center"/>
                              <w:rPr>
                                <w:noProof/>
                              </w:rPr>
                            </w:pPr>
                            <w:r>
                              <w:t xml:space="preserve">Figure </w:t>
                            </w:r>
                            <w:r>
                              <w:fldChar w:fldCharType="begin"/>
                            </w:r>
                            <w:r>
                              <w:instrText xml:space="preserve"> SEQ Figure \* ARABIC </w:instrText>
                            </w:r>
                            <w:r>
                              <w:fldChar w:fldCharType="separate"/>
                            </w:r>
                            <w:r w:rsidR="00980002">
                              <w:rPr>
                                <w:noProof/>
                              </w:rPr>
                              <w:t>19</w:t>
                            </w:r>
                            <w:r>
                              <w:fldChar w:fldCharType="end"/>
                            </w:r>
                            <w:r>
                              <w:t>: Scatter Plot Illustrating Clustering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0E4FF3" id="_x0000_s1093" type="#_x0000_t202" style="position:absolute;margin-left:74.9pt;margin-top:257.2pt;width:318.2pt;height:.05pt;z-index:251998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" stroked="f">
                <v:textbox style="mso-fit-shape-to-text:t" inset="0,0,0,0">
                  <w:txbxContent>
                    <w:p w14:paraId="3F570D85" w14:textId="68953CC8" w:rsidR="005B098F" w:rsidRPr="00B67859" w:rsidRDefault="005B098F" w:rsidP="005B098F">
                      <w:pPr>
                        <w:pStyle w:val="Caption"/>
                        <w:jc w:val="center"/>
                        <w:rPr>
                          <w:noProof/>
                        </w:rPr>
                      </w:pPr>
                      <w:r>
                        <w:t xml:space="preserve">Figure </w:t>
                      </w:r>
                      <w:r>
                        <w:fldChar w:fldCharType="begin"/>
                      </w:r>
                      <w:r>
                        <w:instrText xml:space="preserve"> SEQ Figure \* ARABIC </w:instrText>
                      </w:r>
                      <w:r>
                        <w:fldChar w:fldCharType="separate"/>
                      </w:r>
                      <w:r w:rsidR="00980002">
                        <w:rPr>
                          <w:noProof/>
                        </w:rPr>
                        <w:t>19</w:t>
                      </w:r>
                      <w:r>
                        <w:fldChar w:fldCharType="end"/>
                      </w:r>
                      <w:r>
                        <w:t>: Scatter Plot Illustrating Clustering</w:t>
                      </w:r>
                    </w:p>
                  </w:txbxContent>
                </v:textbox>
                <w10:wrap type="topAndBottom"/>
              </v:shape>
            </w:pict>
          </mc:Fallback>
        </mc:AlternateContent>
      </w:r>
      <w:r w:rsidR="00572FE3" w:rsidRPr="000E309B">
        <w:rPr>
          <w:noProof/>
        </w:rPr>
        <w:drawing>
          <wp:anchor distT="0" distB="0" distL="114300" distR="114300" simplePos="0" relativeHeight="251899988" behindDoc="0" locked="0" layoutInCell="1" allowOverlap="1" wp14:anchorId="1CD113A7" wp14:editId="0C8A22C0">
            <wp:simplePos x="0" y="0"/>
            <wp:positionH relativeFrom="column">
              <wp:align>center</wp:align>
            </wp:positionH>
            <wp:positionV relativeFrom="paragraph">
              <wp:posOffset>0</wp:posOffset>
            </wp:positionV>
            <wp:extent cx="4041648" cy="3209544"/>
            <wp:effectExtent l="0" t="0" r="0" b="0"/>
            <wp:wrapTopAndBottom/>
            <wp:docPr id="10658" name="Picture 10658" descr="A group of dots in different colors&#10;&#10;Description automatically generated"/>
            <wp:cNvGraphicFramePr/>
            <a:graphic xmlns:a="http://schemas.openxmlformats.org/drawingml/2006/main">
              <a:graphicData uri="http://schemas.openxmlformats.org/drawingml/2006/picture">
                <pic:pic xmlns:pic="http://schemas.openxmlformats.org/drawingml/2006/picture">
                  <pic:nvPicPr>
                    <pic:cNvPr id="10658" name="Picture 10658" descr="A group of dots in different colors&#10;&#10;Description automatically generated"/>
                    <pic:cNvPicPr/>
                  </pic:nvPicPr>
                  <pic:blipFill>
                    <a:blip r:embed="rId199">
                      <a:extLst>
                        <a:ext uri="{28A0092B-C50C-407E-A947-70E740481C1C}">
                          <a14:useLocalDpi xmlns:a14="http://schemas.microsoft.com/office/drawing/2010/main" val="0"/>
                        </a:ext>
                      </a:extLst>
                    </a:blip>
                    <a:stretch>
                      <a:fillRect/>
                    </a:stretch>
                  </pic:blipFill>
                  <pic:spPr>
                    <a:xfrm>
                      <a:off x="0" y="0"/>
                      <a:ext cx="4041648" cy="3209544"/>
                    </a:xfrm>
                    <a:prstGeom prst="rect">
                      <a:avLst/>
                    </a:prstGeom>
                  </pic:spPr>
                </pic:pic>
              </a:graphicData>
            </a:graphic>
            <wp14:sizeRelH relativeFrom="margin">
              <wp14:pctWidth>0</wp14:pctWidth>
            </wp14:sizeRelH>
            <wp14:sizeRelV relativeFrom="margin">
              <wp14:pctHeight>0</wp14:pctHeight>
            </wp14:sizeRelV>
          </wp:anchor>
        </w:drawing>
      </w:r>
    </w:p>
    <w:p w14:paraId="0A5EEAB9" w14:textId="426FBDAA" w:rsidR="00A26D63" w:rsidRDefault="00A26D63" w:rsidP="00A26D63">
      <w:r>
        <w:t>Each cluster represents a group of data points that share similar properties or behaviors. By analyzing the location and characteristics of a specific cluster in relation to others, marketers can develop targeted campaigns that focus on the unique attributes of customers within that cluster.</w:t>
      </w:r>
    </w:p>
    <w:p w14:paraId="46EF3831" w14:textId="28614A88" w:rsidR="00A26D63" w:rsidRDefault="00A26D63" w:rsidP="00A26D63">
      <w:r>
        <w:t xml:space="preserve">A real-world example of clustering in action can be found in </w:t>
      </w:r>
      <w:r w:rsidR="0020070B">
        <w:t>a</w:t>
      </w:r>
      <w:r>
        <w:t xml:space="preserve"> study</w:t>
      </w:r>
      <w:r w:rsidR="0020070B">
        <w:t xml:space="preserve"> about bicycle </w:t>
      </w:r>
      <w:r w:rsidR="001C1EB5">
        <w:t>usage</w:t>
      </w:r>
      <w:r w:rsidR="000A01AF">
        <w:t xml:space="preserve"> </w:t>
      </w:r>
      <w:r w:rsidR="000A01AF">
        <w:fldChar w:fldCharType="begin"/>
      </w:r>
      <w:r w:rsidR="007C07B4">
        <w:instrText xml:space="preserve"> ADDIN ZOTERO_ITEM CSL_CITATION {"citationID":"a2o2vb6h0g7","properties":{"formattedCitation":"[69]","plainCitation":"[69]","noteIndex":0},"citationItems":[{"id":192,"uris":["http://zotero.org/users/5015692/items/77YD5HKY"],"itemData":{"id":192,"type":"article-journal","container-title":"Procedia-Social and Behavioral Sciences","page":"514–523","title":"Understanding bike-sharing systems using data mining: Exploring activity patterns","volume":"20","author":[{"family":"Vogel","given":"Patrick"},{"family":"Greiser","given":"Torsten"},{"family":"Mattfeld","given":"Dirk Christian"}],"issued":{"date-parts":[["2011"]]}}}],"schema":"https://github.com/citation-style-language/schema/raw/master/csl-citation.json"} </w:instrText>
      </w:r>
      <w:r w:rsidR="000A01AF">
        <w:fldChar w:fldCharType="separate"/>
      </w:r>
      <w:r w:rsidR="007C07B4" w:rsidRPr="007C07B4">
        <w:t>[69]</w:t>
      </w:r>
      <w:r w:rsidR="000A01AF">
        <w:fldChar w:fldCharType="end"/>
      </w:r>
      <w:r>
        <w:t>. The researchers analyzed a massive dataset containing more than 760,000 bicycle pickups and returns at stations in Vienna, Austria, from 2008-2009. Their goal was to identify usage patterns and cluster the stations based on these patterns.</w:t>
      </w:r>
    </w:p>
    <w:p w14:paraId="099E0B37" w14:textId="77777777" w:rsidR="00A26D63" w:rsidRDefault="00A26D63" w:rsidP="00A26D63">
      <w:r>
        <w:t>Applying cluster analysis techniques, the researchers divided the city's bike-sharing stations into five distinct groups. One particularly interesting group was characterized by an exceptionally high number of morning returns and evening pickups, suggesting that these stations were primarily used by commuters. By identifying such patterns, the study provided valuable insights to the city, which could be used to guide future station placement and optimize the bike-sharing system.</w:t>
      </w:r>
    </w:p>
    <w:p w14:paraId="7EE63C77" w14:textId="77777777" w:rsidR="00A26D63" w:rsidRDefault="00A26D63" w:rsidP="00A26D63">
      <w:r>
        <w:t>This example demonstrates how clustering can be applied to urban planning and transportation management. By understanding the usage patterns of bike-sharing stations, city officials can make informed decisions about where to locate new stations, how to allocate resources, and how to improve the overall efficiency of the system.</w:t>
      </w:r>
    </w:p>
    <w:p w14:paraId="5327D3B8" w14:textId="1723E6B7" w:rsidR="00A626FE" w:rsidRPr="000E309B" w:rsidRDefault="00D14B33" w:rsidP="007127E8">
      <w:pPr>
        <w:pStyle w:val="Heading4"/>
      </w:pPr>
      <w:r w:rsidRPr="000E309B">
        <w:t>Decision Tree</w:t>
      </w:r>
    </w:p>
    <w:p w14:paraId="52B4780B" w14:textId="77777777" w:rsidR="00FD47B9" w:rsidRDefault="00FD47B9" w:rsidP="00FD47B9">
      <w:r>
        <w:t>Decision trees are a powerful data mining technique used to organize known data and make predictions on new data. By creating a tree-like model of decisions and their possible consequences, decision trees can help identify patterns and relationships within a dataset. A well-</w:t>
      </w:r>
      <w:r>
        <w:lastRenderedPageBreak/>
        <w:t>known example of a decision tree can be found in the analysis of the Titanic disaster, where a dataset containing information about the passengers was used to predict survival rates.</w:t>
      </w:r>
    </w:p>
    <w:p w14:paraId="314BF462" w14:textId="7D2D9FF3" w:rsidR="00C567F1" w:rsidRDefault="00FD47B9" w:rsidP="00FD47B9">
      <w:r>
        <w:t>In the following figure, the decision tree starts at the top, revealing that few male passengers survived. Moving down the tree, it becomes evident that no female passengers with more than 4.5 siblings or spouses on board survived, indicating that large families were more likely to perish. However, the tree also shows that nearly all first-class female passengers with few family members on board survived. By following the branches of the decision tree, one can predict the likelihood of a passenger's survival based on their characteristics.</w:t>
      </w:r>
    </w:p>
    <w:p w14:paraId="045BDE88" w14:textId="77777777" w:rsidR="007127E8" w:rsidRDefault="00D14B33" w:rsidP="007127E8">
      <w:pPr>
        <w:keepNext/>
        <w:spacing w:line="360" w:lineRule="auto"/>
        <w:jc w:val="center"/>
      </w:pPr>
      <w:r w:rsidRPr="000E309B">
        <w:rPr>
          <w:noProof/>
        </w:rPr>
        <w:drawing>
          <wp:inline distT="0" distB="0" distL="0" distR="0" wp14:anchorId="5327DDC5" wp14:editId="5327DDC6">
            <wp:extent cx="4038823" cy="3571699"/>
            <wp:effectExtent l="0" t="0" r="0" b="0"/>
            <wp:docPr id="10717" name="Picture 10717"/>
            <wp:cNvGraphicFramePr/>
            <a:graphic xmlns:a="http://schemas.openxmlformats.org/drawingml/2006/main">
              <a:graphicData uri="http://schemas.openxmlformats.org/drawingml/2006/picture">
                <pic:pic xmlns:pic="http://schemas.openxmlformats.org/drawingml/2006/picture">
                  <pic:nvPicPr>
                    <pic:cNvPr id="10717" name="Picture 10717"/>
                    <pic:cNvPicPr/>
                  </pic:nvPicPr>
                  <pic:blipFill>
                    <a:blip r:embed="rId200"/>
                    <a:stretch>
                      <a:fillRect/>
                    </a:stretch>
                  </pic:blipFill>
                  <pic:spPr>
                    <a:xfrm>
                      <a:off x="0" y="0"/>
                      <a:ext cx="4038823" cy="3571699"/>
                    </a:xfrm>
                    <a:prstGeom prst="rect">
                      <a:avLst/>
                    </a:prstGeom>
                  </pic:spPr>
                </pic:pic>
              </a:graphicData>
            </a:graphic>
          </wp:inline>
        </w:drawing>
      </w:r>
    </w:p>
    <w:p w14:paraId="5327D3BA" w14:textId="0C156754" w:rsidR="00A626FE" w:rsidRPr="000E309B" w:rsidRDefault="007127E8" w:rsidP="007127E8">
      <w:pPr>
        <w:pStyle w:val="Caption"/>
        <w:jc w:val="center"/>
      </w:pPr>
      <w:bookmarkStart w:id="87" w:name="_Ref71011047"/>
      <w:bookmarkStart w:id="88" w:name="_Ref69382412"/>
      <w:r>
        <w:t xml:space="preserve">Figure </w:t>
      </w:r>
      <w:r w:rsidR="006D77BF">
        <w:fldChar w:fldCharType="begin"/>
      </w:r>
      <w:r w:rsidR="006D77BF">
        <w:instrText xml:space="preserve"> SEQ Figure \* ARABIC </w:instrText>
      </w:r>
      <w:r w:rsidR="006D77BF">
        <w:fldChar w:fldCharType="separate"/>
      </w:r>
      <w:r w:rsidR="00980002">
        <w:rPr>
          <w:noProof/>
        </w:rPr>
        <w:t>20</w:t>
      </w:r>
      <w:r w:rsidR="006D77BF">
        <w:rPr>
          <w:noProof/>
        </w:rPr>
        <w:fldChar w:fldCharType="end"/>
      </w:r>
      <w:bookmarkEnd w:id="87"/>
      <w:r>
        <w:t xml:space="preserve">: </w:t>
      </w:r>
      <w:r w:rsidR="00A67A2E">
        <w:t xml:space="preserve">Example Decision </w:t>
      </w:r>
      <w:r>
        <w:t>Tree</w:t>
      </w:r>
      <w:bookmarkEnd w:id="88"/>
    </w:p>
    <w:p w14:paraId="5B47784D" w14:textId="38EB3B4C" w:rsidR="00781BFC" w:rsidRDefault="00781BFC" w:rsidP="00781BFC">
      <w:r>
        <w:t>The application of decision trees extends beyond historical analysis and can be used to gain insights into modern-day problems. Consider a study of the Grenada, Spain, public transportation system the included using decision trees</w:t>
      </w:r>
      <w:r w:rsidR="00681E16">
        <w:t xml:space="preserve"> </w:t>
      </w:r>
      <w:r w:rsidR="00681E16">
        <w:fldChar w:fldCharType="begin"/>
      </w:r>
      <w:r w:rsidR="007C07B4">
        <w:instrText xml:space="preserve"> ADDIN ZOTERO_ITEM CSL_CITATION {"citationID":"a1of8be3r6d","properties":{"formattedCitation":"[70]","plainCitation":"[70]","noteIndex":0},"citationItems":[{"id":191,"uris":["http://zotero.org/users/5015692/items/QUWLNILY"],"itemData":{"id":191,"type":"article-journal","container-title":"Transportation","issue":"5","page":"725–747","title":"Transit service quality analysis using cluster analysis and decision trees: a step forward to personalized marketing in public transportation","volume":"43","author":[{"family":"Oña","given":"Juan","non-dropping-particle":"de"},{"family":"Oña","given":"Rocío","non-dropping-particle":"de"},{"family":"López","given":"Griselda"}],"issued":{"date-parts":[["2016"]]}}}],"schema":"https://github.com/citation-style-language/schema/raw/master/csl-citation.json"} </w:instrText>
      </w:r>
      <w:r w:rsidR="00681E16">
        <w:fldChar w:fldCharType="separate"/>
      </w:r>
      <w:r w:rsidR="007C07B4" w:rsidRPr="007C07B4">
        <w:t>[70]</w:t>
      </w:r>
      <w:r w:rsidR="00681E16">
        <w:fldChar w:fldCharType="end"/>
      </w:r>
      <w:r>
        <w:t>. The researchers analyzed 3,664 passenger surveys collected from 2008 to 2011, which included demographic information and ratings of various bus service aspects.</w:t>
      </w:r>
    </w:p>
    <w:p w14:paraId="07E53272" w14:textId="77777777" w:rsidR="00781BFC" w:rsidRDefault="00781BFC" w:rsidP="00781BFC">
      <w:r>
        <w:t>To begin, the researchers employed cluster analysis to group passengers into four categories based on their characteristics: "Young Students," "Working Women," "Sporadic Users," and "Elderly Passengers." Next, they generated five decision trees – one for each group and one overall – to identify the factors that differentiated between "poor" and "good" service ratings.</w:t>
      </w:r>
    </w:p>
    <w:p w14:paraId="18639CEF" w14:textId="77777777" w:rsidR="00781BFC" w:rsidRDefault="00781BFC" w:rsidP="00781BFC">
      <w:r>
        <w:lastRenderedPageBreak/>
        <w:t>The results of the study revealed interesting insights. For the overall tree, service frequency emerged as the most important factor influencing passenger satisfaction. However, when examining the decision tree for the "Young Students" group, punctuality was found to be the primary determining factor. This finding suggests that different passenger groups prioritize different aspects of public transportation, and understanding these preferences can help improve service quality and customer satisfaction.</w:t>
      </w:r>
    </w:p>
    <w:p w14:paraId="43EB490F" w14:textId="7ACBC36F" w:rsidR="00781BFC" w:rsidRDefault="00781BFC" w:rsidP="00781BFC">
      <w:r>
        <w:t>The Grenada public transportation study is</w:t>
      </w:r>
      <w:r w:rsidR="002F49F5">
        <w:t xml:space="preserve"> also</w:t>
      </w:r>
      <w:r>
        <w:t xml:space="preserve"> an excellent example of how two data mining techniques, cluster analysis and decision tree building, can be combined to extract valuable information from a large dataset. By first grouping passengers into clusters based on shared characteristics and then creating decision trees for each group, the researchers were able to identify the unique factors that influenced passenger satisfaction within each segment.</w:t>
      </w:r>
    </w:p>
    <w:p w14:paraId="5327D3BF" w14:textId="1B4F85F8" w:rsidR="00A626FE" w:rsidRPr="000E309B" w:rsidRDefault="00D14B33" w:rsidP="00E955B4">
      <w:pPr>
        <w:pStyle w:val="Heading4"/>
      </w:pPr>
      <w:r w:rsidRPr="000E309B">
        <w:t>Market Basket</w:t>
      </w:r>
    </w:p>
    <w:p w14:paraId="5565D2B9" w14:textId="1D9102CE" w:rsidR="002E5A7A" w:rsidRDefault="002E5A7A" w:rsidP="002E5A7A">
      <w:r>
        <w:t>Market basket analysis is a powerful data mining technique that evaluates the products customers purchase simultaneously,</w:t>
      </w:r>
      <w:r w:rsidR="007045E6">
        <w:t xml:space="preserve"> that is, </w:t>
      </w:r>
      <w:r w:rsidR="00F769CB">
        <w:t>all</w:t>
      </w:r>
      <w:r w:rsidR="007045E6">
        <w:t xml:space="preserve"> the products in a single market basket at checkout. This type of analysis</w:t>
      </w:r>
      <w:r>
        <w:t xml:space="preserve"> reveal</w:t>
      </w:r>
      <w:r w:rsidR="007045E6">
        <w:t>s</w:t>
      </w:r>
      <w:r>
        <w:t xml:space="preserve"> valuable insights into consumer behavior and preferences. By understanding which items tend to be bought together, businesses can optimize store organization, product placement, and sales strategies to increase revenue and customer satisfaction.</w:t>
      </w:r>
    </w:p>
    <w:p w14:paraId="6876E60D" w14:textId="77777777" w:rsidR="002E5A7A" w:rsidRDefault="002E5A7A" w:rsidP="002E5A7A">
      <w:r>
        <w:t>A classic example of market basket analysis is the well-known relationship between beer and potato chips. Customers who purchase beer are also likely to buy potato chips, as these items are often consumed together during social gatherings or leisure time. Interestingly, market basket analysis has also uncovered a less intuitive relationship between beer and baby diapers. While the reasons behind this association may not be immediately apparent, the analysis focuses on identifying the existence of such relationships rather than explaining their underlying causes.</w:t>
      </w:r>
    </w:p>
    <w:p w14:paraId="5327D3C1" w14:textId="2BBA22E7" w:rsidR="00A626FE" w:rsidRPr="000E309B" w:rsidRDefault="002E5A7A" w:rsidP="00930243">
      <w:r>
        <w:t>To illustrate the practical applications of market basket analysis, consider a study conducted for a bakery</w:t>
      </w:r>
      <w:r w:rsidR="004F0E53">
        <w:t xml:space="preserve"> (see the following figures)</w:t>
      </w:r>
      <w:r>
        <w:t xml:space="preserve">. The analysis aimed to identify products that customers frequently purchased alongside cherry tarts. Rule 53 in the analysis indicated that apricot danish and cherry tarts were often bought together. This information could prove invaluable to the bakery owner, who may choose to place these items </w:t>
      </w:r>
      <w:r w:rsidR="004F0E53">
        <w:t>near each other</w:t>
      </w:r>
      <w:r>
        <w:t xml:space="preserve"> or offer them as a bundle deal to encourage increased sales.</w:t>
      </w:r>
    </w:p>
    <w:p w14:paraId="4E9F09CC" w14:textId="77777777" w:rsidR="006013E3" w:rsidRDefault="00D14B33" w:rsidP="006013E3">
      <w:pPr>
        <w:keepNext/>
        <w:spacing w:line="360" w:lineRule="auto"/>
        <w:jc w:val="center"/>
      </w:pPr>
      <w:r w:rsidRPr="000E309B">
        <w:rPr>
          <w:noProof/>
        </w:rPr>
        <w:lastRenderedPageBreak/>
        <w:drawing>
          <wp:inline distT="0" distB="0" distL="0" distR="0" wp14:anchorId="5327DDC7" wp14:editId="6AAA4AFB">
            <wp:extent cx="4494404" cy="1695450"/>
            <wp:effectExtent l="0" t="0" r="1905" b="0"/>
            <wp:docPr id="10814" name="Picture 10814"/>
            <wp:cNvGraphicFramePr/>
            <a:graphic xmlns:a="http://schemas.openxmlformats.org/drawingml/2006/main">
              <a:graphicData uri="http://schemas.openxmlformats.org/drawingml/2006/picture">
                <pic:pic xmlns:pic="http://schemas.openxmlformats.org/drawingml/2006/picture">
                  <pic:nvPicPr>
                    <pic:cNvPr id="10814" name="Picture 10814"/>
                    <pic:cNvPicPr/>
                  </pic:nvPicPr>
                  <pic:blipFill>
                    <a:blip r:embed="rId201"/>
                    <a:stretch>
                      <a:fillRect/>
                    </a:stretch>
                  </pic:blipFill>
                  <pic:spPr>
                    <a:xfrm>
                      <a:off x="0" y="0"/>
                      <a:ext cx="4509833" cy="1701270"/>
                    </a:xfrm>
                    <a:prstGeom prst="rect">
                      <a:avLst/>
                    </a:prstGeom>
                  </pic:spPr>
                </pic:pic>
              </a:graphicData>
            </a:graphic>
          </wp:inline>
        </w:drawing>
      </w:r>
    </w:p>
    <w:p w14:paraId="5327D3C2" w14:textId="07329EB9" w:rsidR="00A626FE" w:rsidRPr="000E309B" w:rsidRDefault="006013E3" w:rsidP="006013E3">
      <w:pPr>
        <w:pStyle w:val="Caption"/>
        <w:jc w:val="center"/>
      </w:pPr>
      <w:bookmarkStart w:id="89" w:name="_Ref71011382"/>
      <w:bookmarkStart w:id="90" w:name="_Ref69383164"/>
      <w:r>
        <w:t xml:space="preserve">Figure </w:t>
      </w:r>
      <w:r w:rsidR="006D77BF">
        <w:fldChar w:fldCharType="begin"/>
      </w:r>
      <w:r w:rsidR="006D77BF">
        <w:instrText xml:space="preserve"> SEQ Figure \* ARABIC </w:instrText>
      </w:r>
      <w:r w:rsidR="006D77BF">
        <w:fldChar w:fldCharType="separate"/>
      </w:r>
      <w:r w:rsidR="00980002">
        <w:rPr>
          <w:noProof/>
        </w:rPr>
        <w:t>21</w:t>
      </w:r>
      <w:r w:rsidR="006D77BF">
        <w:rPr>
          <w:noProof/>
        </w:rPr>
        <w:fldChar w:fldCharType="end"/>
      </w:r>
      <w:bookmarkEnd w:id="89"/>
      <w:r>
        <w:t>: Market Basket Graph</w:t>
      </w:r>
      <w:bookmarkEnd w:id="90"/>
    </w:p>
    <w:p w14:paraId="48092C3A" w14:textId="77777777" w:rsidR="006013E3" w:rsidRDefault="00D14B33" w:rsidP="006013E3">
      <w:pPr>
        <w:keepNext/>
        <w:spacing w:line="360" w:lineRule="auto"/>
        <w:jc w:val="center"/>
      </w:pPr>
      <w:r w:rsidRPr="000E309B">
        <w:rPr>
          <w:noProof/>
        </w:rPr>
        <w:drawing>
          <wp:inline distT="0" distB="0" distL="0" distR="0" wp14:anchorId="5327DDC9" wp14:editId="1B7B91E9">
            <wp:extent cx="5672867" cy="1095375"/>
            <wp:effectExtent l="0" t="0" r="4445" b="0"/>
            <wp:docPr id="10820" name="Picture 10820"/>
            <wp:cNvGraphicFramePr/>
            <a:graphic xmlns:a="http://schemas.openxmlformats.org/drawingml/2006/main">
              <a:graphicData uri="http://schemas.openxmlformats.org/drawingml/2006/picture">
                <pic:pic xmlns:pic="http://schemas.openxmlformats.org/drawingml/2006/picture">
                  <pic:nvPicPr>
                    <pic:cNvPr id="10820" name="Picture 10820"/>
                    <pic:cNvPicPr/>
                  </pic:nvPicPr>
                  <pic:blipFill>
                    <a:blip r:embed="rId202"/>
                    <a:stretch>
                      <a:fillRect/>
                    </a:stretch>
                  </pic:blipFill>
                  <pic:spPr>
                    <a:xfrm>
                      <a:off x="0" y="0"/>
                      <a:ext cx="5674390" cy="1095669"/>
                    </a:xfrm>
                    <a:prstGeom prst="rect">
                      <a:avLst/>
                    </a:prstGeom>
                  </pic:spPr>
                </pic:pic>
              </a:graphicData>
            </a:graphic>
          </wp:inline>
        </w:drawing>
      </w:r>
    </w:p>
    <w:p w14:paraId="5327D3C4" w14:textId="581C8B52" w:rsidR="00A626FE" w:rsidRPr="000E309B" w:rsidRDefault="006013E3" w:rsidP="006013E3">
      <w:pPr>
        <w:pStyle w:val="Caption"/>
        <w:jc w:val="center"/>
      </w:pPr>
      <w:bookmarkStart w:id="91" w:name="_Ref69383360"/>
      <w:bookmarkStart w:id="92" w:name="_Ref69383322"/>
      <w:r>
        <w:t xml:space="preserve">Figure </w:t>
      </w:r>
      <w:r w:rsidR="006D77BF">
        <w:fldChar w:fldCharType="begin"/>
      </w:r>
      <w:r w:rsidR="006D77BF">
        <w:instrText xml:space="preserve"> SEQ Figure \* ARABIC </w:instrText>
      </w:r>
      <w:r w:rsidR="006D77BF">
        <w:fldChar w:fldCharType="separate"/>
      </w:r>
      <w:r w:rsidR="00980002">
        <w:rPr>
          <w:noProof/>
        </w:rPr>
        <w:t>22</w:t>
      </w:r>
      <w:r w:rsidR="006D77BF">
        <w:rPr>
          <w:noProof/>
        </w:rPr>
        <w:fldChar w:fldCharType="end"/>
      </w:r>
      <w:bookmarkEnd w:id="91"/>
      <w:r>
        <w:t>: Market Basket Rules</w:t>
      </w:r>
      <w:bookmarkEnd w:id="92"/>
    </w:p>
    <w:p w14:paraId="4AE76815" w14:textId="69BD501E" w:rsidR="006117A8" w:rsidRDefault="006117A8" w:rsidP="006117A8">
      <w:r>
        <w:t>Market basket analysis has been successfully applied across various industries, including the retail sector.</w:t>
      </w:r>
      <w:r w:rsidR="00F446B8">
        <w:t xml:space="preserve"> A </w:t>
      </w:r>
      <w:r>
        <w:t>study on a mid-sized supermarket in Latin America analyz</w:t>
      </w:r>
      <w:r w:rsidR="00F446B8">
        <w:t>ed</w:t>
      </w:r>
      <w:r>
        <w:t xml:space="preserve"> register receipts from July 2000</w:t>
      </w:r>
      <w:r w:rsidR="00424927">
        <w:t xml:space="preserve"> </w:t>
      </w:r>
      <w:r w:rsidR="00424927">
        <w:fldChar w:fldCharType="begin"/>
      </w:r>
      <w:r w:rsidR="007C07B4">
        <w:instrText xml:space="preserve"> ADDIN ZOTERO_ITEM CSL_CITATION {"citationID":"a1sb4pvvd6q","properties":{"formattedCitation":"[71]","plainCitation":"[71]","noteIndex":0},"citationItems":[{"id":190,"uris":["http://zotero.org/users/5015692/items/33CSLFXQ"],"itemData":{"id":190,"type":"article-journal","container-title":"European Journal of Marketing","title":"Market basket analysis insights to support category management","author":[{"family":"Musalem","given":"Andres"},{"family":"Aburto","given":"Luis"},{"family":"Bosch","given":"Maximo"}],"issued":{"date-parts":[["2018"]]}}}],"schema":"https://github.com/citation-style-language/schema/raw/master/csl-citation.json"} </w:instrText>
      </w:r>
      <w:r w:rsidR="00424927">
        <w:fldChar w:fldCharType="separate"/>
      </w:r>
      <w:r w:rsidR="007C07B4" w:rsidRPr="007C07B4">
        <w:t>[71]</w:t>
      </w:r>
      <w:r w:rsidR="00424927">
        <w:fldChar w:fldCharType="end"/>
      </w:r>
      <w:r>
        <w:t>. The researchers recorded products sold, units sold, date, and time, classifying the products into four categories: non-perishable, immediate consumption, hygiene, and hedonic.</w:t>
      </w:r>
    </w:p>
    <w:p w14:paraId="10664B14" w14:textId="77777777" w:rsidR="006117A8" w:rsidRDefault="006117A8" w:rsidP="006117A8">
      <w:r>
        <w:t>The study revealed several interesting findings. Items in the hygiene basket, such as shampoo, conditioner, and diapers, were associated with sizable transactions but not many of them. In contrast, the non-perishable basket, containing items like cereals, flour, and noodles, had many different categories and high transaction sizes. This insight highlighted the importance of non-perishable buyers to the market, as they contributed significantly to overall sales volume.</w:t>
      </w:r>
    </w:p>
    <w:p w14:paraId="1F26D5A1" w14:textId="2EF5DD4A" w:rsidR="006117A8" w:rsidRDefault="006117A8" w:rsidP="006117A8">
      <w:r>
        <w:t xml:space="preserve">By leveraging the insights gained from market basket analysis, businesses can make data-driven decisions to optimize their operations and boost profitability. For example, a supermarket may choose to place complementary items, such as beer and potato chips, </w:t>
      </w:r>
      <w:r w:rsidR="0084296D">
        <w:t>near</w:t>
      </w:r>
      <w:r>
        <w:t xml:space="preserve"> </w:t>
      </w:r>
      <w:r w:rsidR="0084296D">
        <w:t xml:space="preserve">each other to </w:t>
      </w:r>
      <w:r>
        <w:t>encourage impulse purchases. Similarly, a bakery may offer discounts on cherry tarts when purchased alongside apricot danish, based on the identified relationship between these items.</w:t>
      </w:r>
    </w:p>
    <w:p w14:paraId="5327D3C6" w14:textId="7C2F678D" w:rsidR="00A626FE" w:rsidRDefault="006117A8" w:rsidP="006117A8">
      <w:r>
        <w:t xml:space="preserve">In conclusion, market basket analysis is a valuable tool for businesses seeking to understand and capitalize on the purchasing patterns of their customers. By uncovering the relationships between products frequently bought together, businesses can make informed decisions about product placement, promotions, and store layout. As the volume of available consumer data continues to grow, the importance of market basket analysis and other data mining techniques will only </w:t>
      </w:r>
      <w:r>
        <w:lastRenderedPageBreak/>
        <w:t>continue to increase, making them essential tools for businesses striving to remain competitive in today's data-driven marketplace.</w:t>
      </w:r>
    </w:p>
    <w:p w14:paraId="0C2EB1DB" w14:textId="223B457B" w:rsidR="00FA46BD" w:rsidRDefault="00254084" w:rsidP="00FA46BD">
      <w:pPr>
        <w:pStyle w:val="Heading3"/>
      </w:pPr>
      <w:bookmarkStart w:id="93" w:name="_Toc169156732"/>
      <w:r>
        <w:rPr>
          <w:noProof/>
        </w:rPr>
        <w:drawing>
          <wp:anchor distT="0" distB="0" distL="114300" distR="114300" simplePos="0" relativeHeight="251965524" behindDoc="0" locked="0" layoutInCell="1" allowOverlap="1" wp14:anchorId="56E545BE" wp14:editId="4D1C89D6">
            <wp:simplePos x="0" y="0"/>
            <wp:positionH relativeFrom="column">
              <wp:align>right</wp:align>
            </wp:positionH>
            <wp:positionV relativeFrom="paragraph">
              <wp:posOffset>0</wp:posOffset>
            </wp:positionV>
            <wp:extent cx="914400" cy="914400"/>
            <wp:effectExtent l="19050" t="19050" r="19050" b="19050"/>
            <wp:wrapSquare wrapText="bothSides"/>
            <wp:docPr id="67235760"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FA46BD">
        <w:t>Summary</w:t>
      </w:r>
      <w:r w:rsidR="009D3BA7">
        <w:t xml:space="preserve"> of </w:t>
      </w:r>
      <w:r w:rsidR="00FA46BD">
        <w:t>Chapter 6</w:t>
      </w:r>
      <w:r w:rsidR="009D3BA7">
        <w:t>:</w:t>
      </w:r>
      <w:r w:rsidR="00FA46BD">
        <w:t xml:space="preserve"> Data</w:t>
      </w:r>
      <w:bookmarkEnd w:id="93"/>
    </w:p>
    <w:p w14:paraId="524A7844" w14:textId="77777777" w:rsidR="00D15F9A" w:rsidRDefault="00D15F9A" w:rsidP="00D15F9A">
      <w:r>
        <w:t>Congratulations on completing Chapter 6 on Data! This chapter has provided you with a solid foundation for understanding the various types of data and rating scales you will encounter in your research projects. The primary concepts covered in this chapter include:</w:t>
      </w:r>
    </w:p>
    <w:p w14:paraId="005F59E4" w14:textId="41C5B77F" w:rsidR="00D15F9A" w:rsidRDefault="00D15F9A" w:rsidP="00D15F9A">
      <w:pPr>
        <w:pStyle w:val="ListParagraph"/>
        <w:numPr>
          <w:ilvl w:val="0"/>
          <w:numId w:val="229"/>
        </w:numPr>
      </w:pPr>
      <w:r>
        <w:t>Qualitative and quantitative data types</w:t>
      </w:r>
    </w:p>
    <w:p w14:paraId="65083AA5" w14:textId="77FA9712" w:rsidR="00D15F9A" w:rsidRDefault="00D15F9A" w:rsidP="00D15F9A">
      <w:pPr>
        <w:pStyle w:val="ListParagraph"/>
        <w:numPr>
          <w:ilvl w:val="0"/>
          <w:numId w:val="229"/>
        </w:numPr>
      </w:pPr>
      <w:r>
        <w:t>Nominal, ordinal, interval, and ratio data</w:t>
      </w:r>
    </w:p>
    <w:p w14:paraId="07BEBC57" w14:textId="5F2FBB2B" w:rsidR="00D15F9A" w:rsidRDefault="00D15F9A" w:rsidP="00D15F9A">
      <w:pPr>
        <w:pStyle w:val="ListParagraph"/>
        <w:numPr>
          <w:ilvl w:val="0"/>
          <w:numId w:val="229"/>
        </w:numPr>
      </w:pPr>
      <w:r>
        <w:t>Binary, Likert, semantic differential, and Guttman rating scales</w:t>
      </w:r>
    </w:p>
    <w:p w14:paraId="3B4C02CA" w14:textId="6D04DCC9" w:rsidR="00D15F9A" w:rsidRDefault="00D15F9A" w:rsidP="00D15F9A">
      <w:pPr>
        <w:pStyle w:val="ListParagraph"/>
        <w:numPr>
          <w:ilvl w:val="0"/>
          <w:numId w:val="229"/>
        </w:numPr>
      </w:pPr>
      <w:r>
        <w:t>Properties of the normal distribution (bell curve)</w:t>
      </w:r>
    </w:p>
    <w:p w14:paraId="6E13C729" w14:textId="36A2EB45" w:rsidR="00D15F9A" w:rsidRDefault="00D15F9A" w:rsidP="00D15F9A">
      <w:pPr>
        <w:pStyle w:val="ListParagraph"/>
        <w:numPr>
          <w:ilvl w:val="0"/>
          <w:numId w:val="229"/>
        </w:numPr>
      </w:pPr>
      <w:r>
        <w:t>Excess kurtosis and its impact on data distribution</w:t>
      </w:r>
    </w:p>
    <w:p w14:paraId="4906800D" w14:textId="77777777" w:rsidR="00D15F9A" w:rsidRDefault="00D15F9A" w:rsidP="00D15F9A">
      <w:r>
        <w:t>As you progress in your research journey, you will find that understanding these concepts is crucial for designing effective studies, collecting reliable data, and drawing accurate conclusions. By identifying the appropriate data types and rating scales for your research questions, you can ensure that your data collection methods are valid and robust.</w:t>
      </w:r>
    </w:p>
    <w:p w14:paraId="476A3F32" w14:textId="77777777" w:rsidR="00D15F9A" w:rsidRDefault="00D15F9A" w:rsidP="00D15F9A">
      <w:r>
        <w:t>Moreover, your knowledge of the normal distribution and its properties will guide you in selecting suitable statistical techniques for data analysis and interpretation. This foundation will serve you well as you encounter more complex data structures and analytical methods in your future research endeavors.</w:t>
      </w:r>
    </w:p>
    <w:p w14:paraId="02745C2D" w14:textId="6E1FC229" w:rsidR="00DF6737" w:rsidRDefault="00D15F9A" w:rsidP="000D49AA">
      <w:pPr>
        <w:sectPr w:rsidR="00DF6737" w:rsidSect="00FD08D0">
          <w:headerReference w:type="default" r:id="rId203"/>
          <w:headerReference w:type="first" r:id="rId204"/>
          <w:pgSz w:w="12240" w:h="15840"/>
          <w:pgMar w:top="1440" w:right="1440" w:bottom="1440" w:left="1440" w:header="720" w:footer="720" w:gutter="0"/>
          <w:cols w:space="720"/>
          <w:docGrid w:linePitch="299"/>
        </w:sectPr>
      </w:pPr>
      <w:r>
        <w:t>I encourage you to continue exploring these concepts beyond this introductory course. A deep understanding of data is essential for becoming a successful researcher in your chosen field. By mastering these fundamental principles, you will be well-prepared to critically evaluate research findings, make data-driven decisions, and contribute to the advancement of knowledge.</w:t>
      </w:r>
    </w:p>
    <w:p w14:paraId="5327D3D4" w14:textId="448E6C62" w:rsidR="00A626FE" w:rsidRPr="000E309B" w:rsidRDefault="006801DF" w:rsidP="00BB071E">
      <w:pPr>
        <w:pStyle w:val="Heading2"/>
      </w:pPr>
      <w:bookmarkStart w:id="94" w:name="_Ref66786029"/>
      <w:bookmarkStart w:id="95" w:name="_Ref66886431"/>
      <w:bookmarkStart w:id="96" w:name="_Toc169156733"/>
      <w:r>
        <w:rPr>
          <w:noProof/>
        </w:rPr>
        <w:lastRenderedPageBreak/>
        <w:drawing>
          <wp:anchor distT="0" distB="0" distL="114300" distR="114300" simplePos="0" relativeHeight="251658280" behindDoc="0" locked="0" layoutInCell="1" allowOverlap="1" wp14:anchorId="00B65D48" wp14:editId="7589C7F4">
            <wp:simplePos x="0" y="0"/>
            <wp:positionH relativeFrom="column">
              <wp:align>right</wp:align>
            </wp:positionH>
            <wp:positionV relativeFrom="paragraph">
              <wp:posOffset>-914400</wp:posOffset>
            </wp:positionV>
            <wp:extent cx="1517904" cy="1517904"/>
            <wp:effectExtent l="0" t="0" r="6350"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05" cstate="print">
                      <a:extLst>
                        <a:ext uri="{BEBA8EAE-BF5A-486C-A8C5-ECC9F3942E4B}">
                          <a14:imgProps xmlns:a14="http://schemas.microsoft.com/office/drawing/2010/main">
                            <a14:imgLayer r:embed="rId20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17904" cy="1517904"/>
                    </a:xfrm>
                    <a:prstGeom prst="rect">
                      <a:avLst/>
                    </a:prstGeom>
                  </pic:spPr>
                </pic:pic>
              </a:graphicData>
            </a:graphic>
            <wp14:sizeRelH relativeFrom="margin">
              <wp14:pctWidth>0</wp14:pctWidth>
            </wp14:sizeRelH>
            <wp14:sizeRelV relativeFrom="margin">
              <wp14:pctHeight>0</wp14:pctHeight>
            </wp14:sizeRelV>
          </wp:anchor>
        </w:drawing>
      </w:r>
      <w:r w:rsidR="0050001F">
        <w:t xml:space="preserve">7: </w:t>
      </w:r>
      <w:r w:rsidR="00BB071E">
        <w:t>Sampling</w:t>
      </w:r>
      <w:bookmarkEnd w:id="94"/>
      <w:bookmarkEnd w:id="95"/>
      <w:bookmarkEnd w:id="96"/>
    </w:p>
    <w:p w14:paraId="052749C1" w14:textId="5005AD0B" w:rsidR="00D9056B" w:rsidRDefault="00D9056B" w:rsidP="00D9056B">
      <w:r>
        <w:t xml:space="preserve">Imagine that a research team is tasked with determining how many small, medium, and large t-shirts a concert promoter should order for an upcoming show in a large stadium. To figure this out, the researchers </w:t>
      </w:r>
      <w:r w:rsidR="004B442E">
        <w:t>decided</w:t>
      </w:r>
      <w:r>
        <w:t xml:space="preserve"> to survey fans about their preferred t-shirt size at a similar concert a few weeks prior. This is an example of sampling - the process of selecting a subset of individuals from a population to estimate characteristics of the whole population.</w:t>
      </w:r>
    </w:p>
    <w:p w14:paraId="2B238052" w14:textId="77777777" w:rsidR="00D9056B" w:rsidRDefault="00D9056B" w:rsidP="00D9056B">
      <w:r>
        <w:t>A key question the researchers must answer is how many fans they should survey. Theoretically, they could ask every single fan in the stadium their t-shirt size if they hired enough poll takers. However, this would be prohibitively expensive and wasteful. Perhaps it would be sufficient to ask 10% of the crowd - or maybe even just 1%. The percentage of the population that needs to be sampled to get an accurate estimate is called the sample size.</w:t>
      </w:r>
    </w:p>
    <w:p w14:paraId="41E0F448" w14:textId="4C00F255" w:rsidR="00D9056B" w:rsidRDefault="00D9056B" w:rsidP="00D9056B">
      <w:r>
        <w:t xml:space="preserve">Determining the optimal sample size involves weighing the need for accuracy against feasibility constraints like cost and time. Larger sample sizes generally lead to more precise estimates but are more </w:t>
      </w:r>
      <w:r w:rsidR="004B442E">
        <w:t>resource intensive</w:t>
      </w:r>
      <w:r>
        <w:t>. Smaller samples are cheaper and faster to collect data from but may not represent the population as well. Statisticians have developed formulas to calculate the minimum sample size needed for a desired level of accuracy.</w:t>
      </w:r>
    </w:p>
    <w:p w14:paraId="500C444E" w14:textId="77777777" w:rsidR="00D9056B" w:rsidRDefault="00D9056B" w:rsidP="00D9056B">
      <w:r>
        <w:t>Once the researchers determine how many people to survey, the next question is how to select them. This is called sampling design. Should they survey everyone seated in a specific stadium section? Ask the first 100 people who enter through a particular gate? The sampling design can profoundly impact the data collected.</w:t>
      </w:r>
    </w:p>
    <w:p w14:paraId="3E5CF2D8" w14:textId="77777777" w:rsidR="00D9056B" w:rsidRDefault="00D9056B" w:rsidP="00D9056B">
      <w:r>
        <w:t>If the researchers only sampled fans in the most expensive front-row seats, for instance, they may overestimate the demand for larger t-shirt sizes if those fans tended to be older and larger than the average attendee. Or if they only sampled people entering right as doors open, they may underestimate the need for small sizes favored by younger fans more likely to arrive later.</w:t>
      </w:r>
    </w:p>
    <w:p w14:paraId="5326DD18" w14:textId="77777777" w:rsidR="00D9056B" w:rsidRDefault="00D9056B" w:rsidP="00D9056B">
      <w:r>
        <w:t xml:space="preserve">To get a truly representative sample, the researchers would ideally use probability sampling techniques - where every fan has an equal chance of being selected for the survey. They could do this by randomly selecting seat numbers to sample or picking every </w:t>
      </w:r>
      <w:r w:rsidRPr="00561F12">
        <w:rPr>
          <w:i/>
          <w:iCs/>
        </w:rPr>
        <w:t>nth</w:t>
      </w:r>
      <w:r>
        <w:t xml:space="preserve"> person who enters the stadium. Non-probability sampling techniques, where certain fans have a higher or lower chance of being selected (like only sampling certain sections), can introduce bias into the estimates.</w:t>
      </w:r>
    </w:p>
    <w:p w14:paraId="4151F07D" w14:textId="77777777" w:rsidR="00D9056B" w:rsidRDefault="00D9056B" w:rsidP="00D9056B">
      <w:r>
        <w:t>As this example illustrates, sampling is a critical component of many research projects. The decisions researchers make about sample size and sampling design directly impact the accuracy and reliability of the data collected. Insufficient sample sizes or biased sampling methods can lead to skewed results that don't generalize to the full population of interest. Conversely, excessively large samples can be a poor use of limited resources. Careful consideration of sampling is essential for conducting high quality, impactful research.</w:t>
      </w:r>
    </w:p>
    <w:p w14:paraId="5327D3D7" w14:textId="0E2E1E15" w:rsidR="00A626FE" w:rsidRDefault="00D9056B" w:rsidP="00D9056B">
      <w:r>
        <w:lastRenderedPageBreak/>
        <w:t xml:space="preserve">The rest of this chapter will </w:t>
      </w:r>
      <w:r w:rsidR="00B07377">
        <w:t>explore</w:t>
      </w:r>
      <w:r>
        <w:t xml:space="preserve"> the techniques researchers use to determine appropriate sample sizes and the various probability and non-probability sampling methods at their disposal. Through understanding the theory and applications of sampling, you'll be well-equipped to design robust studies that efficiently gather the data needed to answer your research questions.</w:t>
      </w:r>
    </w:p>
    <w:p w14:paraId="06F10861" w14:textId="75F22186" w:rsidR="00994C64" w:rsidRDefault="00E0031F" w:rsidP="00A5400F">
      <w:pPr>
        <w:pStyle w:val="IntenseQuote"/>
      </w:pPr>
      <w:r>
        <w:rPr>
          <w:noProof/>
        </w:rPr>
        <w:drawing>
          <wp:anchor distT="0" distB="0" distL="114300" distR="114300" simplePos="0" relativeHeight="251935828" behindDoc="0" locked="0" layoutInCell="1" allowOverlap="1" wp14:anchorId="64FCFB8D" wp14:editId="15649D3C">
            <wp:simplePos x="0" y="0"/>
            <wp:positionH relativeFrom="column">
              <wp:align>right</wp:align>
            </wp:positionH>
            <wp:positionV relativeFrom="paragraph">
              <wp:posOffset>0</wp:posOffset>
            </wp:positionV>
            <wp:extent cx="914400" cy="914400"/>
            <wp:effectExtent l="19050" t="19050" r="19050" b="19050"/>
            <wp:wrapSquare wrapText="bothSides"/>
            <wp:docPr id="389957173"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994C64">
        <w:t>Objectives</w:t>
      </w:r>
    </w:p>
    <w:p w14:paraId="3576BB18" w14:textId="77777777" w:rsidR="003871E0" w:rsidRDefault="003871E0" w:rsidP="003871E0">
      <w:pPr>
        <w:pStyle w:val="Quote"/>
        <w:numPr>
          <w:ilvl w:val="0"/>
          <w:numId w:val="267"/>
        </w:numPr>
      </w:pPr>
      <w:r>
        <w:t>Define and differentiate between key sampling concepts, including population, sampling frame, and sample, and articulate their relevance in the research process. Students should be able to clearly explain these terms, understand their relationships, and appreciate their significance in designing and conducting research studies.</w:t>
      </w:r>
    </w:p>
    <w:p w14:paraId="082FDE0C" w14:textId="77777777" w:rsidR="003871E0" w:rsidRDefault="003871E0" w:rsidP="003871E0">
      <w:pPr>
        <w:pStyle w:val="Quote"/>
        <w:numPr>
          <w:ilvl w:val="0"/>
          <w:numId w:val="267"/>
        </w:numPr>
      </w:pPr>
      <w:r>
        <w:t>Compare and contrast probability and non-probability sampling techniques, identifying their strengths, limitations, and appropriate applications. Students should be able to describe the main characteristics of each approach, evaluate their suitability for different research scenarios, and make informed decisions about which technique to use based on the research question, available resources, and desired level of generalizability.</w:t>
      </w:r>
    </w:p>
    <w:p w14:paraId="7DC06929" w14:textId="77777777" w:rsidR="003871E0" w:rsidRDefault="003871E0" w:rsidP="003871E0">
      <w:pPr>
        <w:pStyle w:val="Quote"/>
        <w:numPr>
          <w:ilvl w:val="0"/>
          <w:numId w:val="267"/>
        </w:numPr>
      </w:pPr>
      <w:r>
        <w:t>Apply knowledge of probability sampling methods, such as simple random sampling, systematic sampling, stratified sampling, and cluster sampling, to design and implement effective sampling strategies. Students should be able to demonstrate their understanding of these techniques by selecting and justifying the most appropriate method for a given research context, calculating necessary sample sizes, and executing the sampling process in a manner that minimizes bias and maximizes representativeness.</w:t>
      </w:r>
    </w:p>
    <w:p w14:paraId="670C6A6B" w14:textId="145561DB" w:rsidR="003871E0" w:rsidRDefault="003871E0" w:rsidP="003871E0">
      <w:pPr>
        <w:pStyle w:val="Quote"/>
        <w:numPr>
          <w:ilvl w:val="0"/>
          <w:numId w:val="267"/>
        </w:numPr>
      </w:pPr>
      <w:r>
        <w:t>Assess the quality and representativeness of a sample by evaluating potential sources of sampling error and bias</w:t>
      </w:r>
      <w:r w:rsidR="00A937AD">
        <w:t xml:space="preserve">; and </w:t>
      </w:r>
      <w:r>
        <w:t xml:space="preserve">propose strategies for mitigating their impact on research findings. </w:t>
      </w:r>
    </w:p>
    <w:p w14:paraId="104DF23F" w14:textId="791A14D0" w:rsidR="00994C64" w:rsidRDefault="003871E0" w:rsidP="003871E0">
      <w:pPr>
        <w:pStyle w:val="Quote"/>
        <w:numPr>
          <w:ilvl w:val="0"/>
          <w:numId w:val="267"/>
        </w:numPr>
      </w:pPr>
      <w:r>
        <w:t xml:space="preserve">Analyze and interpret research findings </w:t>
      </w:r>
      <w:r w:rsidR="00FC5A7D">
        <w:t>considering</w:t>
      </w:r>
      <w:r>
        <w:t xml:space="preserve"> the sampling methods employed, demonstrating an understanding of how sampling choices can influence the conclusions drawn from a study. Students should be able to critically evaluate the sampling strategies used in published research, assess the extent to which the sample represents the target population, and consider alternative explanations or limitations arising from the sampling process when discussing the implications and generalizability of the findings.</w:t>
      </w:r>
    </w:p>
    <w:p w14:paraId="4D167A7D" w14:textId="0EABCFF8" w:rsidR="00FD651E" w:rsidRDefault="00FD651E" w:rsidP="00FD651E">
      <w:pPr>
        <w:pStyle w:val="Heading3"/>
      </w:pPr>
      <w:bookmarkStart w:id="97" w:name="_Toc169156734"/>
      <w:r>
        <w:lastRenderedPageBreak/>
        <w:t>Introduction</w:t>
      </w:r>
      <w:bookmarkEnd w:id="97"/>
    </w:p>
    <w:p w14:paraId="61CDCF04" w14:textId="5415381C" w:rsidR="00FD651E" w:rsidRDefault="00FD651E" w:rsidP="00FD651E">
      <w:r>
        <w:t>Have you ever wondered how companies decide what products to stock or how political polls predict election winners? The answer lies in the power of sampling.</w:t>
      </w:r>
    </w:p>
    <w:p w14:paraId="202BC6BC" w14:textId="77777777" w:rsidR="00FD651E" w:rsidRDefault="00FD651E" w:rsidP="00FD651E">
      <w:r>
        <w:t>In the world of business and marketing research, we're often interested in understanding patterns of behavior within specific populations. A population can be thought of as a large group that we want to learn something about - it could be as broad as "the American people" or as narrow as "grocery stores in Toledo, Ohio".</w:t>
      </w:r>
    </w:p>
    <w:p w14:paraId="578A5806" w14:textId="77777777" w:rsidR="00FD651E" w:rsidRDefault="00FD651E" w:rsidP="00FD651E">
      <w:r>
        <w:t>The challenge researchers face is that studying an entire population directly is often not feasible due to the time and expense involved. Even populations that seem relatively specific, like all shoppers over 18 in a certain region, may be too large to survey in their entirety. This is where sampling comes in.</w:t>
      </w:r>
    </w:p>
    <w:p w14:paraId="011D7E3E" w14:textId="77777777" w:rsidR="00FD651E" w:rsidRDefault="00FD651E" w:rsidP="00FD651E">
      <w:r>
        <w:t>A sample is a small subset of the larger population that researchers select for detailed study. The goal is to gather data from this sample that can be used to make inferences about the whole population. In other words, by studying the shopping habits of a small group of consumers, marketers hope to learn things that apply to all the shoppers in that region.</w:t>
      </w:r>
    </w:p>
    <w:p w14:paraId="5BE0DD35" w14:textId="194894B6" w:rsidR="00FD651E" w:rsidRDefault="00FD651E" w:rsidP="00FD651E">
      <w:r>
        <w:t xml:space="preserve">For this to work, researchers must be very careful about how they select their sample. The sample needs to be truly representative of the broader population. If it isn't, the conclusions drawn from the sample may not actually apply to the population. We see this problem arise often in political polling - if a poll surveys a sample of mostly older voters, for instance, it may incorrectly predict </w:t>
      </w:r>
      <w:r w:rsidR="00B06325">
        <w:t xml:space="preserve">the </w:t>
      </w:r>
      <w:r w:rsidR="00055A37">
        <w:t>outcome of a ballot initiative</w:t>
      </w:r>
      <w:r>
        <w:t>.</w:t>
      </w:r>
    </w:p>
    <w:p w14:paraId="1647D6EA" w14:textId="7DA2762D" w:rsidR="00FD651E" w:rsidRDefault="00FD651E" w:rsidP="00FD651E">
      <w:r>
        <w:t>Crafting a representative sample involves several key stages. First, researchers must clearly define the population they want to study.</w:t>
      </w:r>
      <w:r w:rsidR="00B86F4B">
        <w:t xml:space="preserve"> Then they need to determine the sampling frame</w:t>
      </w:r>
      <w:r w:rsidR="00BD6334">
        <w:t>, or group of people that will be sampled.</w:t>
      </w:r>
      <w:r>
        <w:t xml:space="preserve"> </w:t>
      </w:r>
      <w:r w:rsidR="00BD6334">
        <w:t>Finally,</w:t>
      </w:r>
      <w:r>
        <w:t xml:space="preserve"> they need to </w:t>
      </w:r>
      <w:r w:rsidR="00222739">
        <w:t>decide</w:t>
      </w:r>
      <w:r>
        <w:t xml:space="preserve"> what sampling method to employ - how will they go about selecting people or stores or products to include in their sample? The sample size must also be carefully considered, balancing the need for precision with budget and time constraints. </w:t>
      </w:r>
      <w:r w:rsidR="00BD6334">
        <w:t>T</w:t>
      </w:r>
      <w:r>
        <w:t>he</w:t>
      </w:r>
      <w:r w:rsidR="00222739">
        <w:t>n,</w:t>
      </w:r>
      <w:r>
        <w:t xml:space="preserve"> </w:t>
      </w:r>
      <w:r w:rsidR="00884DC0">
        <w:t xml:space="preserve">the </w:t>
      </w:r>
      <w:r>
        <w:t xml:space="preserve">actual data collection </w:t>
      </w:r>
      <w:r w:rsidR="00884DC0">
        <w:t xml:space="preserve">process </w:t>
      </w:r>
      <w:r>
        <w:t>must be carried out in a way that minimizes bias.</w:t>
      </w:r>
    </w:p>
    <w:p w14:paraId="4369C70E" w14:textId="77777777" w:rsidR="00FD651E" w:rsidRDefault="00FD651E" w:rsidP="00FD651E">
      <w:r>
        <w:t>Each of these stages presents its own challenges and best practices that we'll be exploring in more depth throughout this chapter. We'll look at how to define a population, compare different sampling methods, and determine optimal sample sizes. The statistical concepts of sampling error and confidence intervals will help us quantify how certain we can be that sample estimates reflect the reality of the whole population. And we'll consider the various sampling challenges that crop up in real-world business and marketing research contexts.</w:t>
      </w:r>
    </w:p>
    <w:p w14:paraId="5327D3E4" w14:textId="0D479977" w:rsidR="00A626FE" w:rsidRDefault="00FD651E" w:rsidP="00FD651E">
      <w:r>
        <w:t xml:space="preserve">By the end of the chapter, you'll have a solid grasp of this essential research process. You'll be equipped to design sampling plans that efficiently yield data you can be confident in, setting the stage for insights that can drive smarter strategic decisions. </w:t>
      </w:r>
    </w:p>
    <w:p w14:paraId="36A06995" w14:textId="431CA996" w:rsidR="00DF6E46" w:rsidRDefault="00DF6E46" w:rsidP="00DF6E46">
      <w:pPr>
        <w:pStyle w:val="Heading3"/>
      </w:pPr>
      <w:bookmarkStart w:id="98" w:name="_Toc169156735"/>
      <w:r>
        <w:lastRenderedPageBreak/>
        <w:t>Sampling Stages</w:t>
      </w:r>
      <w:bookmarkEnd w:id="98"/>
    </w:p>
    <w:p w14:paraId="4F7DBB4C" w14:textId="77777777" w:rsidR="004D2B04" w:rsidRDefault="004D2B04" w:rsidP="004D2B04">
      <w:r>
        <w:t>Crafting an effective sampling strategy involves three critical stages:</w:t>
      </w:r>
    </w:p>
    <w:p w14:paraId="4F42381E" w14:textId="5F3D9EFC" w:rsidR="004D2B04" w:rsidRDefault="004D2B04" w:rsidP="004D2B04">
      <w:pPr>
        <w:pStyle w:val="Heading4"/>
      </w:pPr>
      <w:r>
        <w:t xml:space="preserve">Define the </w:t>
      </w:r>
      <w:r w:rsidR="009839CE">
        <w:t>T</w:t>
      </w:r>
      <w:r>
        <w:t xml:space="preserve">arget </w:t>
      </w:r>
      <w:r w:rsidR="009839CE">
        <w:t>P</w:t>
      </w:r>
      <w:r>
        <w:t>opulation</w:t>
      </w:r>
    </w:p>
    <w:p w14:paraId="3A6FC784" w14:textId="611CA078" w:rsidR="004D2B04" w:rsidRDefault="004D2B04" w:rsidP="004D2B04">
      <w:r>
        <w:t xml:space="preserve">Imagine you're a shoe manufacturer wanting to assess demand for a new line of running shoes. Who do you need data from? Just elite marathon runners, or </w:t>
      </w:r>
      <w:r w:rsidR="004C44D8">
        <w:t>even</w:t>
      </w:r>
      <w:r>
        <w:t xml:space="preserve"> casual joggers? This is the essence of defining your target population.</w:t>
      </w:r>
    </w:p>
    <w:p w14:paraId="6D45ED04" w14:textId="77777777" w:rsidR="004D2B04" w:rsidRDefault="004D2B04" w:rsidP="004D2B04">
      <w:r>
        <w:t>A population, in research terms, is the entire group that you want to draw conclusions about. It consists of all the people, items, or entities (known as the "unit of analysis") that possess the characteristic of interest. The unit of analysis might be individuals, groups, organizations, countries, objects, or any other entity you want to study.</w:t>
      </w:r>
    </w:p>
    <w:p w14:paraId="2ED59502" w14:textId="77777777" w:rsidR="004D2B04" w:rsidRDefault="004D2B04" w:rsidP="004D2B04">
      <w:r>
        <w:t>Sometimes the relevant population is obvious, like in the case of a manufacturer evaluating the quality of products from a specific production line. Here, the population is clearly the total set of goods manufactured on that line. Other times, the boundaries of the population are harder to pin down. For instance, if you're researching the primary motivators of high school students' shopping habits, the population of interest could be the students themselves, the store managers who sell to them, or even the product designers who create youth-oriented packaging.</w:t>
      </w:r>
    </w:p>
    <w:p w14:paraId="01B93D6E" w14:textId="27DA775D" w:rsidR="004D2B04" w:rsidRDefault="004D2B04" w:rsidP="009839CE">
      <w:pPr>
        <w:pStyle w:val="Heading4"/>
      </w:pPr>
      <w:r>
        <w:t xml:space="preserve">Determine </w:t>
      </w:r>
      <w:r w:rsidR="009839CE">
        <w:t>the Sampling Frame</w:t>
      </w:r>
    </w:p>
    <w:p w14:paraId="3A7659DC" w14:textId="77777777" w:rsidR="004D2B04" w:rsidRDefault="004D2B04" w:rsidP="004D2B04">
      <w:r>
        <w:t>Once you've defined your target population, the next step is to establish your sampling frame. The sampling frame is the portion of the population that you can realistically access for your study - it's often a list of potential participants with their contact information.</w:t>
      </w:r>
    </w:p>
    <w:p w14:paraId="69622FE7" w14:textId="6C1F81BB" w:rsidR="004D2B04" w:rsidRDefault="004D2B04" w:rsidP="004D2B04">
      <w:r>
        <w:t xml:space="preserve">If your target population is "professional employees," then your sampling frame might be the professional staff at a specific local company, since contacting every professional worldwide would be impractical. Similarly, if you're studying "business organizations," the Fortune </w:t>
      </w:r>
      <w:r w:rsidR="00390401">
        <w:t>1</w:t>
      </w:r>
      <w:r>
        <w:t>00 list could be a workable sampling frame.</w:t>
      </w:r>
    </w:p>
    <w:p w14:paraId="5600E1F0" w14:textId="472EEEBF" w:rsidR="004D2B04" w:rsidRDefault="004D2B04" w:rsidP="004D2B04">
      <w:r>
        <w:t xml:space="preserve">It's crucial to recognize that a sampling frame may not perfectly represent the broader population. If you're studying small business employees but your sampling frame only includes workers at Midwestern automotive companies, your results may not apply to the American </w:t>
      </w:r>
      <w:r w:rsidR="009839CE">
        <w:t>workforce, let</w:t>
      </w:r>
      <w:r>
        <w:t xml:space="preserve"> alone the global working population. Likewise, the Fortune </w:t>
      </w:r>
      <w:r w:rsidR="00F01424">
        <w:t>1</w:t>
      </w:r>
      <w:r>
        <w:t>00 consists of the largest U.S. companies, which don't reflect the realities of the countless small and medium enterprises that make up the bulk of American business.</w:t>
      </w:r>
    </w:p>
    <w:p w14:paraId="461EF9E8" w14:textId="77777777" w:rsidR="004D2B04" w:rsidRDefault="004D2B04" w:rsidP="004D2B04">
      <w:r>
        <w:t xml:space="preserve">Another common scenario is when the research population differs from the accessible sampling frame. Consider a study on the effectiveness of a new smoking cessation program. The target population is all smokers who had access to the program - but this group is hard to define and reach. Instead, the researcher might use patients at a local smoking cessation clinic as their sampling frame. This is workable, but it's important to note that some of those patients may not </w:t>
      </w:r>
      <w:r>
        <w:lastRenderedPageBreak/>
        <w:t>have used the specific program being studied, so the sampling frame doesn't align perfectly with the population of interest.</w:t>
      </w:r>
    </w:p>
    <w:p w14:paraId="3E5A708F" w14:textId="5BDB6602" w:rsidR="004D2B04" w:rsidRDefault="004D2B04" w:rsidP="001751CB">
      <w:pPr>
        <w:pStyle w:val="Heading4"/>
      </w:pPr>
      <w:r>
        <w:t xml:space="preserve">Select a </w:t>
      </w:r>
      <w:r w:rsidR="001751CB">
        <w:t>S</w:t>
      </w:r>
      <w:r>
        <w:t>ample</w:t>
      </w:r>
    </w:p>
    <w:p w14:paraId="2E9CE2F6" w14:textId="77777777" w:rsidR="004D2B04" w:rsidRDefault="004D2B04" w:rsidP="004D2B04">
      <w:r>
        <w:t>With the sampling frame established, it's time to choose the actual sample for your study. This is a crucial step that can impact the validity of your eventual conclusions. The two main approaches are probability sampling and non-probability sampling.</w:t>
      </w:r>
    </w:p>
    <w:p w14:paraId="53BBB602" w14:textId="77777777" w:rsidR="004D2B04" w:rsidRDefault="004D2B04" w:rsidP="004D2B04">
      <w:r>
        <w:t>In probability sampling, also known as random sampling, every member of the population has a known, non-zero chance of being selected. This is the gold standard for generalizable research. With non-probability sampling, participant selection is not random - some members may have no chance of being chosen or the probability of selection can't be accurately determined. There are instances where non-probability sampling is justifiable, but it does limit the ability to draw definitive population-wide conclusions.</w:t>
      </w:r>
    </w:p>
    <w:p w14:paraId="5327D3EA" w14:textId="7F72CA2C" w:rsidR="00A626FE" w:rsidRDefault="004D2B04" w:rsidP="004D2B04">
      <w:r>
        <w:t>Choosing the right sampling design depends on many factors including the research question, the available budget and timeline, and accessibility of the population. But by carefully considering each of these three stages - population definition, sampling frame selection, and sampling technique choice - researchers can craft robust samples that yield data representative of their target population, setting the stage for meaningful, applicable insights.</w:t>
      </w:r>
    </w:p>
    <w:p w14:paraId="51F12FF2" w14:textId="5106F472" w:rsidR="009F1CCF" w:rsidRDefault="009F1CCF" w:rsidP="009F1CCF">
      <w:r>
        <w:t xml:space="preserve">To see how these three stages play out in practice, let's consider a hypothetical research project. Imagine a </w:t>
      </w:r>
      <w:r w:rsidR="00E10DE0">
        <w:t>sociologist who</w:t>
      </w:r>
      <w:r>
        <w:t xml:space="preserve"> wants to study job satisfaction among professional workers in New York City.</w:t>
      </w:r>
    </w:p>
    <w:p w14:paraId="3F79B59A" w14:textId="1F3B5A41" w:rsidR="009F1CCF" w:rsidRDefault="009F1CCF" w:rsidP="00E10DE0">
      <w:pPr>
        <w:pStyle w:val="Heading4"/>
      </w:pPr>
      <w:r>
        <w:t xml:space="preserve">Defining </w:t>
      </w:r>
      <w:r w:rsidR="00E10DE0">
        <w:t>the Target Population</w:t>
      </w:r>
    </w:p>
    <w:p w14:paraId="3B38AAF7" w14:textId="77777777" w:rsidR="009F1CCF" w:rsidRDefault="009F1CCF" w:rsidP="009F1CCF">
      <w:r>
        <w:t>The researcher's first step is to clearly define the population of interest. In this case, it's "professional workers in New York City." But what exactly does "professional" mean here? The researcher might further specify this as "full-time employed individuals in occupations requiring a bachelor's degree or higher." They may also need to decide if they're interested in all of NYC or just Manhattan. These specifics help create a clear, unambiguous definition of the target population.</w:t>
      </w:r>
    </w:p>
    <w:p w14:paraId="0B501545" w14:textId="2F31742B" w:rsidR="009F1CCF" w:rsidRDefault="009F1CCF" w:rsidP="00D15A92">
      <w:pPr>
        <w:pStyle w:val="Heading4"/>
      </w:pPr>
      <w:r>
        <w:t xml:space="preserve">Determining the </w:t>
      </w:r>
      <w:r w:rsidR="00E10DE0">
        <w:t>S</w:t>
      </w:r>
      <w:r>
        <w:t xml:space="preserve">ampling </w:t>
      </w:r>
      <w:r w:rsidR="00E10DE0">
        <w:t>F</w:t>
      </w:r>
      <w:r>
        <w:t>rame</w:t>
      </w:r>
    </w:p>
    <w:p w14:paraId="1A4CB330" w14:textId="3B6A17D1" w:rsidR="009F1CCF" w:rsidRDefault="009F1CCF" w:rsidP="009F1CCF">
      <w:r>
        <w:t xml:space="preserve">With millions of professional workers in NYC, directly surveying the entire population would be incredibly time-consuming and expensive, if not impossible. </w:t>
      </w:r>
      <w:r w:rsidR="00E10DE0">
        <w:t>So,</w:t>
      </w:r>
      <w:r>
        <w:t xml:space="preserve"> the researcher needs to establish a realistic sampling frame.</w:t>
      </w:r>
    </w:p>
    <w:p w14:paraId="3A700CDC" w14:textId="77777777" w:rsidR="009F1CCF" w:rsidRDefault="009F1CCF" w:rsidP="009F1CCF">
      <w:r>
        <w:t>One option could be to focus on a few large companies that are representative of NYC's professional workforce. The researcher might reach out to the HR departments of a law firm, a financial institution, a hospital, and a tech startup, and ask for employee lists. The total employees across these organizations then become the sampling frame.</w:t>
      </w:r>
    </w:p>
    <w:p w14:paraId="54E717D1" w14:textId="77777777" w:rsidR="009F1CCF" w:rsidRDefault="009F1CCF" w:rsidP="009F1CCF">
      <w:r>
        <w:lastRenderedPageBreak/>
        <w:t>Alternatively, the researcher could use a pre-existing directory like the NYC Chamber of Commerce member list as a sampling frame. This would provide access to a wide cross-section of professionals, although it may overrepresent certain industries or business sizes.</w:t>
      </w:r>
    </w:p>
    <w:p w14:paraId="762F2871" w14:textId="77777777" w:rsidR="009F1CCF" w:rsidRDefault="009F1CCF" w:rsidP="009F1CCF">
      <w:r>
        <w:t>The key is to choose a sampling frame that is feasible to access and reasonably representative of the larger population of NYC professionals.</w:t>
      </w:r>
    </w:p>
    <w:p w14:paraId="59A2CE7F" w14:textId="16C511DF" w:rsidR="009F1CCF" w:rsidRDefault="009F1CCF" w:rsidP="002A1837">
      <w:pPr>
        <w:pStyle w:val="Heading4"/>
      </w:pPr>
      <w:r>
        <w:t xml:space="preserve">Selecting the </w:t>
      </w:r>
      <w:r w:rsidR="002A1837">
        <w:t>S</w:t>
      </w:r>
      <w:r>
        <w:t>ample</w:t>
      </w:r>
    </w:p>
    <w:p w14:paraId="55D8CF47" w14:textId="77777777" w:rsidR="009F1CCF" w:rsidRDefault="009F1CCF" w:rsidP="009F1CCF">
      <w:r>
        <w:t>Finally, the researcher needs to select the actual professionals to survey from within the sampling frame. If the frame consists of employee lists from a few organizations, the researcher could use simple random sampling - putting all the names into a hat (or more likely, a computer program) and randomly selecting the desired number of participants. This gives every person an equal chance of being chosen.</w:t>
      </w:r>
    </w:p>
    <w:p w14:paraId="7994BB45" w14:textId="77777777" w:rsidR="009F1CCF" w:rsidRDefault="009F1CCF" w:rsidP="009F1CCF">
      <w:r>
        <w:t>Alternatively, the researcher could use stratified sampling if they want to ensure professionals from different levels or departments are represented. This involves dividing the sampling frame into subgroups (like junior associates, senior managers, and executives) and then randomly sampling from within each subgroup.</w:t>
      </w:r>
    </w:p>
    <w:p w14:paraId="2FE7928B" w14:textId="77777777" w:rsidR="009F1CCF" w:rsidRDefault="009F1CCF" w:rsidP="009F1CCF">
      <w:r>
        <w:t>If the NYC Chamber of Commerce list is used as the frame, the researcher might employ systematic sampling - selecting every 10th name on the list, for example. Or they could use cluster sampling, first randomly selecting a set of companies from the list and then surveying all the professionals within those selected companies.</w:t>
      </w:r>
    </w:p>
    <w:p w14:paraId="7841275A" w14:textId="77777777" w:rsidR="009F1CCF" w:rsidRDefault="009F1CCF" w:rsidP="009F1CCF">
      <w:r>
        <w:t>The specific sampling method will depend on the researcher's goals and constraints, but the aim is always to select a sample that will yield results that can be confidently generalized back to the full population of NYC professionals.</w:t>
      </w:r>
    </w:p>
    <w:p w14:paraId="5327D3EB" w14:textId="5BFB8573" w:rsidR="00A626FE" w:rsidRPr="000E309B" w:rsidRDefault="009F1CCF" w:rsidP="009F1CCF">
      <w:r>
        <w:t>This example highlights how the three stages of sampling - defining the population, establishing the sampling frame, and selecting the sample - build upon each other to enable well-designed research. By carefully considering the options and trade-offs at each stage, researchers can craft sampling strategies that efficiently provide the valid, reliable data needed to answer their research questions and drive evidence-based decision making.</w:t>
      </w:r>
    </w:p>
    <w:p w14:paraId="27899B53" w14:textId="5B3B70E1" w:rsidR="002B3AD9" w:rsidRDefault="002B3AD9" w:rsidP="002B3AD9">
      <w:r>
        <w:rPr>
          <w:noProof/>
        </w:rPr>
        <w:lastRenderedPageBreak/>
        <w:drawing>
          <wp:anchor distT="0" distB="0" distL="114300" distR="114300" simplePos="0" relativeHeight="251658321" behindDoc="0" locked="0" layoutInCell="1" allowOverlap="1" wp14:anchorId="24DED950" wp14:editId="5C77ACBA">
            <wp:simplePos x="0" y="0"/>
            <wp:positionH relativeFrom="column">
              <wp:posOffset>942975</wp:posOffset>
            </wp:positionH>
            <wp:positionV relativeFrom="paragraph">
              <wp:posOffset>0</wp:posOffset>
            </wp:positionV>
            <wp:extent cx="4050665" cy="3200400"/>
            <wp:effectExtent l="0" t="0" r="0" b="0"/>
            <wp:wrapTopAndBottom/>
            <wp:docPr id="277447" name="Diagram 2774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7" r:lo="rId208" r:qs="rId209" r:cs="rId210"/>
              </a:graphicData>
            </a:graphic>
            <wp14:sizeRelH relativeFrom="margin">
              <wp14:pctWidth>0</wp14:pctWidth>
            </wp14:sizeRelH>
          </wp:anchor>
        </w:drawing>
      </w:r>
      <w:r w:rsidR="001205EF">
        <w:rPr>
          <w:noProof/>
        </w:rPr>
        <mc:AlternateContent>
          <mc:Choice Requires="wps">
            <w:drawing>
              <wp:anchor distT="0" distB="0" distL="114300" distR="114300" simplePos="0" relativeHeight="251658322" behindDoc="0" locked="0" layoutInCell="1" allowOverlap="1" wp14:anchorId="2CF8AADD" wp14:editId="246463BA">
                <wp:simplePos x="0" y="0"/>
                <wp:positionH relativeFrom="column">
                  <wp:posOffset>946150</wp:posOffset>
                </wp:positionH>
                <wp:positionV relativeFrom="paragraph">
                  <wp:posOffset>3259455</wp:posOffset>
                </wp:positionV>
                <wp:extent cx="4050665" cy="635"/>
                <wp:effectExtent l="0" t="0" r="0" b="0"/>
                <wp:wrapTopAndBottom/>
                <wp:docPr id="277448" name="Text Box 277448"/>
                <wp:cNvGraphicFramePr/>
                <a:graphic xmlns:a="http://schemas.openxmlformats.org/drawingml/2006/main">
                  <a:graphicData uri="http://schemas.microsoft.com/office/word/2010/wordprocessingShape">
                    <wps:wsp>
                      <wps:cNvSpPr txBox="1"/>
                      <wps:spPr>
                        <a:xfrm>
                          <a:off x="0" y="0"/>
                          <a:ext cx="4050665" cy="635"/>
                        </a:xfrm>
                        <a:prstGeom prst="rect">
                          <a:avLst/>
                        </a:prstGeom>
                        <a:solidFill>
                          <a:prstClr val="white"/>
                        </a:solidFill>
                        <a:ln>
                          <a:noFill/>
                        </a:ln>
                      </wps:spPr>
                      <wps:txbx>
                        <w:txbxContent>
                          <w:p w14:paraId="4A2D37B6" w14:textId="4D9544DB" w:rsidR="003610E3" w:rsidRDefault="003610E3" w:rsidP="001205EF">
                            <w:pPr>
                              <w:pStyle w:val="Caption"/>
                              <w:jc w:val="center"/>
                              <w:rPr>
                                <w:noProof/>
                              </w:rPr>
                            </w:pPr>
                            <w:bookmarkStart w:id="99" w:name="_Ref71087230"/>
                            <w:r>
                              <w:t xml:space="preserve">Figure </w:t>
                            </w:r>
                            <w:r w:rsidR="006D77BF">
                              <w:fldChar w:fldCharType="begin"/>
                            </w:r>
                            <w:r w:rsidR="006D77BF">
                              <w:instrText xml:space="preserve"> SEQ Figure \* ARABIC </w:instrText>
                            </w:r>
                            <w:r w:rsidR="006D77BF">
                              <w:fldChar w:fldCharType="separate"/>
                            </w:r>
                            <w:r w:rsidR="00980002">
                              <w:rPr>
                                <w:noProof/>
                              </w:rPr>
                              <w:t>23</w:t>
                            </w:r>
                            <w:r w:rsidR="006D77BF">
                              <w:rPr>
                                <w:noProof/>
                              </w:rPr>
                              <w:fldChar w:fldCharType="end"/>
                            </w:r>
                            <w:bookmarkEnd w:id="99"/>
                            <w:r>
                              <w:t>: Sample Selection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F8AADD" id="Text Box 277448" o:spid="_x0000_s1094" type="#_x0000_t202" style="position:absolute;margin-left:74.5pt;margin-top:256.65pt;width:318.95pt;height:.05pt;z-index:2516583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" stroked="f">
                <v:textbox style="mso-fit-shape-to-text:t" inset="0,0,0,0">
                  <w:txbxContent>
                    <w:p w14:paraId="4A2D37B6" w14:textId="4D9544DB" w:rsidR="003610E3" w:rsidRDefault="003610E3" w:rsidP="001205EF">
                      <w:pPr>
                        <w:pStyle w:val="Caption"/>
                        <w:jc w:val="center"/>
                        <w:rPr>
                          <w:noProof/>
                        </w:rPr>
                      </w:pPr>
                      <w:bookmarkStart w:id="100" w:name="_Ref71087230"/>
                      <w:r>
                        <w:t xml:space="preserve">Figure </w:t>
                      </w:r>
                      <w:r w:rsidR="006D77BF">
                        <w:fldChar w:fldCharType="begin"/>
                      </w:r>
                      <w:r w:rsidR="006D77BF">
                        <w:instrText xml:space="preserve"> SEQ Figure \* ARABIC </w:instrText>
                      </w:r>
                      <w:r w:rsidR="006D77BF">
                        <w:fldChar w:fldCharType="separate"/>
                      </w:r>
                      <w:r w:rsidR="00980002">
                        <w:rPr>
                          <w:noProof/>
                        </w:rPr>
                        <w:t>23</w:t>
                      </w:r>
                      <w:r w:rsidR="006D77BF">
                        <w:rPr>
                          <w:noProof/>
                        </w:rPr>
                        <w:fldChar w:fldCharType="end"/>
                      </w:r>
                      <w:bookmarkEnd w:id="100"/>
                      <w:r>
                        <w:t>: Sample Selection Process</w:t>
                      </w:r>
                    </w:p>
                  </w:txbxContent>
                </v:textbox>
                <w10:wrap type="topAndBottom"/>
              </v:shape>
            </w:pict>
          </mc:Fallback>
        </mc:AlternateContent>
      </w:r>
      <w:r w:rsidRPr="002B3AD9">
        <w:t xml:space="preserve"> </w:t>
      </w:r>
      <w:r>
        <w:t>While the fundamental three-stage process of sampling applies to both qualitative and quantitative research, the specific techniques and considerations can vary significantly between these two approaches. This is because qualitative and quantitative research often have different goals and make different types of claims.</w:t>
      </w:r>
    </w:p>
    <w:p w14:paraId="769354EA" w14:textId="68C621EA" w:rsidR="002B3AD9" w:rsidRDefault="002B3AD9" w:rsidP="002B3AD9">
      <w:r>
        <w:t>Quantitative research typically aims to test hypotheses and make generalizable, statistical inferences about a population. The goal is often to quantify the prevalence of a characteristic or the size of a relationship between variables. As a result, quantitative studies tend to prioritize large, randomly selected samples that are representative of the population. This allows researchers to apply their findings to the population with a known degree of confidence and precision.</w:t>
      </w:r>
    </w:p>
    <w:p w14:paraId="2899CC2D" w14:textId="77777777" w:rsidR="002B3AD9" w:rsidRDefault="002B3AD9" w:rsidP="002B3AD9">
      <w:r>
        <w:t>For example, a quantitative study on job satisfaction among NYC professionals might aim to determine what percentage of the population is highly satisfied and to quantify how much job satisfaction correlates with factors like salary or commute time. A large, random sample is essential to ensure these statistical estimates are unbiased and sufficiently precise.</w:t>
      </w:r>
    </w:p>
    <w:p w14:paraId="783F5CB4" w14:textId="77777777" w:rsidR="002B3AD9" w:rsidRDefault="002B3AD9" w:rsidP="002B3AD9">
      <w:r>
        <w:t>In contrast, qualitative research often seeks to develop an in-depth understanding of a phenomenon, to explore the meanings people assign to their experiences, or to generate new theories. Generalizability is less of a focus. Instead, qualitative researchers often aim for transferability - providing enough context that readers can assess how the findings might apply to other similar situations.</w:t>
      </w:r>
    </w:p>
    <w:p w14:paraId="3BDFEED3" w14:textId="77777777" w:rsidR="002B3AD9" w:rsidRDefault="002B3AD9" w:rsidP="002B3AD9">
      <w:r>
        <w:t xml:space="preserve">As a result, qualitative studies often use smaller, more purposefully selected samples. Rather than random sampling, qualitative researchers often employ purposive sampling techniques to </w:t>
      </w:r>
      <w:r>
        <w:lastRenderedPageBreak/>
        <w:t>deliberately choose participants who have relevant experiences or characteristics. The goal is to achieve depth and richness of information, not statistical representativeness.</w:t>
      </w:r>
    </w:p>
    <w:p w14:paraId="7D7F33D8" w14:textId="77777777" w:rsidR="002B3AD9" w:rsidRDefault="002B3AD9" w:rsidP="002B3AD9">
      <w:r>
        <w:t>A qualitative study on professional workers' experiences of job satisfaction might involve in-depth interviews with a small number of professionals selected for their ability to provide insight into the phenomenon. The researcher might purposefully sample professionals from different industries, at different career stages, or with different personal circumstances to capture a range of perspectives. The aim is not to quantify job satisfaction, but to develop a nuanced understanding of how professionals experience and make sense of it in their working lives.</w:t>
      </w:r>
    </w:p>
    <w:p w14:paraId="3563A5ED" w14:textId="77777777" w:rsidR="002B3AD9" w:rsidRDefault="002B3AD9" w:rsidP="002B3AD9">
      <w:r>
        <w:t>Other common sampling strategies in qualitative research include theoretical sampling (selecting cases that will help develop an emerging theory), extreme or deviant case sampling (focusing on unusual cases to illuminate the boundaries of a phenomenon), and maximum variation sampling (choosing cases that span the spectrum of a phenomenon to identify common patterns).</w:t>
      </w:r>
    </w:p>
    <w:p w14:paraId="3C9BED07" w14:textId="1C21E2C9" w:rsidR="002B3AD9" w:rsidRDefault="002B3AD9" w:rsidP="002B3AD9">
      <w:r>
        <w:t>So, while the basic process of defining a population, establishing a sampling frame, and selecting a sample still applies in both qualitative and quantitative research, the specific approaches and rationales can differ substantially. Quantitative research emphasizes large, random, representative samples to support statistical generalization, while qualitative research often focuses on smaller, purposefully selected samples to enable in-depth, contextualized understanding.</w:t>
      </w:r>
    </w:p>
    <w:p w14:paraId="5327D3EE" w14:textId="08A36DE7" w:rsidR="00A626FE" w:rsidRPr="000E309B" w:rsidRDefault="002B3AD9" w:rsidP="002B3AD9">
      <w:r>
        <w:t>By tailoring their sampling strategies to their specific research goals and methodological traditions, both qualitative and quantitative researchers can design studies that effectively address their questions of interest. Understanding these differences is crucial for students aspiring to conduct research across the social and behavioral sciences.</w:t>
      </w:r>
    </w:p>
    <w:p w14:paraId="5327D3EF" w14:textId="4B3FA6F6" w:rsidR="00A626FE" w:rsidRPr="000E309B" w:rsidRDefault="007C19EA" w:rsidP="007C19EA">
      <w:pPr>
        <w:pStyle w:val="Heading3"/>
      </w:pPr>
      <w:bookmarkStart w:id="101" w:name="_Toc169156736"/>
      <w:r>
        <w:t>S</w:t>
      </w:r>
      <w:r w:rsidR="00D14B33" w:rsidRPr="000E309B">
        <w:t xml:space="preserve">ampling in </w:t>
      </w:r>
      <w:r>
        <w:t>Q</w:t>
      </w:r>
      <w:r w:rsidR="00D14B33" w:rsidRPr="000E309B">
        <w:t xml:space="preserve">uantitative </w:t>
      </w:r>
      <w:r>
        <w:t>R</w:t>
      </w:r>
      <w:r w:rsidR="00D14B33" w:rsidRPr="000E309B">
        <w:t>esearch</w:t>
      </w:r>
      <w:bookmarkEnd w:id="101"/>
    </w:p>
    <w:p w14:paraId="4810F296" w14:textId="77777777" w:rsidR="00CA5E7E" w:rsidRDefault="00CA5E7E" w:rsidP="00CA5E7E">
      <w:r>
        <w:t>Quantitative researchers often aim to make inferences about large populations based on data from smaller samples. To ensure these inferences are valid, they rely on probability sampling. In probability sampling, each unit in the population has a known, non-zero chance of being selected for the sample. This is critical because it allows researchers to create samples that are representative of the population, which in turn enables generalization from the sample to the population.</w:t>
      </w:r>
    </w:p>
    <w:p w14:paraId="5E13D562" w14:textId="172D8D2F" w:rsidR="00CA5E7E" w:rsidRDefault="00CA5E7E" w:rsidP="00CA5E7E">
      <w:r>
        <w:t xml:space="preserve">Consider a researcher studying differences in shopping habits between men and women. To draw meaningful conclusions, the sample needs to include both genders in roughly the same proportions as the broader population. If the researcher's sample was 90% female </w:t>
      </w:r>
      <w:r w:rsidR="005D3B53">
        <w:t xml:space="preserve">while </w:t>
      </w:r>
      <w:r>
        <w:t>the population is only 50% female, any differences found might not accurately reflect the population reality.</w:t>
      </w:r>
    </w:p>
    <w:p w14:paraId="77DA5C20" w14:textId="77777777" w:rsidR="00CA5E7E" w:rsidRDefault="00CA5E7E" w:rsidP="00CA5E7E">
      <w:r>
        <w:t xml:space="preserve">This is where probability sampling comes in. By giving every member of the population a known chance of selection, probability sampling helps ensure the sample composition mirrors the </w:t>
      </w:r>
      <w:r>
        <w:lastRenderedPageBreak/>
        <w:t>population on key characteristics. If done properly, the results found in the sample can be confidently generalized to the entire population - this property of generalizability is the hallmark of probability sampling.</w:t>
      </w:r>
    </w:p>
    <w:p w14:paraId="06521227" w14:textId="77777777" w:rsidR="00CA5E7E" w:rsidRDefault="00CA5E7E" w:rsidP="00CA5E7E">
      <w:r>
        <w:t>Probability sampling also enables researchers to make statistical inferences about population parameters. Parameters are numerical characteristics of a population, like the mean, median, or standard deviation. Samples that are appropriately selected using probability methods will typically form a normal distribution around the population parameter values.</w:t>
      </w:r>
    </w:p>
    <w:p w14:paraId="2CF64FD9" w14:textId="77777777" w:rsidR="00CA5E7E" w:rsidRDefault="00CA5E7E" w:rsidP="00CA5E7E">
      <w:r>
        <w:t>In other words, if you took many random samples and calculated the sample mean each time, those sample means would cluster around the true population mean, forming the familiar bell-shaped curve. Sample statistics like the mean and standard deviation then become unbiased estimates of the corresponding population parameters. This is why statistical analyses based on probability samples can be used to draw conclusions about entire populations.</w:t>
      </w:r>
    </w:p>
    <w:p w14:paraId="4B6CBAC1" w14:textId="77777777" w:rsidR="00CA5E7E" w:rsidRDefault="00CA5E7E" w:rsidP="00CA5E7E">
      <w:r>
        <w:t>To achieve these benefits, all probability sampling techniques share two key features:</w:t>
      </w:r>
    </w:p>
    <w:p w14:paraId="6FE1B07B" w14:textId="347F2DEA" w:rsidR="00CA5E7E" w:rsidRDefault="00CA5E7E" w:rsidP="00063877">
      <w:pPr>
        <w:pStyle w:val="ListParagraph"/>
        <w:numPr>
          <w:ilvl w:val="0"/>
          <w:numId w:val="268"/>
        </w:numPr>
      </w:pPr>
      <w:r>
        <w:t xml:space="preserve">Every unit in the population has a known, non-zero probability of being selected. The probabilities don't have to be equal (in fact, they often aren't), but they must be known and greater than zero for every unit. This is what makes probability sampling distinct from non-probability methods where selection probabilities are </w:t>
      </w:r>
      <w:r w:rsidR="00063877">
        <w:t>unknown,</w:t>
      </w:r>
      <w:r>
        <w:t xml:space="preserve"> or some units have no chance of being chosen.</w:t>
      </w:r>
    </w:p>
    <w:p w14:paraId="662266DE" w14:textId="77777777" w:rsidR="00CA5E7E" w:rsidRDefault="00CA5E7E" w:rsidP="00063877">
      <w:pPr>
        <w:pStyle w:val="ListParagraph"/>
        <w:numPr>
          <w:ilvl w:val="0"/>
          <w:numId w:val="268"/>
        </w:numPr>
      </w:pPr>
      <w:r>
        <w:t>The sampling procedure involves random selection. Once selection probabilities are established, the actual sample is chosen randomly based on those probabilities. This random selection is crucial to avoid bias and ensure the sample is truly representative of the population.</w:t>
      </w:r>
    </w:p>
    <w:p w14:paraId="08D76D35" w14:textId="77777777" w:rsidR="00CA5E7E" w:rsidRDefault="00CA5E7E" w:rsidP="00CA5E7E">
      <w:r>
        <w:t>Within this framework of known probabilities and random selection, there are several specific probability sampling techniques researchers can use, each with its own advantages and considerations. These include:</w:t>
      </w:r>
    </w:p>
    <w:p w14:paraId="5310CFEC" w14:textId="43F2CF40" w:rsidR="00CA5E7E" w:rsidRDefault="00063877" w:rsidP="00063877">
      <w:pPr>
        <w:pStyle w:val="ListParagraph"/>
        <w:numPr>
          <w:ilvl w:val="0"/>
          <w:numId w:val="269"/>
        </w:numPr>
      </w:pPr>
      <w:r w:rsidRPr="00F8238A">
        <w:rPr>
          <w:b/>
          <w:bCs/>
        </w:rPr>
        <w:t>Simple Random Sampling</w:t>
      </w:r>
      <w:r w:rsidR="00630A9A">
        <w:t xml:space="preserve">: </w:t>
      </w:r>
      <w:r w:rsidR="00630A9A" w:rsidRPr="00630A9A">
        <w:t>Every unit in the population has an equal chance of being selected, and the sample is chosen entirely by chance.</w:t>
      </w:r>
    </w:p>
    <w:p w14:paraId="35EAF283" w14:textId="1ED668C9" w:rsidR="00063877" w:rsidRDefault="00063877" w:rsidP="00063877">
      <w:pPr>
        <w:pStyle w:val="ListParagraph"/>
        <w:numPr>
          <w:ilvl w:val="0"/>
          <w:numId w:val="269"/>
        </w:numPr>
      </w:pPr>
      <w:r w:rsidRPr="00F8238A">
        <w:rPr>
          <w:b/>
          <w:bCs/>
        </w:rPr>
        <w:t>Systematic Sampling</w:t>
      </w:r>
      <w:r w:rsidR="000C3617">
        <w:t xml:space="preserve">: </w:t>
      </w:r>
      <w:r w:rsidR="000C3617" w:rsidRPr="000C3617">
        <w:t>Units are selected from the population at a regular interval (e.g., every 10th person on a list) after a random starting point.</w:t>
      </w:r>
    </w:p>
    <w:p w14:paraId="6E55FC15" w14:textId="4C6C05A8" w:rsidR="00063877" w:rsidRDefault="00063877" w:rsidP="00063877">
      <w:pPr>
        <w:pStyle w:val="ListParagraph"/>
        <w:numPr>
          <w:ilvl w:val="0"/>
          <w:numId w:val="269"/>
        </w:numPr>
      </w:pPr>
      <w:r w:rsidRPr="00F8238A">
        <w:rPr>
          <w:b/>
          <w:bCs/>
        </w:rPr>
        <w:t>Stratified Sampling</w:t>
      </w:r>
      <w:r w:rsidR="000C3617">
        <w:t xml:space="preserve">: </w:t>
      </w:r>
      <w:r w:rsidR="000C3617" w:rsidRPr="000C3617">
        <w:t>The population is divided into subgroups (strata) based on a characteristic, and then units are randomly sampled from each stratum.</w:t>
      </w:r>
    </w:p>
    <w:p w14:paraId="5991C4FD" w14:textId="780606AD" w:rsidR="00063877" w:rsidRDefault="00063877" w:rsidP="00063877">
      <w:pPr>
        <w:pStyle w:val="ListParagraph"/>
        <w:numPr>
          <w:ilvl w:val="0"/>
          <w:numId w:val="269"/>
        </w:numPr>
      </w:pPr>
      <w:r w:rsidRPr="00F8238A">
        <w:rPr>
          <w:b/>
          <w:bCs/>
        </w:rPr>
        <w:t>Cluster Sampling</w:t>
      </w:r>
      <w:r w:rsidR="000C3617">
        <w:t xml:space="preserve">: </w:t>
      </w:r>
      <w:r w:rsidR="000C3617" w:rsidRPr="000C3617">
        <w:t>The population is divided into clusters (usually geographic), a random sample of clusters is selected, and then all units within the selected clusters are sampled.</w:t>
      </w:r>
    </w:p>
    <w:p w14:paraId="3527055F" w14:textId="5C80E0CD" w:rsidR="00063877" w:rsidRDefault="00063877" w:rsidP="00063877">
      <w:pPr>
        <w:pStyle w:val="ListParagraph"/>
        <w:numPr>
          <w:ilvl w:val="0"/>
          <w:numId w:val="269"/>
        </w:numPr>
      </w:pPr>
      <w:r w:rsidRPr="00F8238A">
        <w:rPr>
          <w:b/>
          <w:bCs/>
        </w:rPr>
        <w:t>Matched Pair Sampling</w:t>
      </w:r>
      <w:r w:rsidR="00F8238A">
        <w:t>:</w:t>
      </w:r>
      <w:r w:rsidR="00F8238A" w:rsidRPr="00F8238A">
        <w:t xml:space="preserve"> Two samples are created that are matched on certain characteristics (e.g., age, gender) to control for potential confounding variables.</w:t>
      </w:r>
    </w:p>
    <w:p w14:paraId="1835C273" w14:textId="295FA34A" w:rsidR="00063877" w:rsidRDefault="00063877" w:rsidP="00063877">
      <w:pPr>
        <w:pStyle w:val="ListParagraph"/>
        <w:numPr>
          <w:ilvl w:val="0"/>
          <w:numId w:val="269"/>
        </w:numPr>
      </w:pPr>
      <w:r w:rsidRPr="00F8238A">
        <w:rPr>
          <w:b/>
          <w:bCs/>
        </w:rPr>
        <w:lastRenderedPageBreak/>
        <w:t>Multistage Sampling</w:t>
      </w:r>
      <w:r w:rsidR="00F8238A">
        <w:t>:</w:t>
      </w:r>
      <w:r w:rsidR="00F8238A" w:rsidRPr="00F8238A">
        <w:t xml:space="preserve"> Sampling is carried out in stages, with the population divided into clusters, a sample of clusters chosen, and then units randomly sampled from within the selected clusters.</w:t>
      </w:r>
    </w:p>
    <w:p w14:paraId="5327D3F3" w14:textId="3696F269" w:rsidR="00A626FE" w:rsidRDefault="00CA5E7E" w:rsidP="00CA5E7E">
      <w:r>
        <w:t>By understanding the logic and power of probability sampling, quantitative researchers can design studies that efficiently yield samples that support valid, meaningful inferences about populations. This foundational sampling knowledge is essential for students aiming to conduct rigorous quantitative research and interpret others' findings with an appropriate level of confidence.</w:t>
      </w:r>
    </w:p>
    <w:p w14:paraId="1A6DEB7E" w14:textId="77777777" w:rsidR="00D201B5" w:rsidRDefault="00D14B33" w:rsidP="00D201B5">
      <w:pPr>
        <w:pStyle w:val="Heading4"/>
      </w:pPr>
      <w:r w:rsidRPr="007A411E">
        <w:rPr>
          <w:rStyle w:val="Heading4Char"/>
        </w:rPr>
        <w:t>Simple Random Sampling</w:t>
      </w:r>
      <w:r w:rsidRPr="000E309B">
        <w:t xml:space="preserve"> </w:t>
      </w:r>
    </w:p>
    <w:p w14:paraId="62F09024" w14:textId="77777777" w:rsidR="00707A09" w:rsidRDefault="00707A09" w:rsidP="00707A09">
      <w:r>
        <w:t>Simple random sampling is a probability sampling technique where every possible subset of a population (or more precisely, of the sampling frame) has an equal chance of being selected. This equal probability of selection makes the sample an unbiased representation of the population.</w:t>
      </w:r>
    </w:p>
    <w:p w14:paraId="61018A59" w14:textId="77777777" w:rsidR="00707A09" w:rsidRDefault="00707A09" w:rsidP="00707A09">
      <w:r>
        <w:t>The process of simple random sampling involves randomly selecting respondents from a sampling frame. This is usually done using a table of random numbers or a computerized random number generator.</w:t>
      </w:r>
    </w:p>
    <w:p w14:paraId="1E68BEA3" w14:textId="77777777" w:rsidR="00707A09" w:rsidRDefault="00707A09" w:rsidP="00707A09">
      <w:r>
        <w:t>For example, let's say a researcher wants to survey 200 firms randomly selected from a list of 1000. They could start by entering the list into a spreadsheet program like Excel. Then, they would use the "random" function to assign a random number to each of the 1000 firms. Next, they would sort the list by those random numbers. Finally, they would select the first 200 firms on the sorted list to be included in the sample.</w:t>
      </w:r>
    </w:p>
    <w:p w14:paraId="7096A997" w14:textId="77777777" w:rsidR="00707A09" w:rsidRDefault="00707A09" w:rsidP="00707A09">
      <w:r>
        <w:t>The key strength of simple random sampling lies in its simplicity. Because the sampling frame is not divided or partitioned in any way, the resulting sample is unbiased. This means that of all the probability sampling techniques, simple random sampling allows for the most generalizable inferences about the population.</w:t>
      </w:r>
    </w:p>
    <w:p w14:paraId="78F07F74" w14:textId="77777777" w:rsidR="00707A09" w:rsidRDefault="00707A09" w:rsidP="00707A09">
      <w:r>
        <w:t>However, this simplicity also comes with some limitations. Simple random sampling can be inefficient for large, geographically dispersed populations because it doesn't ensure representation from all subgroups. It also requires a complete list of the population (the sampling frame), which may not always be available.</w:t>
      </w:r>
    </w:p>
    <w:p w14:paraId="37BCDB61" w14:textId="77777777" w:rsidR="00707A09" w:rsidRDefault="00707A09" w:rsidP="00707A09">
      <w:r>
        <w:t>Despite these potential drawbacks, simple random sampling remains a foundational technique in probability sampling. Its straightforward approach makes it easy to understand and implement, and the lack of bias in the resulting sample is a key advantage. For many research questions, particularly those involving homogeneous populations or where subgroup differences are not a primary interest, simple random sampling can be a robust and effective choice.</w:t>
      </w:r>
    </w:p>
    <w:p w14:paraId="5327D3F6" w14:textId="221560D5" w:rsidR="00A626FE" w:rsidRPr="000E309B" w:rsidRDefault="00372923" w:rsidP="00CB154A">
      <w:r w:rsidRPr="000E309B">
        <w:rPr>
          <w:noProof/>
        </w:rPr>
        <w:lastRenderedPageBreak/>
        <w:drawing>
          <wp:anchor distT="0" distB="0" distL="114300" distR="114300" simplePos="0" relativeHeight="251658323" behindDoc="0" locked="0" layoutInCell="1" allowOverlap="1" wp14:anchorId="5327DDD9" wp14:editId="2FA92A87">
            <wp:simplePos x="0" y="0"/>
            <wp:positionH relativeFrom="column">
              <wp:posOffset>2228850</wp:posOffset>
            </wp:positionH>
            <wp:positionV relativeFrom="paragraph">
              <wp:posOffset>610235</wp:posOffset>
            </wp:positionV>
            <wp:extent cx="1490345" cy="2468880"/>
            <wp:effectExtent l="0" t="0" r="0" b="7620"/>
            <wp:wrapTopAndBottom/>
            <wp:docPr id="11202" name="Picture 11202"/>
            <wp:cNvGraphicFramePr/>
            <a:graphic xmlns:a="http://schemas.openxmlformats.org/drawingml/2006/main">
              <a:graphicData uri="http://schemas.openxmlformats.org/drawingml/2006/picture">
                <pic:pic xmlns:pic="http://schemas.openxmlformats.org/drawingml/2006/picture">
                  <pic:nvPicPr>
                    <pic:cNvPr id="11202" name="Picture 11202"/>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90345" cy="2468880"/>
                    </a:xfrm>
                    <a:prstGeom prst="rect">
                      <a:avLst/>
                    </a:prstGeom>
                  </pic:spPr>
                </pic:pic>
              </a:graphicData>
            </a:graphic>
            <wp14:sizeRelH relativeFrom="margin">
              <wp14:pctWidth>0</wp14:pctWidth>
            </wp14:sizeRelH>
            <wp14:sizeRelV relativeFrom="margin">
              <wp14:pctHeight>0</wp14:pctHeight>
            </wp14:sizeRelV>
          </wp:anchor>
        </w:drawing>
      </w:r>
      <w:r w:rsidR="00CB154A">
        <w:t>The following figure</w:t>
      </w:r>
      <w:r w:rsidR="00D14B33" w:rsidRPr="000E309B">
        <w:t xml:space="preserve"> illustrates simple random sampling. A few individuals in the entire population are selected (circled) at random for the study.</w:t>
      </w:r>
    </w:p>
    <w:p w14:paraId="4EE0FD56" w14:textId="4B8F5C82" w:rsidR="00D201B5" w:rsidRDefault="00372923" w:rsidP="00A24C77">
      <w:pPr>
        <w:pStyle w:val="Heading4"/>
      </w:pPr>
      <w:r>
        <w:rPr>
          <w:noProof/>
        </w:rPr>
        <mc:AlternateContent>
          <mc:Choice Requires="wps">
            <w:drawing>
              <wp:anchor distT="0" distB="0" distL="114300" distR="114300" simplePos="0" relativeHeight="251658324" behindDoc="0" locked="0" layoutInCell="1" allowOverlap="1" wp14:anchorId="63E833C5" wp14:editId="11EFEEF4">
                <wp:simplePos x="0" y="0"/>
                <wp:positionH relativeFrom="column">
                  <wp:posOffset>2226310</wp:posOffset>
                </wp:positionH>
                <wp:positionV relativeFrom="paragraph">
                  <wp:posOffset>2526030</wp:posOffset>
                </wp:positionV>
                <wp:extent cx="1490345" cy="635"/>
                <wp:effectExtent l="0" t="0" r="0" b="0"/>
                <wp:wrapTopAndBottom/>
                <wp:docPr id="277445" name="Text Box 277445"/>
                <wp:cNvGraphicFramePr/>
                <a:graphic xmlns:a="http://schemas.openxmlformats.org/drawingml/2006/main">
                  <a:graphicData uri="http://schemas.microsoft.com/office/word/2010/wordprocessingShape">
                    <wps:wsp>
                      <wps:cNvSpPr txBox="1"/>
                      <wps:spPr>
                        <a:xfrm>
                          <a:off x="0" y="0"/>
                          <a:ext cx="1490345" cy="635"/>
                        </a:xfrm>
                        <a:prstGeom prst="rect">
                          <a:avLst/>
                        </a:prstGeom>
                        <a:solidFill>
                          <a:prstClr val="white"/>
                        </a:solidFill>
                        <a:ln>
                          <a:noFill/>
                        </a:ln>
                      </wps:spPr>
                      <wps:txbx>
                        <w:txbxContent>
                          <w:p w14:paraId="025F1446" w14:textId="45FC5D99" w:rsidR="003610E3" w:rsidRDefault="003610E3" w:rsidP="00372923">
                            <w:pPr>
                              <w:pStyle w:val="Caption"/>
                              <w:rPr>
                                <w:noProof/>
                              </w:rPr>
                            </w:pPr>
                            <w:bookmarkStart w:id="102" w:name="_Ref71091800"/>
                            <w:r>
                              <w:t xml:space="preserve">Figure </w:t>
                            </w:r>
                            <w:r w:rsidR="006D77BF">
                              <w:fldChar w:fldCharType="begin"/>
                            </w:r>
                            <w:r w:rsidR="006D77BF">
                              <w:instrText xml:space="preserve"> SEQ Figure \* ARABIC </w:instrText>
                            </w:r>
                            <w:r w:rsidR="006D77BF">
                              <w:fldChar w:fldCharType="separate"/>
                            </w:r>
                            <w:r w:rsidR="00980002">
                              <w:rPr>
                                <w:noProof/>
                              </w:rPr>
                              <w:t>24</w:t>
                            </w:r>
                            <w:r w:rsidR="006D77BF">
                              <w:rPr>
                                <w:noProof/>
                              </w:rPr>
                              <w:fldChar w:fldCharType="end"/>
                            </w:r>
                            <w:bookmarkEnd w:id="102"/>
                            <w:r>
                              <w:t>: Simple Random Sampling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E833C5" id="Text Box 277445" o:spid="_x0000_s1095" type="#_x0000_t202" style="position:absolute;margin-left:175.3pt;margin-top:198.9pt;width:117.35pt;height:.05pt;z-index:2516583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" stroked="f">
                <v:textbox style="mso-fit-shape-to-text:t" inset="0,0,0,0">
                  <w:txbxContent>
                    <w:p w14:paraId="025F1446" w14:textId="45FC5D99" w:rsidR="003610E3" w:rsidRDefault="003610E3" w:rsidP="00372923">
                      <w:pPr>
                        <w:pStyle w:val="Caption"/>
                        <w:rPr>
                          <w:noProof/>
                        </w:rPr>
                      </w:pPr>
                      <w:bookmarkStart w:id="103" w:name="_Ref71091800"/>
                      <w:r>
                        <w:t xml:space="preserve">Figure </w:t>
                      </w:r>
                      <w:r w:rsidR="006D77BF">
                        <w:fldChar w:fldCharType="begin"/>
                      </w:r>
                      <w:r w:rsidR="006D77BF">
                        <w:instrText xml:space="preserve"> SEQ Figure \* ARABIC </w:instrText>
                      </w:r>
                      <w:r w:rsidR="006D77BF">
                        <w:fldChar w:fldCharType="separate"/>
                      </w:r>
                      <w:r w:rsidR="00980002">
                        <w:rPr>
                          <w:noProof/>
                        </w:rPr>
                        <w:t>24</w:t>
                      </w:r>
                      <w:r w:rsidR="006D77BF">
                        <w:rPr>
                          <w:noProof/>
                        </w:rPr>
                        <w:fldChar w:fldCharType="end"/>
                      </w:r>
                      <w:bookmarkEnd w:id="103"/>
                      <w:r>
                        <w:t>: Simple Random Sampling</w:t>
                      </w:r>
                    </w:p>
                  </w:txbxContent>
                </v:textbox>
                <w10:wrap type="topAndBottom"/>
              </v:shape>
            </w:pict>
          </mc:Fallback>
        </mc:AlternateContent>
      </w:r>
      <w:r w:rsidR="00D14B33" w:rsidRPr="000E309B">
        <w:t xml:space="preserve">Systematic Sampling </w:t>
      </w:r>
    </w:p>
    <w:p w14:paraId="720F304B" w14:textId="77777777" w:rsidR="00397529" w:rsidRDefault="00397529" w:rsidP="00397529">
      <w:r>
        <w:t>Systematic sampling is a probability sampling technique where the sampling frame is ordered according to some criterion, and then elements are selected at regular intervals through that ordered list. The process involves a random starting point and then proceeds by selecting every kth element from that point onward.</w:t>
      </w:r>
    </w:p>
    <w:p w14:paraId="1D4EC972" w14:textId="77777777" w:rsidR="00397529" w:rsidRDefault="00397529" w:rsidP="00397529">
      <w:r>
        <w:t>To calculate the value of k (the sampling interval), divide the size of the sampling frame (N) by the desired sample size (n). In other words, k = N/n. It's crucial that the starting point is randomly chosen from within the first k elements, not automatically the first item in the list.</w:t>
      </w:r>
    </w:p>
    <w:p w14:paraId="05F149FE" w14:textId="77777777" w:rsidR="00397529" w:rsidRDefault="00397529" w:rsidP="00397529">
      <w:r>
        <w:t>For example, suppose a researcher wants to select 200 firms from a list of 1000. In this case, k would equal 5 (1000/200). The researcher would first sort the list of 1000 firms in increasing or decreasing order by some size-related criterion, such as employee count or annual revenues. Then, they would randomly select one of the first five firms (since k=5) and proceed to select every fifth firm from that starting point.</w:t>
      </w:r>
    </w:p>
    <w:p w14:paraId="4C5C22F8" w14:textId="77777777" w:rsidR="00397529" w:rsidRDefault="00397529" w:rsidP="00397529">
      <w:r>
        <w:t>This systematic approach ensures that firms of all sizes are uniformly represented in the sample, avoiding over-representation of large or small firms. The resulting sample is thus representative of the population, at least with respect to the sorting criterion.</w:t>
      </w:r>
    </w:p>
    <w:p w14:paraId="424993F5" w14:textId="77777777" w:rsidR="00397529" w:rsidRDefault="00397529" w:rsidP="00397529">
      <w:r>
        <w:t>However, researchers should be cautious about using systematic sampling when the sampling frame has a periodic pattern. This can introduce a specific bias known as the periodicity problem.</w:t>
      </w:r>
    </w:p>
    <w:p w14:paraId="645DCE2B" w14:textId="77777777" w:rsidR="00397529" w:rsidRDefault="00397529" w:rsidP="00397529">
      <w:r>
        <w:t xml:space="preserve">For instance, imagine a researcher wants to observe how people use outdoor spaces on a college campus. They decide to make observations on "random" dates in September. However, if they </w:t>
      </w:r>
      <w:r>
        <w:lastRenderedPageBreak/>
        <w:t>select every 7th date (k=7), all their observations will fall on the same day of the week due to the weekly cycle. In such cases where the data has a recurring pattern, systematic sampling should be avoided.</w:t>
      </w:r>
    </w:p>
    <w:p w14:paraId="1452003E" w14:textId="7A4C0148" w:rsidR="00397529" w:rsidRDefault="00397529" w:rsidP="00397529">
      <w:r>
        <w:t xml:space="preserve">Despite this potential pitfall, systematic sampling offers several advantages. It is often more convenient than simple random sampling, especially for large populations, as it doesn't require a complete list of the population in advance. It also ensures a degree of representativeness across the range of the sorting </w:t>
      </w:r>
      <w:r w:rsidR="003B2A1A">
        <w:t>criteria</w:t>
      </w:r>
      <w:r>
        <w:t>.</w:t>
      </w:r>
    </w:p>
    <w:p w14:paraId="34879304" w14:textId="77777777" w:rsidR="00397529" w:rsidRDefault="00397529" w:rsidP="00397529">
      <w:r>
        <w:t>As with all sampling methods, the key is to consider the research question and the nature of the population. By understanding the strengths and limitations of systematic sampling, researchers can make informed decisions about when it's an appropriate choice.</w:t>
      </w:r>
    </w:p>
    <w:p w14:paraId="5327D3FB" w14:textId="24F37828" w:rsidR="00A626FE" w:rsidRPr="000E309B" w:rsidRDefault="00D84063" w:rsidP="00DD7B5A">
      <w:r>
        <w:rPr>
          <w:noProof/>
        </w:rPr>
        <mc:AlternateContent>
          <mc:Choice Requires="wps">
            <w:drawing>
              <wp:anchor distT="0" distB="0" distL="114300" distR="114300" simplePos="0" relativeHeight="251661396" behindDoc="0" locked="0" layoutInCell="1" allowOverlap="1" wp14:anchorId="384D6593" wp14:editId="43194C7D">
                <wp:simplePos x="0" y="0"/>
                <wp:positionH relativeFrom="column">
                  <wp:posOffset>2228850</wp:posOffset>
                </wp:positionH>
                <wp:positionV relativeFrom="paragraph">
                  <wp:posOffset>3135630</wp:posOffset>
                </wp:positionV>
                <wp:extent cx="1490345" cy="635"/>
                <wp:effectExtent l="0" t="0" r="0" b="0"/>
                <wp:wrapTopAndBottom/>
                <wp:docPr id="65" name="Text Box 65"/>
                <wp:cNvGraphicFramePr/>
                <a:graphic xmlns:a="http://schemas.openxmlformats.org/drawingml/2006/main">
                  <a:graphicData uri="http://schemas.microsoft.com/office/word/2010/wordprocessingShape">
                    <wps:wsp>
                      <wps:cNvSpPr txBox="1"/>
                      <wps:spPr>
                        <a:xfrm>
                          <a:off x="0" y="0"/>
                          <a:ext cx="1490345" cy="635"/>
                        </a:xfrm>
                        <a:prstGeom prst="rect">
                          <a:avLst/>
                        </a:prstGeom>
                        <a:solidFill>
                          <a:prstClr val="white"/>
                        </a:solidFill>
                        <a:ln>
                          <a:noFill/>
                        </a:ln>
                      </wps:spPr>
                      <wps:txbx>
                        <w:txbxContent>
                          <w:p w14:paraId="75DF0E7C" w14:textId="69ED9BAE" w:rsidR="003610E3" w:rsidRDefault="003610E3" w:rsidP="00592E8C">
                            <w:pPr>
                              <w:pStyle w:val="Caption"/>
                              <w:jc w:val="center"/>
                              <w:rPr>
                                <w:noProof/>
                              </w:rPr>
                            </w:pPr>
                            <w:bookmarkStart w:id="104" w:name="_Ref71093077"/>
                            <w:r>
                              <w:t xml:space="preserve">Figure </w:t>
                            </w:r>
                            <w:r w:rsidR="006D77BF">
                              <w:fldChar w:fldCharType="begin"/>
                            </w:r>
                            <w:r w:rsidR="006D77BF">
                              <w:instrText xml:space="preserve"> SEQ Figure \* ARABIC </w:instrText>
                            </w:r>
                            <w:r w:rsidR="006D77BF">
                              <w:fldChar w:fldCharType="separate"/>
                            </w:r>
                            <w:r w:rsidR="00980002">
                              <w:rPr>
                                <w:noProof/>
                              </w:rPr>
                              <w:t>25</w:t>
                            </w:r>
                            <w:r w:rsidR="006D77BF">
                              <w:rPr>
                                <w:noProof/>
                              </w:rPr>
                              <w:fldChar w:fldCharType="end"/>
                            </w:r>
                            <w:bookmarkEnd w:id="104"/>
                            <w:r>
                              <w:t>: Systematic Sampling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4D6593" id="Text Box 65" o:spid="_x0000_s1096" type="#_x0000_t202" style="position:absolute;margin-left:175.5pt;margin-top:246.9pt;width:117.35pt;height:.05pt;z-index:2516613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" stroked="f">
                <v:textbox style="mso-fit-shape-to-text:t" inset="0,0,0,0">
                  <w:txbxContent>
                    <w:p w14:paraId="75DF0E7C" w14:textId="69ED9BAE" w:rsidR="003610E3" w:rsidRDefault="003610E3" w:rsidP="00592E8C">
                      <w:pPr>
                        <w:pStyle w:val="Caption"/>
                        <w:jc w:val="center"/>
                        <w:rPr>
                          <w:noProof/>
                        </w:rPr>
                      </w:pPr>
                      <w:bookmarkStart w:id="105" w:name="_Ref71093077"/>
                      <w:r>
                        <w:t xml:space="preserve">Figure </w:t>
                      </w:r>
                      <w:r w:rsidR="006D77BF">
                        <w:fldChar w:fldCharType="begin"/>
                      </w:r>
                      <w:r w:rsidR="006D77BF">
                        <w:instrText xml:space="preserve"> SEQ Figure \* ARABIC </w:instrText>
                      </w:r>
                      <w:r w:rsidR="006D77BF">
                        <w:fldChar w:fldCharType="separate"/>
                      </w:r>
                      <w:r w:rsidR="00980002">
                        <w:rPr>
                          <w:noProof/>
                        </w:rPr>
                        <w:t>25</w:t>
                      </w:r>
                      <w:r w:rsidR="006D77BF">
                        <w:rPr>
                          <w:noProof/>
                        </w:rPr>
                        <w:fldChar w:fldCharType="end"/>
                      </w:r>
                      <w:bookmarkEnd w:id="105"/>
                      <w:r>
                        <w:t>: Systematic Sampling</w:t>
                      </w:r>
                    </w:p>
                  </w:txbxContent>
                </v:textbox>
                <w10:wrap type="topAndBottom"/>
              </v:shape>
            </w:pict>
          </mc:Fallback>
        </mc:AlternateContent>
      </w:r>
      <w:r w:rsidRPr="000E309B">
        <w:rPr>
          <w:noProof/>
        </w:rPr>
        <w:drawing>
          <wp:anchor distT="0" distB="0" distL="114300" distR="114300" simplePos="0" relativeHeight="251659348" behindDoc="0" locked="0" layoutInCell="1" allowOverlap="1" wp14:anchorId="5327DDDB" wp14:editId="14F6C843">
            <wp:simplePos x="0" y="0"/>
            <wp:positionH relativeFrom="column">
              <wp:posOffset>2228850</wp:posOffset>
            </wp:positionH>
            <wp:positionV relativeFrom="paragraph">
              <wp:posOffset>609600</wp:posOffset>
            </wp:positionV>
            <wp:extent cx="1490345" cy="2468880"/>
            <wp:effectExtent l="0" t="0" r="0" b="7620"/>
            <wp:wrapTopAndBottom/>
            <wp:docPr id="11320" name="Picture 11320"/>
            <wp:cNvGraphicFramePr/>
            <a:graphic xmlns:a="http://schemas.openxmlformats.org/drawingml/2006/main">
              <a:graphicData uri="http://schemas.openxmlformats.org/drawingml/2006/picture">
                <pic:pic xmlns:pic="http://schemas.openxmlformats.org/drawingml/2006/picture">
                  <pic:nvPicPr>
                    <pic:cNvPr id="11320" name="Picture 11320"/>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90345" cy="2468880"/>
                    </a:xfrm>
                    <a:prstGeom prst="rect">
                      <a:avLst/>
                    </a:prstGeom>
                  </pic:spPr>
                </pic:pic>
              </a:graphicData>
            </a:graphic>
            <wp14:sizeRelH relativeFrom="margin">
              <wp14:pctWidth>0</wp14:pctWidth>
            </wp14:sizeRelH>
            <wp14:sizeRelV relativeFrom="margin">
              <wp14:pctHeight>0</wp14:pctHeight>
            </wp14:sizeRelV>
          </wp:anchor>
        </w:drawing>
      </w:r>
      <w:r w:rsidR="00DD7B5A">
        <w:t>The following figure</w:t>
      </w:r>
      <w:r w:rsidR="00D14B33" w:rsidRPr="000E309B">
        <w:t xml:space="preserve"> illustrates systematic sampling. In this case, k = 5</w:t>
      </w:r>
      <w:r w:rsidR="009C53DF">
        <w:t>,</w:t>
      </w:r>
      <w:r w:rsidR="00D14B33" w:rsidRPr="000E309B">
        <w:t xml:space="preserve"> so every fifth person is chosen. At random, person three was chosen to start the pattern</w:t>
      </w:r>
      <w:r w:rsidR="009C53DF">
        <w:t>,</w:t>
      </w:r>
      <w:r w:rsidR="00D14B33" w:rsidRPr="000E309B">
        <w:t xml:space="preserve"> and then every fifth person after that is chosen.</w:t>
      </w:r>
    </w:p>
    <w:p w14:paraId="1243412A" w14:textId="77777777" w:rsidR="00D201B5" w:rsidRDefault="00D14B33" w:rsidP="00F31590">
      <w:pPr>
        <w:pStyle w:val="Heading4"/>
      </w:pPr>
      <w:r w:rsidRPr="000E309B">
        <w:t xml:space="preserve">Stratified Sampling </w:t>
      </w:r>
    </w:p>
    <w:p w14:paraId="27111E9B" w14:textId="77777777" w:rsidR="00F94863" w:rsidRDefault="00F94863" w:rsidP="00F94863">
      <w:r>
        <w:t>Stratified sampling is a probability sampling technique where the sampling frame is divided into non-overlapping, homogeneous subgroups called "strata," and then a simple random sample is drawn from each stratum.</w:t>
      </w:r>
    </w:p>
    <w:p w14:paraId="0149B1AC" w14:textId="77777777" w:rsidR="00F94863" w:rsidRDefault="00F94863" w:rsidP="00F94863">
      <w:r>
        <w:t>For example, let's consider selecting 200 firms from a list of 1000. The researcher could stratify the firms by size, creating strata for "large" (more than 500 employees), "medium" (50-500 employees), and "small" (fewer than 50 employees) firms. Then, they would randomly select a sample from each stratum.</w:t>
      </w:r>
    </w:p>
    <w:p w14:paraId="2A008224" w14:textId="77777777" w:rsidR="00F94863" w:rsidRDefault="00F94863" w:rsidP="00F94863">
      <w:r>
        <w:t xml:space="preserve">One approach is to select an equal number of firms from each stratum, say 67 from each, to create a total sample of 201 (67 x 3 = 201). This is known as non-proportional stratified sampling. </w:t>
      </w:r>
      <w:r>
        <w:lastRenderedPageBreak/>
        <w:t>However, this approach can lead to oversampling of smaller strata. In our example, since there are likely many more small firms than large firms, sampling an equal number from each group will result in large firms being overrepresented in the sample relative to their proportion in the population.</w:t>
      </w:r>
    </w:p>
    <w:p w14:paraId="7E129DB9" w14:textId="77777777" w:rsidR="00F94863" w:rsidRDefault="00F94863" w:rsidP="00F94863">
      <w:r>
        <w:t>An alternative approach is proportional stratified sampling, where the sample size within each stratum is proportional to the stratum's size in the population. Let's say the population of 1000 firms consists of 100 "large," 300 "medium," and 600 "small" firms. To maintain these proportions, the researcher would select 20 firms from the "large" stratum (10% of 200), 60 from the "medium" stratum (30% of 200), and 120 from the "small" stratum (60% of 200). This ensures that the sample composition accurately reflects the population composition with respect to the stratifying variable.</w:t>
      </w:r>
    </w:p>
    <w:p w14:paraId="60AD95DB" w14:textId="77777777" w:rsidR="00F94863" w:rsidRDefault="00F94863" w:rsidP="00F94863">
      <w:r>
        <w:t>The choice between proportional and non-proportional stratified sampling depends on the research question and the importance of representing the strata in their true population proportions. Non-proportional sampling can be useful when the researcher wants to ensure a sufficient sample size in each stratum for subgroup analyses, even if this means oversampling smaller strata. Proportional sampling is generally preferred when the primary aim is to make accurate population-level inferences.</w:t>
      </w:r>
    </w:p>
    <w:p w14:paraId="00CFA3A6" w14:textId="5BA20BBC" w:rsidR="00F94863" w:rsidRDefault="00F94863" w:rsidP="00F94863">
      <w:r>
        <w:t>Stratified sampling has several advantages. By ensuring representation from each stratum, it can provide more precise estimates than simple random sampling, especially when there is significant variability between strata. It also allows for subgroup comparisons and can be more efficient than simple random sampling when the stratifying variable is correlated with the outcome of interest.</w:t>
      </w:r>
    </w:p>
    <w:p w14:paraId="35EB587B" w14:textId="0294F43D" w:rsidR="00F31590" w:rsidRDefault="00FB362B" w:rsidP="00F94863">
      <w:r w:rsidRPr="000E309B">
        <w:rPr>
          <w:noProof/>
        </w:rPr>
        <w:drawing>
          <wp:anchor distT="0" distB="0" distL="114300" distR="114300" simplePos="0" relativeHeight="251662420" behindDoc="0" locked="0" layoutInCell="1" allowOverlap="1" wp14:anchorId="5327DDDD" wp14:editId="54EDB368">
            <wp:simplePos x="0" y="0"/>
            <wp:positionH relativeFrom="column">
              <wp:posOffset>2226310</wp:posOffset>
            </wp:positionH>
            <wp:positionV relativeFrom="paragraph">
              <wp:posOffset>621665</wp:posOffset>
            </wp:positionV>
            <wp:extent cx="1490345" cy="2468880"/>
            <wp:effectExtent l="0" t="0" r="0" b="7620"/>
            <wp:wrapTopAndBottom/>
            <wp:docPr id="11394" name="Picture 11394"/>
            <wp:cNvGraphicFramePr/>
            <a:graphic xmlns:a="http://schemas.openxmlformats.org/drawingml/2006/main">
              <a:graphicData uri="http://schemas.openxmlformats.org/drawingml/2006/picture">
                <pic:pic xmlns:pic="http://schemas.openxmlformats.org/drawingml/2006/picture">
                  <pic:nvPicPr>
                    <pic:cNvPr id="11394" name="Picture 11394"/>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90345" cy="24688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00340" behindDoc="0" locked="0" layoutInCell="1" allowOverlap="1" wp14:anchorId="58930F45" wp14:editId="410D6508">
                <wp:simplePos x="0" y="0"/>
                <wp:positionH relativeFrom="column">
                  <wp:posOffset>2226310</wp:posOffset>
                </wp:positionH>
                <wp:positionV relativeFrom="paragraph">
                  <wp:posOffset>3148025</wp:posOffset>
                </wp:positionV>
                <wp:extent cx="1490345" cy="635"/>
                <wp:effectExtent l="0" t="0" r="0" b="0"/>
                <wp:wrapTopAndBottom/>
                <wp:docPr id="1097743278" name="Text Box 1"/>
                <wp:cNvGraphicFramePr/>
                <a:graphic xmlns:a="http://schemas.openxmlformats.org/drawingml/2006/main">
                  <a:graphicData uri="http://schemas.microsoft.com/office/word/2010/wordprocessingShape">
                    <wps:wsp>
                      <wps:cNvSpPr txBox="1"/>
                      <wps:spPr>
                        <a:xfrm>
                          <a:off x="0" y="0"/>
                          <a:ext cx="1490345" cy="635"/>
                        </a:xfrm>
                        <a:prstGeom prst="rect">
                          <a:avLst/>
                        </a:prstGeom>
                        <a:solidFill>
                          <a:prstClr val="white"/>
                        </a:solidFill>
                        <a:ln>
                          <a:noFill/>
                        </a:ln>
                      </wps:spPr>
                      <wps:txbx>
                        <w:txbxContent>
                          <w:p w14:paraId="7EBAE333" w14:textId="31A24637" w:rsidR="006E14EA" w:rsidRPr="00750CB9" w:rsidRDefault="006E14EA" w:rsidP="006E14EA">
                            <w:pPr>
                              <w:pStyle w:val="Caption"/>
                              <w:jc w:val="center"/>
                              <w:rPr>
                                <w:noProof/>
                              </w:rPr>
                            </w:pPr>
                            <w:r>
                              <w:t xml:space="preserve">Figure </w:t>
                            </w:r>
                            <w:r>
                              <w:fldChar w:fldCharType="begin"/>
                            </w:r>
                            <w:r>
                              <w:instrText xml:space="preserve"> SEQ Figure \* ARABIC </w:instrText>
                            </w:r>
                            <w:r>
                              <w:fldChar w:fldCharType="separate"/>
                            </w:r>
                            <w:r w:rsidR="00980002">
                              <w:rPr>
                                <w:noProof/>
                              </w:rPr>
                              <w:t>26</w:t>
                            </w:r>
                            <w:r>
                              <w:fldChar w:fldCharType="end"/>
                            </w:r>
                            <w:r>
                              <w:t>: Stratified Sampling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930F45" id="_x0000_s1097" type="#_x0000_t202" style="position:absolute;margin-left:175.3pt;margin-top:247.9pt;width:117.35pt;height:.05pt;z-index:2520003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" stroked="f">
                <v:textbox style="mso-fit-shape-to-text:t" inset="0,0,0,0">
                  <w:txbxContent>
                    <w:p w14:paraId="7EBAE333" w14:textId="31A24637" w:rsidR="006E14EA" w:rsidRPr="00750CB9" w:rsidRDefault="006E14EA" w:rsidP="006E14EA">
                      <w:pPr>
                        <w:pStyle w:val="Caption"/>
                        <w:jc w:val="center"/>
                        <w:rPr>
                          <w:noProof/>
                        </w:rPr>
                      </w:pPr>
                      <w:r>
                        <w:t xml:space="preserve">Figure </w:t>
                      </w:r>
                      <w:r>
                        <w:fldChar w:fldCharType="begin"/>
                      </w:r>
                      <w:r>
                        <w:instrText xml:space="preserve"> SEQ Figure \* ARABIC </w:instrText>
                      </w:r>
                      <w:r>
                        <w:fldChar w:fldCharType="separate"/>
                      </w:r>
                      <w:r w:rsidR="00980002">
                        <w:rPr>
                          <w:noProof/>
                        </w:rPr>
                        <w:t>26</w:t>
                      </w:r>
                      <w:r>
                        <w:fldChar w:fldCharType="end"/>
                      </w:r>
                      <w:r>
                        <w:t>: Stratified Sampling</w:t>
                      </w:r>
                    </w:p>
                  </w:txbxContent>
                </v:textbox>
                <w10:wrap type="topAndBottom"/>
              </v:shape>
            </w:pict>
          </mc:Fallback>
        </mc:AlternateContent>
      </w:r>
      <w:r w:rsidR="00F94863">
        <w:t>However, stratified sampling also requires more information about the population upfront to define the strata. If the strata are not meaningful or the stratifying variable is not strongly related to the outcome, stratification may not improve precision.</w:t>
      </w:r>
    </w:p>
    <w:p w14:paraId="5327D400" w14:textId="1B3BA9CE" w:rsidR="00A626FE" w:rsidRDefault="00571D4D" w:rsidP="00F93D49">
      <w:r>
        <w:lastRenderedPageBreak/>
        <w:t>The preceding figure</w:t>
      </w:r>
      <w:r w:rsidR="00F31590">
        <w:t xml:space="preserve"> </w:t>
      </w:r>
      <w:r w:rsidR="00D14B33" w:rsidRPr="000E309B">
        <w:t>illustrates stratified sampling. The population is divided into five subgroups</w:t>
      </w:r>
      <w:r w:rsidR="003C6804">
        <w:t>,</w:t>
      </w:r>
      <w:r w:rsidR="00D14B33" w:rsidRPr="000E309B">
        <w:t xml:space="preserve"> and three elements were chosen from each subgroup. This</w:t>
      </w:r>
      <w:r w:rsidR="00AD4ED3">
        <w:t xml:space="preserve"> illustration</w:t>
      </w:r>
      <w:r w:rsidR="00D14B33" w:rsidRPr="000E309B">
        <w:t xml:space="preserve"> </w:t>
      </w:r>
      <w:r w:rsidR="00AD4ED3">
        <w:t>is</w:t>
      </w:r>
      <w:r w:rsidR="00D14B33" w:rsidRPr="000E309B">
        <w:t xml:space="preserve"> an example of non-proportional stratified sampling since the same number are selected from each subgroup, though, in this case, each subgroup is the same size.</w:t>
      </w:r>
    </w:p>
    <w:p w14:paraId="42B8E880" w14:textId="77777777" w:rsidR="00D201B5" w:rsidRDefault="00D14B33" w:rsidP="00D201B5">
      <w:pPr>
        <w:pStyle w:val="Heading4"/>
      </w:pPr>
      <w:r w:rsidRPr="000E309B">
        <w:t xml:space="preserve">Cluster Sampling </w:t>
      </w:r>
    </w:p>
    <w:p w14:paraId="2F5D819A" w14:textId="77777777" w:rsidR="006529F7" w:rsidRDefault="006529F7" w:rsidP="006529F7">
      <w:r>
        <w:t>Cluster sampling is a probability sampling technique used when the population is dispersed over a large geographic area, making it impractical or costly to conduct a simple random sample. In this method, the population is divided into naturally occurring, non-overlapping subgroups called "clusters," typically based on geographic boundaries. Then, a random sample of clusters is selected, and all units within the selected clusters are included in the sample.</w:t>
      </w:r>
    </w:p>
    <w:p w14:paraId="3FEB8249" w14:textId="77777777" w:rsidR="006529F7" w:rsidRDefault="006529F7" w:rsidP="006529F7">
      <w:r>
        <w:t>For example, suppose a researcher wants to study small city governments in California. Rather than traveling throughout the state to interview city officials (as would be required with a simple random sample), they could use cluster sampling. The researcher would start by dividing the cities into clusters based on the county. Then, they would randomly select a subset of counties and include all the small cities within those selected counties in the sample.</w:t>
      </w:r>
    </w:p>
    <w:p w14:paraId="04DAEEE9" w14:textId="77777777" w:rsidR="006529F7" w:rsidRDefault="006529F7" w:rsidP="006529F7">
      <w:r>
        <w:t>Cluster sampling is often more feasible and cost-effective than simple random sampling for geographically dispersed populations. By concentrating the sample in fewer geographic areas, it reduces travel and administrative costs.</w:t>
      </w:r>
    </w:p>
    <w:p w14:paraId="12CE1F85" w14:textId="18884C59" w:rsidR="006529F7" w:rsidRDefault="006529F7" w:rsidP="006529F7">
      <w:r>
        <w:t xml:space="preserve">However, the trade-off is that cluster sampling typically produces less precise estimates than simple random sampling. This is because units within a cluster are often more </w:t>
      </w:r>
      <w:r w:rsidR="00D10AE7">
        <w:t>like</w:t>
      </w:r>
      <w:r>
        <w:t xml:space="preserve"> each other than to units in other clusters. Consequently, there is usually less variability within clusters and more variability between clusters. This increased variability between clusters means that the results from a cluster sample will generally be less representative of the entire population compared to a simple random sample of the same size.</w:t>
      </w:r>
    </w:p>
    <w:p w14:paraId="60E14331" w14:textId="77777777" w:rsidR="006529F7" w:rsidRDefault="006529F7" w:rsidP="006529F7">
      <w:r>
        <w:t>The effectiveness of cluster sampling depends on the degree of similarity within clusters and the variability between clusters. Ideally, each cluster should be as heterogeneous as possible, mirroring the diversity of the entire population. The more the clusters differ from each other, the less precise the population estimates will be.</w:t>
      </w:r>
    </w:p>
    <w:p w14:paraId="5327D403" w14:textId="4E12C1DE" w:rsidR="00A626FE" w:rsidRDefault="006529F7" w:rsidP="006529F7">
      <w:r>
        <w:t>In practice, researchers often combine cluster sampling with other probability sampling methods. For instance, instead of including all units within the selected clusters, researchers might perform a second stage of random sampling within each cluster. This is known as two-stage cluster sampling, a type of multi-stage sampling.</w:t>
      </w:r>
    </w:p>
    <w:p w14:paraId="5327D404" w14:textId="184D93FA" w:rsidR="00A626FE" w:rsidRPr="000E309B" w:rsidRDefault="004A5E2D" w:rsidP="00B93EB7">
      <w:r>
        <w:rPr>
          <w:noProof/>
        </w:rPr>
        <w:lastRenderedPageBreak/>
        <mc:AlternateContent>
          <mc:Choice Requires="wps">
            <w:drawing>
              <wp:anchor distT="0" distB="0" distL="114300" distR="114300" simplePos="0" relativeHeight="252002388" behindDoc="0" locked="0" layoutInCell="1" allowOverlap="1" wp14:anchorId="733296C3" wp14:editId="46B93584">
                <wp:simplePos x="0" y="0"/>
                <wp:positionH relativeFrom="column">
                  <wp:posOffset>2228850</wp:posOffset>
                </wp:positionH>
                <wp:positionV relativeFrom="paragraph">
                  <wp:posOffset>2807970</wp:posOffset>
                </wp:positionV>
                <wp:extent cx="1490345" cy="635"/>
                <wp:effectExtent l="0" t="0" r="0" b="0"/>
                <wp:wrapTopAndBottom/>
                <wp:docPr id="1939033786" name="Text Box 1"/>
                <wp:cNvGraphicFramePr/>
                <a:graphic xmlns:a="http://schemas.openxmlformats.org/drawingml/2006/main">
                  <a:graphicData uri="http://schemas.microsoft.com/office/word/2010/wordprocessingShape">
                    <wps:wsp>
                      <wps:cNvSpPr txBox="1"/>
                      <wps:spPr>
                        <a:xfrm>
                          <a:off x="0" y="0"/>
                          <a:ext cx="1490345" cy="635"/>
                        </a:xfrm>
                        <a:prstGeom prst="rect">
                          <a:avLst/>
                        </a:prstGeom>
                        <a:solidFill>
                          <a:prstClr val="white"/>
                        </a:solidFill>
                        <a:ln>
                          <a:noFill/>
                        </a:ln>
                      </wps:spPr>
                      <wps:txbx>
                        <w:txbxContent>
                          <w:p w14:paraId="5DF3641E" w14:textId="708AD1FD" w:rsidR="004A5E2D" w:rsidRPr="005B7306" w:rsidRDefault="004A5E2D" w:rsidP="004A5E2D">
                            <w:pPr>
                              <w:pStyle w:val="Caption"/>
                              <w:jc w:val="center"/>
                              <w:rPr>
                                <w:noProof/>
                              </w:rPr>
                            </w:pPr>
                            <w:r>
                              <w:t xml:space="preserve">Figure </w:t>
                            </w:r>
                            <w:r>
                              <w:fldChar w:fldCharType="begin"/>
                            </w:r>
                            <w:r>
                              <w:instrText xml:space="preserve"> SEQ Figure \* ARABIC </w:instrText>
                            </w:r>
                            <w:r>
                              <w:fldChar w:fldCharType="separate"/>
                            </w:r>
                            <w:r w:rsidR="00980002">
                              <w:rPr>
                                <w:noProof/>
                              </w:rPr>
                              <w:t>27</w:t>
                            </w:r>
                            <w:r>
                              <w:fldChar w:fldCharType="end"/>
                            </w:r>
                            <w:r>
                              <w:t>: Cluster Sampling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3296C3" id="_x0000_s1098" type="#_x0000_t202" style="position:absolute;margin-left:175.5pt;margin-top:221.1pt;width:117.35pt;height:.05pt;z-index:2520023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" stroked="f">
                <v:textbox style="mso-fit-shape-to-text:t" inset="0,0,0,0">
                  <w:txbxContent>
                    <w:p w14:paraId="5DF3641E" w14:textId="708AD1FD" w:rsidR="004A5E2D" w:rsidRPr="005B7306" w:rsidRDefault="004A5E2D" w:rsidP="004A5E2D">
                      <w:pPr>
                        <w:pStyle w:val="Caption"/>
                        <w:jc w:val="center"/>
                        <w:rPr>
                          <w:noProof/>
                        </w:rPr>
                      </w:pPr>
                      <w:r>
                        <w:t xml:space="preserve">Figure </w:t>
                      </w:r>
                      <w:r>
                        <w:fldChar w:fldCharType="begin"/>
                      </w:r>
                      <w:r>
                        <w:instrText xml:space="preserve"> SEQ Figure \* ARABIC </w:instrText>
                      </w:r>
                      <w:r>
                        <w:fldChar w:fldCharType="separate"/>
                      </w:r>
                      <w:r w:rsidR="00980002">
                        <w:rPr>
                          <w:noProof/>
                        </w:rPr>
                        <w:t>27</w:t>
                      </w:r>
                      <w:r>
                        <w:fldChar w:fldCharType="end"/>
                      </w:r>
                      <w:r>
                        <w:t>: Cluster Sampling</w:t>
                      </w:r>
                    </w:p>
                  </w:txbxContent>
                </v:textbox>
                <w10:wrap type="topAndBottom"/>
              </v:shape>
            </w:pict>
          </mc:Fallback>
        </mc:AlternateContent>
      </w:r>
      <w:r w:rsidR="00712CC5" w:rsidRPr="000E309B">
        <w:rPr>
          <w:noProof/>
        </w:rPr>
        <w:drawing>
          <wp:anchor distT="0" distB="0" distL="114300" distR="114300" simplePos="0" relativeHeight="251665492" behindDoc="0" locked="0" layoutInCell="1" allowOverlap="1" wp14:anchorId="5327DDDF" wp14:editId="2530F26B">
            <wp:simplePos x="0" y="0"/>
            <wp:positionH relativeFrom="column">
              <wp:posOffset>2228850</wp:posOffset>
            </wp:positionH>
            <wp:positionV relativeFrom="paragraph">
              <wp:posOffset>611505</wp:posOffset>
            </wp:positionV>
            <wp:extent cx="1490345" cy="2139315"/>
            <wp:effectExtent l="0" t="0" r="0" b="0"/>
            <wp:wrapTopAndBottom/>
            <wp:docPr id="11428" name="Picture 11428"/>
            <wp:cNvGraphicFramePr/>
            <a:graphic xmlns:a="http://schemas.openxmlformats.org/drawingml/2006/main">
              <a:graphicData uri="http://schemas.openxmlformats.org/drawingml/2006/picture">
                <pic:pic xmlns:pic="http://schemas.openxmlformats.org/drawingml/2006/picture">
                  <pic:nvPicPr>
                    <pic:cNvPr id="11428" name="Picture 11428"/>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90345" cy="2139315"/>
                    </a:xfrm>
                    <a:prstGeom prst="rect">
                      <a:avLst/>
                    </a:prstGeom>
                  </pic:spPr>
                </pic:pic>
              </a:graphicData>
            </a:graphic>
            <wp14:sizeRelH relativeFrom="margin">
              <wp14:pctWidth>0</wp14:pctWidth>
            </wp14:sizeRelH>
            <wp14:sizeRelV relativeFrom="margin">
              <wp14:pctHeight>0</wp14:pctHeight>
            </wp14:sizeRelV>
          </wp:anchor>
        </w:drawing>
      </w:r>
      <w:r w:rsidR="00B93EB7">
        <w:t xml:space="preserve">The following figure </w:t>
      </w:r>
      <w:r w:rsidR="00D14B33" w:rsidRPr="000E309B">
        <w:t>illustrates cluster sampling. In this case, the population was divided into five clusters</w:t>
      </w:r>
      <w:r w:rsidR="00170E33">
        <w:t>,</w:t>
      </w:r>
      <w:r w:rsidR="00D14B33" w:rsidRPr="000E309B">
        <w:t xml:space="preserve"> and then clusters three and four were randomly selected for the research project.</w:t>
      </w:r>
    </w:p>
    <w:p w14:paraId="33A27F74" w14:textId="41DE1B1B" w:rsidR="00D201B5" w:rsidRDefault="00D14B33" w:rsidP="00712CC5">
      <w:pPr>
        <w:pStyle w:val="Heading4"/>
      </w:pPr>
      <w:r w:rsidRPr="000E309B">
        <w:t>Matched</w:t>
      </w:r>
      <w:r w:rsidR="00597E67">
        <w:t xml:space="preserve"> P</w:t>
      </w:r>
      <w:r w:rsidRPr="000E309B">
        <w:t xml:space="preserve">air Sampling </w:t>
      </w:r>
    </w:p>
    <w:p w14:paraId="4628A28A" w14:textId="77777777" w:rsidR="00AB2AFA" w:rsidRDefault="00AB2AFA" w:rsidP="00AB2AFA">
      <w:r>
        <w:t>Matched pair sampling is a probability sampling technique used when researchers want to compare two subgroups within a population based on a specific characteristic. This method involves selecting a random sample from one subgroup and then matching each unit in this sample with a unit from the other subgroup based on certain shared attributes.</w:t>
      </w:r>
    </w:p>
    <w:p w14:paraId="65ABCAF4" w14:textId="77777777" w:rsidR="00AB2AFA" w:rsidRDefault="00AB2AFA" w:rsidP="00AB2AFA">
      <w:r>
        <w:t>For example, suppose a researcher wants to investigate why some firms are consistently more profitable than others. They could start by categorizing the sampling frame of firms into "highly profitable" and "moderately profitable" based on measures like gross margins or earnings per share. Then, they would select a simple random sample of firms from one of these subgroups, say the "highly profitable" group.</w:t>
      </w:r>
    </w:p>
    <w:p w14:paraId="31258D19" w14:textId="6C39BB1F" w:rsidR="00AB2AFA" w:rsidRDefault="00AB2AFA" w:rsidP="00AB2AFA">
      <w:r>
        <w:t xml:space="preserve">Next, each firm in this sample would be matched with a firm from the "moderately profitable" group based on characteristics like size, industry segment, or other relevant criteria. By matching firms on these attributes, the researcher </w:t>
      </w:r>
      <w:r w:rsidR="008925A9">
        <w:t>controls</w:t>
      </w:r>
      <w:r>
        <w:t xml:space="preserve"> their potential influence on profitability. This allows for a more focused comparison of other factors that might explain the differences in profitability between the two groups.</w:t>
      </w:r>
    </w:p>
    <w:p w14:paraId="656849ED" w14:textId="77777777" w:rsidR="00AB2AFA" w:rsidRDefault="00AB2AFA" w:rsidP="00AB2AFA">
      <w:r>
        <w:t>Once the matched pairs are formed, the researcher can study each pair in detail to identify the factors that differentiate the highly profitable firms from their moderately profitable counterparts. This targeted comparative analysis is the key strength of matched pair sampling.</w:t>
      </w:r>
    </w:p>
    <w:p w14:paraId="41F16DD6" w14:textId="77777777" w:rsidR="00AB2AFA" w:rsidRDefault="00AB2AFA" w:rsidP="00AB2AFA">
      <w:r>
        <w:t>Matched pair sampling is particularly useful when the researcher wants to isolate the effect of a specific variable while controlling for other potentially confounding variables. By matching units on the control variables, the researcher can be more confident that observed differences between the subgroups are due to the variable of interest.</w:t>
      </w:r>
    </w:p>
    <w:p w14:paraId="7C0D9D6B" w14:textId="77777777" w:rsidR="00AB2AFA" w:rsidRDefault="00AB2AFA" w:rsidP="00AB2AFA">
      <w:r>
        <w:lastRenderedPageBreak/>
        <w:t>However, matched pair sampling also has some limitations. It requires the researcher to have sufficient information about the population to form meaningful matched pairs. If important matching variables are overlooked or if there are no close matches for some units, the validity of the comparisons may be compromised. Additionally, while matched pair sampling controls for the matched variables, it doesn't necessarily control for all relevant variables that could differ between the subgroups.</w:t>
      </w:r>
    </w:p>
    <w:p w14:paraId="5327D407" w14:textId="5A8574E8" w:rsidR="00A626FE" w:rsidRDefault="00AB2AFA" w:rsidP="00AB2AFA">
      <w:r>
        <w:t>Despite these limitations, matched pair sampling remains a valuable tool for comparative research. It's especially well-suited for studies seeking to understand dichotomous outcomes or to identify the factors that distinguish two contrasting subgroups.</w:t>
      </w:r>
    </w:p>
    <w:p w14:paraId="5327D409" w14:textId="35DD19FA" w:rsidR="00A626FE" w:rsidRPr="000E309B" w:rsidRDefault="00F60FCE" w:rsidP="00A67407">
      <w:r>
        <w:rPr>
          <w:noProof/>
        </w:rPr>
        <mc:AlternateContent>
          <mc:Choice Requires="wps">
            <w:drawing>
              <wp:anchor distT="0" distB="0" distL="114300" distR="114300" simplePos="0" relativeHeight="252004436" behindDoc="0" locked="0" layoutInCell="1" allowOverlap="1" wp14:anchorId="7E3A52EC" wp14:editId="1575FA6D">
                <wp:simplePos x="0" y="0"/>
                <wp:positionH relativeFrom="column">
                  <wp:posOffset>2228850</wp:posOffset>
                </wp:positionH>
                <wp:positionV relativeFrom="paragraph">
                  <wp:posOffset>3135630</wp:posOffset>
                </wp:positionV>
                <wp:extent cx="1490345" cy="635"/>
                <wp:effectExtent l="0" t="0" r="0" b="0"/>
                <wp:wrapTopAndBottom/>
                <wp:docPr id="1063097827" name="Text Box 1"/>
                <wp:cNvGraphicFramePr/>
                <a:graphic xmlns:a="http://schemas.openxmlformats.org/drawingml/2006/main">
                  <a:graphicData uri="http://schemas.microsoft.com/office/word/2010/wordprocessingShape">
                    <wps:wsp>
                      <wps:cNvSpPr txBox="1"/>
                      <wps:spPr>
                        <a:xfrm>
                          <a:off x="0" y="0"/>
                          <a:ext cx="1490345" cy="635"/>
                        </a:xfrm>
                        <a:prstGeom prst="rect">
                          <a:avLst/>
                        </a:prstGeom>
                        <a:solidFill>
                          <a:prstClr val="white"/>
                        </a:solidFill>
                        <a:ln>
                          <a:noFill/>
                        </a:ln>
                      </wps:spPr>
                      <wps:txbx>
                        <w:txbxContent>
                          <w:p w14:paraId="43D12A69" w14:textId="2F8DB823" w:rsidR="00F60FCE" w:rsidRPr="002D3354" w:rsidRDefault="00F60FCE" w:rsidP="00F60FCE">
                            <w:pPr>
                              <w:pStyle w:val="Caption"/>
                              <w:jc w:val="center"/>
                              <w:rPr>
                                <w:noProof/>
                              </w:rPr>
                            </w:pPr>
                            <w:r>
                              <w:t xml:space="preserve">Figure </w:t>
                            </w:r>
                            <w:r>
                              <w:fldChar w:fldCharType="begin"/>
                            </w:r>
                            <w:r>
                              <w:instrText xml:space="preserve"> SEQ Figure \* ARABIC </w:instrText>
                            </w:r>
                            <w:r>
                              <w:fldChar w:fldCharType="separate"/>
                            </w:r>
                            <w:r w:rsidR="00980002">
                              <w:rPr>
                                <w:noProof/>
                              </w:rPr>
                              <w:t>28</w:t>
                            </w:r>
                            <w:r>
                              <w:fldChar w:fldCharType="end"/>
                            </w:r>
                            <w:r>
                              <w:t>: Matched Pair Sampling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A52EC" id="_x0000_s1099" type="#_x0000_t202" style="position:absolute;margin-left:175.5pt;margin-top:246.9pt;width:117.35pt;height:.05pt;z-index:2520044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" stroked="f">
                <v:textbox style="mso-fit-shape-to-text:t" inset="0,0,0,0">
                  <w:txbxContent>
                    <w:p w14:paraId="43D12A69" w14:textId="2F8DB823" w:rsidR="00F60FCE" w:rsidRPr="002D3354" w:rsidRDefault="00F60FCE" w:rsidP="00F60FCE">
                      <w:pPr>
                        <w:pStyle w:val="Caption"/>
                        <w:jc w:val="center"/>
                        <w:rPr>
                          <w:noProof/>
                        </w:rPr>
                      </w:pPr>
                      <w:r>
                        <w:t xml:space="preserve">Figure </w:t>
                      </w:r>
                      <w:r>
                        <w:fldChar w:fldCharType="begin"/>
                      </w:r>
                      <w:r>
                        <w:instrText xml:space="preserve"> SEQ Figure \* ARABIC </w:instrText>
                      </w:r>
                      <w:r>
                        <w:fldChar w:fldCharType="separate"/>
                      </w:r>
                      <w:r w:rsidR="00980002">
                        <w:rPr>
                          <w:noProof/>
                        </w:rPr>
                        <w:t>28</w:t>
                      </w:r>
                      <w:r>
                        <w:fldChar w:fldCharType="end"/>
                      </w:r>
                      <w:r>
                        <w:t>: Matched Pair Sampling</w:t>
                      </w:r>
                    </w:p>
                  </w:txbxContent>
                </v:textbox>
                <w10:wrap type="topAndBottom"/>
              </v:shape>
            </w:pict>
          </mc:Fallback>
        </mc:AlternateContent>
      </w:r>
      <w:r w:rsidR="003A0407" w:rsidRPr="000E309B">
        <w:rPr>
          <w:noProof/>
        </w:rPr>
        <w:drawing>
          <wp:anchor distT="0" distB="0" distL="114300" distR="114300" simplePos="0" relativeHeight="251668564" behindDoc="0" locked="0" layoutInCell="1" allowOverlap="1" wp14:anchorId="5327DDE1" wp14:editId="5DDA3BA1">
            <wp:simplePos x="0" y="0"/>
            <wp:positionH relativeFrom="column">
              <wp:posOffset>2228850</wp:posOffset>
            </wp:positionH>
            <wp:positionV relativeFrom="paragraph">
              <wp:posOffset>609600</wp:posOffset>
            </wp:positionV>
            <wp:extent cx="1490345" cy="2468880"/>
            <wp:effectExtent l="0" t="0" r="0" b="7620"/>
            <wp:wrapTopAndBottom/>
            <wp:docPr id="11453" name="Picture 11453"/>
            <wp:cNvGraphicFramePr/>
            <a:graphic xmlns:a="http://schemas.openxmlformats.org/drawingml/2006/main">
              <a:graphicData uri="http://schemas.openxmlformats.org/drawingml/2006/picture">
                <pic:pic xmlns:pic="http://schemas.openxmlformats.org/drawingml/2006/picture">
                  <pic:nvPicPr>
                    <pic:cNvPr id="11453" name="Picture 11453"/>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90345" cy="2468880"/>
                    </a:xfrm>
                    <a:prstGeom prst="rect">
                      <a:avLst/>
                    </a:prstGeom>
                  </pic:spPr>
                </pic:pic>
              </a:graphicData>
            </a:graphic>
            <wp14:sizeRelH relativeFrom="margin">
              <wp14:pctWidth>0</wp14:pctWidth>
            </wp14:sizeRelH>
            <wp14:sizeRelV relativeFrom="margin">
              <wp14:pctHeight>0</wp14:pctHeight>
            </wp14:sizeRelV>
          </wp:anchor>
        </w:drawing>
      </w:r>
      <w:r w:rsidR="00A67407">
        <w:t>The following figure</w:t>
      </w:r>
      <w:r w:rsidR="00D14B33" w:rsidRPr="000E309B">
        <w:t xml:space="preserve"> illustrates matched pair sampling. In this case, one blue, green, and red element was selected at random and then matched with a similar element for comparison.</w:t>
      </w:r>
    </w:p>
    <w:p w14:paraId="33D2E5AB" w14:textId="2F2B4064" w:rsidR="00D201B5" w:rsidRDefault="00D14B33" w:rsidP="00D201B5">
      <w:pPr>
        <w:pStyle w:val="Heading4"/>
      </w:pPr>
      <w:r w:rsidRPr="000E309B">
        <w:t xml:space="preserve">Multistage Sampling </w:t>
      </w:r>
    </w:p>
    <w:p w14:paraId="4A3D46F2" w14:textId="77777777" w:rsidR="00300281" w:rsidRDefault="00300281" w:rsidP="00300281">
      <w:r>
        <w:t>Multistage sampling is a probability sampling technique that involves a combination of two or more sampling methods applied in stages. In contrast, the sampling techniques described previously (simple random sampling, systematic sampling, stratified sampling, and cluster sampling) are all examples of single-stage sampling.</w:t>
      </w:r>
    </w:p>
    <w:p w14:paraId="063BFDC0" w14:textId="77777777" w:rsidR="00300281" w:rsidRDefault="00300281" w:rsidP="00300281">
      <w:r>
        <w:t>In multistage sampling, the population is first divided into primary sampling units (PSUs), which are then further divided into secondary sampling units (SSUs), and so on. At each stage, a probability sampling method is applied to select a subset of units for the next stage.</w:t>
      </w:r>
    </w:p>
    <w:p w14:paraId="13219B31" w14:textId="77777777" w:rsidR="00300281" w:rsidRDefault="00300281" w:rsidP="00300281">
      <w:r>
        <w:t xml:space="preserve">For example, consider a two-stage sampling process that combines stratified and systematic sampling. A researcher could start by stratifying a list of firms based on their size (large, medium, </w:t>
      </w:r>
      <w:r>
        <w:lastRenderedPageBreak/>
        <w:t>small). Then, within each size stratum, they would apply systematic sampling to select a sample of firms. This two-stage approach leverages the benefits of both stratified and systematic sampling.</w:t>
      </w:r>
    </w:p>
    <w:p w14:paraId="68D8392A" w14:textId="77777777" w:rsidR="00300281" w:rsidRDefault="00300281" w:rsidP="00300281">
      <w:r>
        <w:t>As another example, imagine a four-stage sampling process to select a sample of students in Florida. In the first stage, school districts in the state could be grouped into clusters based on geographic region. Then, a simple random sample of schools could be selected within each cluster. In the third stage, a simple random sample of grade levels could be selected within each sampled school. Finally, a simple random sample of students could be drawn from each selected grade level. This complex four-stage process involves a combination of cluster and simple random sampling at different stages.</w:t>
      </w:r>
    </w:p>
    <w:p w14:paraId="466A9F94" w14:textId="77777777" w:rsidR="00300281" w:rsidRDefault="00300281" w:rsidP="00300281">
      <w:r>
        <w:t>Multistage sampling is particularly useful when a complete list of all individual units in the population is not available or when it's not feasible to conduct a single-stage sample due to the population's size or geographic dispersion. By sampling in stages, researchers can gradually narrow down the sampling frame to more manageable subsets.</w:t>
      </w:r>
    </w:p>
    <w:p w14:paraId="4AAE3D3E" w14:textId="77777777" w:rsidR="00300281" w:rsidRDefault="00300281" w:rsidP="00300281">
      <w:r>
        <w:t>The specific combination and order of sampling methods used in multistage sampling depend on the research question, the available information about the population, and the practical constraints of the study. Each stage can employ any probability sampling method, and the methods used can vary from stage to stage.</w:t>
      </w:r>
    </w:p>
    <w:p w14:paraId="026650B5" w14:textId="77777777" w:rsidR="00300281" w:rsidRDefault="00300281" w:rsidP="00300281">
      <w:r>
        <w:t>However, multistage sampling also has some drawbacks. The more stages involved, the more complex the sampling design becomes, which can make it harder to calculate sampling probabilities and to estimate population parameters accurately. Additionally, the clustering of units within PSUs and SSUs can lead to higher sampling errors compared to single-stage sampling, as there tends to be less variability within clusters than between clusters.</w:t>
      </w:r>
    </w:p>
    <w:p w14:paraId="5327D40B" w14:textId="7A30838A" w:rsidR="00A626FE" w:rsidRDefault="00300281" w:rsidP="00300281">
      <w:r>
        <w:t>Despite these challenges, multistage sampling remains a flexible and powerful tool for sampling large, complex populations. By combining different probability sampling methods in a staged approach, researchers can balance representativeness, efficiency, and feasibility in their sampling designs.</w:t>
      </w:r>
    </w:p>
    <w:p w14:paraId="5327D40C" w14:textId="4EEAA1FB" w:rsidR="00A626FE" w:rsidRPr="000E309B" w:rsidRDefault="007C19EA" w:rsidP="00D201B5">
      <w:pPr>
        <w:pStyle w:val="Heading3"/>
      </w:pPr>
      <w:bookmarkStart w:id="106" w:name="_Toc169156737"/>
      <w:r>
        <w:t>S</w:t>
      </w:r>
      <w:r w:rsidR="00D14B33" w:rsidRPr="000E309B">
        <w:t xml:space="preserve">ampling in </w:t>
      </w:r>
      <w:r>
        <w:t>Q</w:t>
      </w:r>
      <w:r w:rsidR="00D14B33" w:rsidRPr="000E309B">
        <w:t xml:space="preserve">ualitative </w:t>
      </w:r>
      <w:r>
        <w:t>R</w:t>
      </w:r>
      <w:r w:rsidR="00D14B33" w:rsidRPr="000E309B">
        <w:t>esearch</w:t>
      </w:r>
      <w:bookmarkEnd w:id="106"/>
    </w:p>
    <w:p w14:paraId="0B5CE914" w14:textId="47D59090" w:rsidR="00865C22" w:rsidRDefault="00865C22" w:rsidP="00865C22">
      <w:r>
        <w:t>Non-probability sampling is a sampling technique in which some units of the population have no chance of being selected or where the probability of selection cannot be accurately determined. In this method, units are typically chosen based on specific non-random criteria, such as</w:t>
      </w:r>
      <w:r w:rsidR="000120FD">
        <w:t xml:space="preserve"> convenience or</w:t>
      </w:r>
      <w:r>
        <w:t xml:space="preserve"> quota, rather than through a random selection process. Because the selection is not random, it is not possible to estimate the sampling error in non-probability sampling, which makes it susceptible to sampling bias. Moreover, the samples obtained through non-probability sampling do not exhibit a normal distribution, rendering statistics like mean and standard deviation less meaningful. Consequently, the information gathered from a non-probability sample cannot be generalized to the entire population with a known level of confidence.</w:t>
      </w:r>
    </w:p>
    <w:p w14:paraId="1DA5D831" w14:textId="77777777" w:rsidR="00865C22" w:rsidRDefault="00865C22" w:rsidP="00865C22">
      <w:r>
        <w:lastRenderedPageBreak/>
        <w:t>Despite these limitations, non-probability sampling can be valuable in certain research contexts. It is particularly useful during the design phase of a research project. For instance, a survey can be administered to a small group of people who resemble the target population to identify and resolve potential issues with the survey design before launching a full-scale study. Non-probability sampling is also suitable for exploratory research projects where the main objective is to determine whether there is a need for a more extensive investigation. Furthermore, researchers often employ non-probability sampling as the primary data collection method in large-scale qualitative research projects. In such projects, the researcher's aim is to gain a deep understanding of a specific unit rather than to generalize findings to a broader population. Therefore, researchers interested in contributing to the theoretical understanding of a phenomenon might opt for non-probability samples that allow them to explore the nuances and complexities of their topic in depth.</w:t>
      </w:r>
    </w:p>
    <w:p w14:paraId="5327D40E" w14:textId="4CB29551" w:rsidR="00A626FE" w:rsidRDefault="00865C22" w:rsidP="00865C22">
      <w:r>
        <w:t>It's important for researchers to recognize the strengths and limitations of non-probability sampling and to use it judiciously in appropriate research contexts. When the goal is to generate insights and hypotheses rather than to make statistical inferences about a population, non-probability sampling can be a valuable tool. However, when the research aims to estimate population parameters or test hypotheses, probability sampling methods are generally preferred.</w:t>
      </w:r>
    </w:p>
    <w:p w14:paraId="5327D40F" w14:textId="77777777" w:rsidR="00A626FE" w:rsidRPr="000E309B" w:rsidRDefault="00D14B33" w:rsidP="000E309B">
      <w:pPr>
        <w:spacing w:line="360" w:lineRule="auto"/>
      </w:pPr>
      <w:r w:rsidRPr="000E309B">
        <w:t>Types of non-probability sampling techniques include the following.</w:t>
      </w:r>
    </w:p>
    <w:p w14:paraId="6C837424" w14:textId="77777777" w:rsidR="00D201B5" w:rsidRDefault="00D14B33" w:rsidP="00D201B5">
      <w:pPr>
        <w:pStyle w:val="Heading4"/>
      </w:pPr>
      <w:r w:rsidRPr="000E309B">
        <w:t xml:space="preserve">Convenience Sampling </w:t>
      </w:r>
    </w:p>
    <w:p w14:paraId="307330C9" w14:textId="77777777" w:rsidR="00157CA6" w:rsidRDefault="00157CA6" w:rsidP="00157CA6">
      <w:r>
        <w:t>Convenience sampling, sometimes called "accidental" or "opportunity" sampling, is a non-probability sampling method where the sample is drawn from the part of the population that is readily available, accessible, or convenient to the researcher. Another form of convenience sampling is "volunteer" sampling, where participants self-select into the study.</w:t>
      </w:r>
    </w:p>
    <w:p w14:paraId="3BCBBC03" w14:textId="1B57ED92" w:rsidR="00157CA6" w:rsidRDefault="00157CA6" w:rsidP="00157CA6">
      <w:r>
        <w:t xml:space="preserve">For example, if a researcher were to stand outside a shopping center and survey shoppers as they enter, this would constitute a convenience sample. The sample is non-probability because shoppers at other shopping centers are systematically excluded from the survey. The results may reflect the unique characteristics of that </w:t>
      </w:r>
      <w:r w:rsidR="001B4109">
        <w:t>shopping</w:t>
      </w:r>
      <w:r>
        <w:t xml:space="preserve"> center, such as the types of stores, the demographic profile of its patrons, or its location. However, these results would not be representative of the opinions of the broader shopper population. Consequently, the scientific generalizability of such observations would be limited.</w:t>
      </w:r>
    </w:p>
    <w:p w14:paraId="0A576565" w14:textId="77777777" w:rsidR="00157CA6" w:rsidRDefault="00157CA6" w:rsidP="00157CA6">
      <w:r>
        <w:t>Other examples of convenience sampling include surveying students enrolled in a specific class or sampling patients arriving at a particular medical clinic. In these cases, the sample is chosen based on its accessibility to the researcher rather than through a random selection process.</w:t>
      </w:r>
    </w:p>
    <w:p w14:paraId="13A7DF5E" w14:textId="77777777" w:rsidR="00157CA6" w:rsidRDefault="00157CA6" w:rsidP="00157CA6">
      <w:r>
        <w:t>Convenience sampling is most useful for pilot testing, where the primary goal is to test research instruments or validate measurements rather than to obtain generalizable inferences about a population. By using a convenient sample, researchers can quickly and efficiently gather data to refine their methods and identify potential issues before investing in a more extensive, probability-based study.</w:t>
      </w:r>
    </w:p>
    <w:p w14:paraId="2E1E1CAD" w14:textId="77777777" w:rsidR="00157CA6" w:rsidRDefault="00157CA6" w:rsidP="00157CA6">
      <w:r>
        <w:lastRenderedPageBreak/>
        <w:t>However, researchers must be cautious when interpreting and reporting results from convenience samples. Because these samples are not representative of the larger population, any conclusions drawn from them should be clearly qualified as exploratory or tentative. Overextending the findings from a convenience sample can lead to biased or misleading inferences.</w:t>
      </w:r>
    </w:p>
    <w:p w14:paraId="6E4C1820" w14:textId="0C812C2B" w:rsidR="0034606A" w:rsidRDefault="00157CA6" w:rsidP="00157CA6">
      <w:r>
        <w:t>Despite its limitations, convenience sampling remains a common and practical approach in many research contexts. It is particularly valuable in the early stages of a research project, when the focus is on developing hypotheses, testing instruments, or demonstrating the feasibility of a study design. As a study progresses, researchers may transition to more robust, probability-based sampling methods to enhance the generalizability and credibility of their findings.</w:t>
      </w:r>
    </w:p>
    <w:p w14:paraId="5327D416" w14:textId="4780E35B" w:rsidR="00A626FE" w:rsidRPr="000E309B" w:rsidRDefault="003A0407" w:rsidP="00157CA6">
      <w:r>
        <w:rPr>
          <w:noProof/>
        </w:rPr>
        <mc:AlternateContent>
          <mc:Choice Requires="wps">
            <w:drawing>
              <wp:anchor distT="0" distB="0" distL="114300" distR="114300" simplePos="0" relativeHeight="251673684" behindDoc="0" locked="0" layoutInCell="1" allowOverlap="1" wp14:anchorId="034BC374" wp14:editId="29AE476F">
                <wp:simplePos x="0" y="0"/>
                <wp:positionH relativeFrom="column">
                  <wp:posOffset>2228850</wp:posOffset>
                </wp:positionH>
                <wp:positionV relativeFrom="paragraph">
                  <wp:posOffset>2028825</wp:posOffset>
                </wp:positionV>
                <wp:extent cx="1490345" cy="635"/>
                <wp:effectExtent l="0" t="0" r="0" b="0"/>
                <wp:wrapTopAndBottom/>
                <wp:docPr id="69" name="Text Box 69"/>
                <wp:cNvGraphicFramePr/>
                <a:graphic xmlns:a="http://schemas.openxmlformats.org/drawingml/2006/main">
                  <a:graphicData uri="http://schemas.microsoft.com/office/word/2010/wordprocessingShape">
                    <wps:wsp>
                      <wps:cNvSpPr txBox="1"/>
                      <wps:spPr>
                        <a:xfrm>
                          <a:off x="0" y="0"/>
                          <a:ext cx="1490345" cy="635"/>
                        </a:xfrm>
                        <a:prstGeom prst="rect">
                          <a:avLst/>
                        </a:prstGeom>
                        <a:solidFill>
                          <a:prstClr val="white"/>
                        </a:solidFill>
                        <a:ln>
                          <a:noFill/>
                        </a:ln>
                      </wps:spPr>
                      <wps:txbx>
                        <w:txbxContent>
                          <w:p w14:paraId="7D6AA178" w14:textId="27311D87" w:rsidR="003610E3" w:rsidRDefault="003610E3" w:rsidP="008408FA">
                            <w:pPr>
                              <w:pStyle w:val="Caption"/>
                              <w:jc w:val="center"/>
                              <w:rPr>
                                <w:noProof/>
                              </w:rPr>
                            </w:pPr>
                            <w:bookmarkStart w:id="107" w:name="_Ref71093673"/>
                            <w:r>
                              <w:t xml:space="preserve">Figure </w:t>
                            </w:r>
                            <w:r w:rsidR="006D77BF">
                              <w:fldChar w:fldCharType="begin"/>
                            </w:r>
                            <w:r w:rsidR="006D77BF">
                              <w:instrText xml:space="preserve"> SEQ Figure \* ARABIC </w:instrText>
                            </w:r>
                            <w:r w:rsidR="006D77BF">
                              <w:fldChar w:fldCharType="separate"/>
                            </w:r>
                            <w:r w:rsidR="00980002">
                              <w:rPr>
                                <w:noProof/>
                              </w:rPr>
                              <w:t>29</w:t>
                            </w:r>
                            <w:r w:rsidR="006D77BF">
                              <w:rPr>
                                <w:noProof/>
                              </w:rPr>
                              <w:fldChar w:fldCharType="end"/>
                            </w:r>
                            <w:bookmarkEnd w:id="107"/>
                            <w:r>
                              <w:t>: Convenience Sampling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4BC374" id="Text Box 69" o:spid="_x0000_s1100" type="#_x0000_t202" style="position:absolute;margin-left:175.5pt;margin-top:159.75pt;width:117.35pt;height:.05pt;z-index:2516736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" stroked="f">
                <v:textbox style="mso-fit-shape-to-text:t" inset="0,0,0,0">
                  <w:txbxContent>
                    <w:p w14:paraId="7D6AA178" w14:textId="27311D87" w:rsidR="003610E3" w:rsidRDefault="003610E3" w:rsidP="008408FA">
                      <w:pPr>
                        <w:pStyle w:val="Caption"/>
                        <w:jc w:val="center"/>
                        <w:rPr>
                          <w:noProof/>
                        </w:rPr>
                      </w:pPr>
                      <w:bookmarkStart w:id="108" w:name="_Ref71093673"/>
                      <w:r>
                        <w:t xml:space="preserve">Figure </w:t>
                      </w:r>
                      <w:r w:rsidR="006D77BF">
                        <w:fldChar w:fldCharType="begin"/>
                      </w:r>
                      <w:r w:rsidR="006D77BF">
                        <w:instrText xml:space="preserve"> SEQ Figure \* ARABIC </w:instrText>
                      </w:r>
                      <w:r w:rsidR="006D77BF">
                        <w:fldChar w:fldCharType="separate"/>
                      </w:r>
                      <w:r w:rsidR="00980002">
                        <w:rPr>
                          <w:noProof/>
                        </w:rPr>
                        <w:t>29</w:t>
                      </w:r>
                      <w:r w:rsidR="006D77BF">
                        <w:rPr>
                          <w:noProof/>
                        </w:rPr>
                        <w:fldChar w:fldCharType="end"/>
                      </w:r>
                      <w:bookmarkEnd w:id="108"/>
                      <w:r>
                        <w:t>: Convenience Sampling</w:t>
                      </w:r>
                    </w:p>
                  </w:txbxContent>
                </v:textbox>
                <w10:wrap type="topAndBottom"/>
              </v:shape>
            </w:pict>
          </mc:Fallback>
        </mc:AlternateContent>
      </w:r>
      <w:r w:rsidRPr="000E309B">
        <w:rPr>
          <w:noProof/>
        </w:rPr>
        <w:drawing>
          <wp:anchor distT="0" distB="0" distL="114300" distR="114300" simplePos="0" relativeHeight="251671636" behindDoc="0" locked="0" layoutInCell="1" allowOverlap="1" wp14:anchorId="5327DDE3" wp14:editId="29F17EEE">
            <wp:simplePos x="0" y="0"/>
            <wp:positionH relativeFrom="column">
              <wp:posOffset>2228850</wp:posOffset>
            </wp:positionH>
            <wp:positionV relativeFrom="paragraph">
              <wp:posOffset>609600</wp:posOffset>
            </wp:positionV>
            <wp:extent cx="1490345" cy="1362075"/>
            <wp:effectExtent l="0" t="0" r="0" b="9525"/>
            <wp:wrapTopAndBottom/>
            <wp:docPr id="11552" name="Picture 11552"/>
            <wp:cNvGraphicFramePr/>
            <a:graphic xmlns:a="http://schemas.openxmlformats.org/drawingml/2006/main">
              <a:graphicData uri="http://schemas.openxmlformats.org/drawingml/2006/picture">
                <pic:pic xmlns:pic="http://schemas.openxmlformats.org/drawingml/2006/picture">
                  <pic:nvPicPr>
                    <pic:cNvPr id="11552" name="Picture 11552"/>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90345" cy="1362075"/>
                    </a:xfrm>
                    <a:prstGeom prst="rect">
                      <a:avLst/>
                    </a:prstGeom>
                  </pic:spPr>
                </pic:pic>
              </a:graphicData>
            </a:graphic>
            <wp14:sizeRelH relativeFrom="margin">
              <wp14:pctWidth>0</wp14:pctWidth>
            </wp14:sizeRelH>
            <wp14:sizeRelV relativeFrom="margin">
              <wp14:pctHeight>0</wp14:pctHeight>
            </wp14:sizeRelV>
          </wp:anchor>
        </w:drawing>
      </w:r>
      <w:r w:rsidR="0034606A">
        <w:t xml:space="preserve">The following figure </w:t>
      </w:r>
      <w:r w:rsidR="00D14B33" w:rsidRPr="000E309B">
        <w:t>illustrates convenience sampling where the researcher in the top left corner only samples the nearby elements and ignores the rest.</w:t>
      </w:r>
    </w:p>
    <w:p w14:paraId="75203D9C" w14:textId="77777777" w:rsidR="00D201B5" w:rsidRDefault="00D14B33" w:rsidP="00D201B5">
      <w:pPr>
        <w:pStyle w:val="Heading4"/>
      </w:pPr>
      <w:r w:rsidRPr="000E309B">
        <w:t xml:space="preserve">Quota Sampling </w:t>
      </w:r>
    </w:p>
    <w:p w14:paraId="28F95A90" w14:textId="5EFDCE7B" w:rsidR="002C7FAE" w:rsidRDefault="002C7FAE" w:rsidP="00ED1578">
      <w:r>
        <w:t>Quota sampling is a non-probability sampling method in which the population is divided into mutually exclusive subgroups (like stratified sampling), and then a non-random set of observations is selected from each subgroup to meet a predefined quota. There are two main types of quota sampling: proportional and non-proportional.</w:t>
      </w:r>
    </w:p>
    <w:p w14:paraId="76CA0765" w14:textId="11783B38" w:rsidR="002C7FAE" w:rsidRDefault="002C7FAE" w:rsidP="00ED1578">
      <w:r>
        <w:t xml:space="preserve">In proportional quota sampling, the proportion of respondents in each subgroup should match that of the population. For example, if the American population consists of 70% Caucasians, 15% </w:t>
      </w:r>
      <w:r w:rsidR="00ED1578">
        <w:t>Hispanic Americans</w:t>
      </w:r>
      <w:r>
        <w:t xml:space="preserve">, and 13% </w:t>
      </w:r>
      <w:r w:rsidR="00ED1578">
        <w:t>African Americans</w:t>
      </w:r>
      <w:r>
        <w:t>, and researchers want to understand their voting preferences in a sample of 100 people, they could survey individuals outside a shopping center. However, they would need to stop collecting responses from Hispanic participants once they have reached 15 responses from that subgroup, even as they continue sampling other ethnic groups. The goal is to ensure that the ethnic composition of the sample mirrors that of the general American population.</w:t>
      </w:r>
    </w:p>
    <w:p w14:paraId="46F03F75" w14:textId="7BCEFE2F" w:rsidR="002C7FAE" w:rsidRDefault="002C7FAE" w:rsidP="00ED1578">
      <w:r>
        <w:t xml:space="preserve">On the other hand, non-proportional quota sampling is less restrictive, as it does not require a proportional representation of subgroups in the sample. Instead, it aims to meet a minimum sample size for each subgroup. In this case, researchers might choose to collect 50 responses from each of the three ethnic subgroups (Caucasians, </w:t>
      </w:r>
      <w:r w:rsidR="00F925A9">
        <w:t>Hispanic Americans</w:t>
      </w:r>
      <w:r>
        <w:t>, and African</w:t>
      </w:r>
      <w:r w:rsidR="00F925A9">
        <w:t xml:space="preserve"> </w:t>
      </w:r>
      <w:r>
        <w:t xml:space="preserve">Americans) </w:t>
      </w:r>
      <w:r>
        <w:lastRenderedPageBreak/>
        <w:t>and then stop sampling once the quota for each subgroup is met. This approach allows for the oversampling of smaller or harder-to-reach subgroups, which can be useful when researchers want to ensure adequate representation of these groups in the sample.</w:t>
      </w:r>
    </w:p>
    <w:p w14:paraId="0C9A12B3" w14:textId="77777777" w:rsidR="002C7FAE" w:rsidRDefault="002C7FAE" w:rsidP="00ED1578">
      <w:r>
        <w:t>Neither type of quota sampling will yield a truly representative sample of the American population, as a sample from a shopping center in New York would likely differ from one in Kansas. The non-proportional technique is even less representative of the population, but it enables researchers to capture the opinions of marginalized or underrepresented groups that might be missed in a proportional sample.</w:t>
      </w:r>
    </w:p>
    <w:p w14:paraId="6B3FB866" w14:textId="77777777" w:rsidR="002C7FAE" w:rsidRDefault="002C7FAE" w:rsidP="00ED1578">
      <w:r>
        <w:t>Quota sampling can be a useful approach when researchers need to ensure a certain level of representation from specific subgroups or when they are working with limited resources. By setting quotas, researchers can control the composition of their sample and gather data from a diverse range of participants.</w:t>
      </w:r>
    </w:p>
    <w:p w14:paraId="2ED65584" w14:textId="77777777" w:rsidR="002C7FAE" w:rsidRDefault="002C7FAE" w:rsidP="00ED1578">
      <w:r>
        <w:t>However, it is essential to recognize the limitations of quota sampling. Because the selection of participants within each subgroup is non-random, the sample may not be fully representative of the population, even if the quotas are met. Additionally, the specific locations or methods used to recruit participants can introduce bias into the sample.</w:t>
      </w:r>
    </w:p>
    <w:p w14:paraId="17DABCE5" w14:textId="39B3B16A" w:rsidR="00D94180" w:rsidRDefault="002C7FAE" w:rsidP="00ED1578">
      <w:r>
        <w:t>When reporting results from a quota sample, researchers should be transparent about their sampling methods and cautious in generalizing their findings to the broader population. Quota sampling is most appropriate for exploratory or descriptive research, where the goal is to gain insights into the experiences or opinions of specific subgroups rather than to make precise statistical inferences about the population.</w:t>
      </w:r>
    </w:p>
    <w:p w14:paraId="5327D41A" w14:textId="77895D55" w:rsidR="00A626FE" w:rsidRPr="000E309B" w:rsidRDefault="00DB4C2C" w:rsidP="00ED1578">
      <w:r w:rsidRPr="000E309B">
        <w:rPr>
          <w:noProof/>
        </w:rPr>
        <w:drawing>
          <wp:anchor distT="0" distB="0" distL="114300" distR="114300" simplePos="0" relativeHeight="251674708" behindDoc="0" locked="0" layoutInCell="1" allowOverlap="1" wp14:anchorId="5327DDE5" wp14:editId="04B2C05C">
            <wp:simplePos x="0" y="0"/>
            <wp:positionH relativeFrom="column">
              <wp:posOffset>2228850</wp:posOffset>
            </wp:positionH>
            <wp:positionV relativeFrom="paragraph">
              <wp:posOffset>617855</wp:posOffset>
            </wp:positionV>
            <wp:extent cx="1490345" cy="1682115"/>
            <wp:effectExtent l="0" t="0" r="0" b="0"/>
            <wp:wrapTopAndBottom/>
            <wp:docPr id="11613" name="Picture 11613"/>
            <wp:cNvGraphicFramePr/>
            <a:graphic xmlns:a="http://schemas.openxmlformats.org/drawingml/2006/main">
              <a:graphicData uri="http://schemas.openxmlformats.org/drawingml/2006/picture">
                <pic:pic xmlns:pic="http://schemas.openxmlformats.org/drawingml/2006/picture">
                  <pic:nvPicPr>
                    <pic:cNvPr id="11613" name="Picture 11613"/>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90345" cy="1682115"/>
                    </a:xfrm>
                    <a:prstGeom prst="rect">
                      <a:avLst/>
                    </a:prstGeom>
                  </pic:spPr>
                </pic:pic>
              </a:graphicData>
            </a:graphic>
            <wp14:sizeRelH relativeFrom="margin">
              <wp14:pctWidth>0</wp14:pctWidth>
            </wp14:sizeRelH>
            <wp14:sizeRelV relativeFrom="margin">
              <wp14:pctHeight>0</wp14:pctHeight>
            </wp14:sizeRelV>
          </wp:anchor>
        </w:drawing>
      </w:r>
      <w:r w:rsidR="00D94180">
        <w:t xml:space="preserve">The following figure </w:t>
      </w:r>
      <w:r w:rsidR="00D14B33" w:rsidRPr="000E309B">
        <w:t xml:space="preserve">illustrates quota sampling. </w:t>
      </w:r>
      <w:r w:rsidR="00F529A9">
        <w:t>A random sample is drawn from each subgroup,</w:t>
      </w:r>
      <w:r w:rsidR="00D14B33" w:rsidRPr="000E309B">
        <w:t xml:space="preserve"> but the </w:t>
      </w:r>
      <w:r w:rsidR="00FD6804">
        <w:t>larger</w:t>
      </w:r>
      <w:r w:rsidR="00D14B33" w:rsidRPr="000E309B">
        <w:t xml:space="preserve"> subgroups have more samples than the smaller subgroups.</w:t>
      </w:r>
    </w:p>
    <w:p w14:paraId="241806E3" w14:textId="77777777" w:rsidR="00D201B5" w:rsidRDefault="00D14B33" w:rsidP="00D201B5">
      <w:pPr>
        <w:pStyle w:val="Heading4"/>
      </w:pPr>
      <w:r w:rsidRPr="000E309B">
        <w:t xml:space="preserve">Snowball Sampling </w:t>
      </w:r>
    </w:p>
    <w:p w14:paraId="6788F586" w14:textId="77777777" w:rsidR="00B54BE9" w:rsidRDefault="00B54BE9" w:rsidP="00B54BE9">
      <w:r>
        <w:t xml:space="preserve">Snowball sampling, also known as "chain referral sampling," is a non-probability sampling method in which a researcher identifies a small group of initial respondents who meet the criteria for inclusion in the study. These respondents are then asked to recommend others they know who would also fit the selection criteria. Each subsequent respondent is similarly asked to provide </w:t>
      </w:r>
      <w:r>
        <w:lastRenderedPageBreak/>
        <w:t>referrals, leading to a growing sample size, much like a snowball increasing in size as it rolls down a mountain.</w:t>
      </w:r>
    </w:p>
    <w:p w14:paraId="0F8088B4" w14:textId="77777777" w:rsidR="00B54BE9" w:rsidRDefault="00B54BE9" w:rsidP="00B54BE9">
      <w:r>
        <w:t>For example, suppose a researcher wants to survey computer network administrators but only knows one or two personally. In this case, the researcher could start by interviewing those known administrators and then ask them to recommend their peers who might be willing to participate in the study. This process would continue with each new respondent, gradually expanding the sample through a chain of referrals.</w:t>
      </w:r>
    </w:p>
    <w:p w14:paraId="63A64380" w14:textId="77777777" w:rsidR="00B54BE9" w:rsidRDefault="00B54BE9" w:rsidP="00B54BE9">
      <w:r>
        <w:t>Snowball sampling can be particularly useful when the target population is hard to reach or when no comprehensive sampling frame is available. By leveraging the social networks of initial respondents, researchers can gain access to populations that might otherwise be difficult to identify or contact.</w:t>
      </w:r>
    </w:p>
    <w:p w14:paraId="3477D58A" w14:textId="77777777" w:rsidR="00B54BE9" w:rsidRDefault="00B54BE9" w:rsidP="00B54BE9">
      <w:r>
        <w:t>However, it is essential to recognize that snowball sampling rarely produces representative samples. Because the selection of respondents is based on referrals rather than random sampling, the resulting sample may be biased toward individuals who are more socially connected or who share similar characteristics. This can limit the generalizability of findings to the broader population.</w:t>
      </w:r>
    </w:p>
    <w:p w14:paraId="06A1A00C" w14:textId="331DDA89" w:rsidR="00B54BE9" w:rsidRDefault="00B54BE9" w:rsidP="00B54BE9">
      <w:r>
        <w:t xml:space="preserve">Additionally, snowball sampling can lead to oversampling of certain subgroups or clusters within the population, as individuals are more likely to </w:t>
      </w:r>
      <w:r w:rsidR="00684DF9">
        <w:t>refer to</w:t>
      </w:r>
      <w:r>
        <w:t xml:space="preserve"> others who are </w:t>
      </w:r>
      <w:r w:rsidR="00684DF9">
        <w:t>like</w:t>
      </w:r>
      <w:r>
        <w:t xml:space="preserve"> themselves. This can result in a sample that is homogeneous in terms of certain attributes, which may not accurately reflect the diversity of the target population.</w:t>
      </w:r>
    </w:p>
    <w:p w14:paraId="7C12C047" w14:textId="77777777" w:rsidR="00B54BE9" w:rsidRDefault="00B54BE9" w:rsidP="00B54BE9">
      <w:r>
        <w:t>Despite these limitations, snowball sampling remains a valuable tool in exploratory and qualitative research, where the goal is to gain in-depth insights into the experiences or perspectives of specific groups. It can also be used as a complementary method alongside other sampling techniques to enhance the richness and depth of data collection.</w:t>
      </w:r>
    </w:p>
    <w:p w14:paraId="2B7E364B" w14:textId="746BEDD6" w:rsidR="00703C8A" w:rsidRDefault="00B54BE9" w:rsidP="00B54BE9">
      <w:r>
        <w:t>When reporting results from a snowball sample, researchers should be transparent about their sampling methods and cautious in generalizing their findings. They should also consider the potential biases introduced by the referral process and discuss how these may have influenced the composition and characteristics of the sample.</w:t>
      </w:r>
    </w:p>
    <w:p w14:paraId="5327D41F" w14:textId="5390BF9E" w:rsidR="00A626FE" w:rsidRPr="000E309B" w:rsidRDefault="00335C0A" w:rsidP="00703C8A">
      <w:r w:rsidRPr="000E309B">
        <w:rPr>
          <w:noProof/>
        </w:rPr>
        <w:drawing>
          <wp:anchor distT="0" distB="0" distL="114300" distR="114300" simplePos="0" relativeHeight="251677780" behindDoc="0" locked="0" layoutInCell="1" allowOverlap="1" wp14:anchorId="5327DDE7" wp14:editId="7313F6AC">
            <wp:simplePos x="0" y="0"/>
            <wp:positionH relativeFrom="column">
              <wp:posOffset>2228850</wp:posOffset>
            </wp:positionH>
            <wp:positionV relativeFrom="paragraph">
              <wp:posOffset>873760</wp:posOffset>
            </wp:positionV>
            <wp:extent cx="1490345" cy="886460"/>
            <wp:effectExtent l="0" t="0" r="0" b="8890"/>
            <wp:wrapTopAndBottom/>
            <wp:docPr id="11651" name="Picture 11651"/>
            <wp:cNvGraphicFramePr/>
            <a:graphic xmlns:a="http://schemas.openxmlformats.org/drawingml/2006/main">
              <a:graphicData uri="http://schemas.openxmlformats.org/drawingml/2006/picture">
                <pic:pic xmlns:pic="http://schemas.openxmlformats.org/drawingml/2006/picture">
                  <pic:nvPicPr>
                    <pic:cNvPr id="11651" name="Picture 1165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90345" cy="886460"/>
                    </a:xfrm>
                    <a:prstGeom prst="rect">
                      <a:avLst/>
                    </a:prstGeom>
                  </pic:spPr>
                </pic:pic>
              </a:graphicData>
            </a:graphic>
            <wp14:sizeRelH relativeFrom="margin">
              <wp14:pctWidth>0</wp14:pctWidth>
            </wp14:sizeRelH>
            <wp14:sizeRelV relativeFrom="margin">
              <wp14:pctHeight>0</wp14:pctHeight>
            </wp14:sizeRelV>
          </wp:anchor>
        </w:drawing>
      </w:r>
      <w:r w:rsidR="00703C8A">
        <w:t>The following figure</w:t>
      </w:r>
      <w:r w:rsidR="00D14B33" w:rsidRPr="000E309B">
        <w:t xml:space="preserve"> illustrates snowball sampling. In this case, the researcher asked only one person, who recommended one other, who recommended two more, and so forth. In the end, the researcher sampled eight people but had only one to start the process.</w:t>
      </w:r>
    </w:p>
    <w:p w14:paraId="4F08C3D1" w14:textId="77777777" w:rsidR="00D201B5" w:rsidRDefault="00D14B33" w:rsidP="00D201B5">
      <w:pPr>
        <w:pStyle w:val="Heading4"/>
      </w:pPr>
      <w:r w:rsidRPr="000E309B">
        <w:lastRenderedPageBreak/>
        <w:t xml:space="preserve">Purposive Sampling </w:t>
      </w:r>
    </w:p>
    <w:p w14:paraId="104F4E66" w14:textId="77777777" w:rsidR="00017ED0" w:rsidRDefault="00017ED0" w:rsidP="00017ED0">
      <w:r>
        <w:t>Purposive sampling, also known as judgmental sampling, is a non-probability sampling method in which a researcher selects participants based on specific attributes or criteria that are relevant to the research question. The researcher deliberately chooses individuals who exhibit the desired characteristics or who are likely to provide rich, informative data.</w:t>
      </w:r>
    </w:p>
    <w:p w14:paraId="2768CA45" w14:textId="77777777" w:rsidR="00017ED0" w:rsidRDefault="00017ED0" w:rsidP="00017ED0">
      <w:r>
        <w:t>To draw a purposive sample, the researcher starts by identifying the key attributes or variables of interest and then seeks out participants who possess those characteristics. This targeted selection process ensures that the sample includes individuals who can provide valuable insights into the topic under investigation.</w:t>
      </w:r>
    </w:p>
    <w:p w14:paraId="67D42392" w14:textId="77777777" w:rsidR="00017ED0" w:rsidRDefault="00017ED0" w:rsidP="00017ED0">
      <w:r>
        <w:t>For example, suppose a researcher is studying students' satisfaction with their living quarters on campus. In this case, the researcher would want to ensure that the sample includes students who reside in each of the different types or locations of on-campus housing. If the sample only includes students from one of the ten dorms on campus, important details about the experiences of students living in the other nine dorms would be missed. By purposefully selecting students from diverse housing situations, the researcher can capture a more comprehensive picture of student satisfaction across various living arrangements.</w:t>
      </w:r>
    </w:p>
    <w:p w14:paraId="648E5432" w14:textId="77777777" w:rsidR="00017ED0" w:rsidRDefault="00017ED0" w:rsidP="00017ED0">
      <w:r>
        <w:t>Purposive sampling is particularly useful when researchers are interested in studying specific subgroups or when they need to ensure that certain attributes are adequately represented in the sample. It allows researchers to focus on cases that are especially informative or relevant to the research question, rather than aiming for a representative sample of the entire population.</w:t>
      </w:r>
    </w:p>
    <w:p w14:paraId="2A33A4D0" w14:textId="77777777" w:rsidR="00017ED0" w:rsidRDefault="00017ED0" w:rsidP="00017ED0">
      <w:r>
        <w:t>However, it is important to recognize the limitations of purposive sampling. Because the selection of participants is based on the researcher's judgment rather than random sampling, the resulting sample may be biased or not fully representative of the population. The researcher's own subjectivity and preconceptions can influence the selection process, potentially leading to a sample that confirms the researcher's expectations rather than providing a balanced perspective.</w:t>
      </w:r>
    </w:p>
    <w:p w14:paraId="1F5B6E68" w14:textId="77777777" w:rsidR="00017ED0" w:rsidRDefault="00017ED0" w:rsidP="00017ED0">
      <w:r>
        <w:t>Additionally, because purposive samples are not randomly selected, it is not possible to calculate sampling error or to make statistical inferences about the larger population. The findings from a purposive sample should be interpreted as exploratory or illustrative rather than definitive or generalizable.</w:t>
      </w:r>
    </w:p>
    <w:p w14:paraId="5940CC7E" w14:textId="77777777" w:rsidR="00017ED0" w:rsidRDefault="00017ED0" w:rsidP="00017ED0">
      <w:r>
        <w:t>Despite these limitations, purposive sampling remains a valuable tool in qualitative and mixed-methods research, where the goal is to gain in-depth, nuanced insights into specific phenomena or experiences. It can also be used in conjunction with other sampling methods to ensure that important subgroups or attributes are adequately represented in the sample.</w:t>
      </w:r>
    </w:p>
    <w:p w14:paraId="51AC9D80" w14:textId="49487AF3" w:rsidR="00284737" w:rsidRDefault="00017ED0" w:rsidP="00017ED0">
      <w:r>
        <w:t xml:space="preserve">When reporting results from a purposive sample, researchers should be transparent about their sampling criteria and the rationale behind their participant selection. They should also discuss the </w:t>
      </w:r>
      <w:r>
        <w:lastRenderedPageBreak/>
        <w:t>potential limitations of their sample and be cautious in extending their findings beyond the specific context of their study.</w:t>
      </w:r>
    </w:p>
    <w:p w14:paraId="09C95DE4" w14:textId="77777777" w:rsidR="00D201B5" w:rsidRDefault="00D14B33" w:rsidP="00D201B5">
      <w:pPr>
        <w:pStyle w:val="Heading4"/>
      </w:pPr>
      <w:r w:rsidRPr="000E309B">
        <w:t xml:space="preserve">Expert Sampling </w:t>
      </w:r>
    </w:p>
    <w:p w14:paraId="0739D4FD" w14:textId="77777777" w:rsidR="005A0B13" w:rsidRDefault="005A0B13" w:rsidP="005A0B13">
      <w:r>
        <w:t>Expert sampling is a non-probability sampling technique in which respondents are selected based on their expertise or specialized knowledge about the phenomenon being studied. Rather than aiming for a representative sample of the general population, expert sampling focuses on individuals who have a deep understanding of the topic at hand.</w:t>
      </w:r>
    </w:p>
    <w:p w14:paraId="0905ECA9" w14:textId="14B0BDD0" w:rsidR="005A0B13" w:rsidRDefault="005A0B13" w:rsidP="005A0B13">
      <w:r>
        <w:t>For example, to investigate the impacts of a governmental policy, such as the Sarbanes-Oxley Act, a researcher might choose to sample a group of corporate accountants who are well-versed in the intricacies of this legislation. These experts are likely to provide more informed and insightful opinions compared to a sample that includes both experts and non-experts.</w:t>
      </w:r>
    </w:p>
    <w:p w14:paraId="23BF4DF7" w14:textId="77777777" w:rsidR="005A0B13" w:rsidRDefault="005A0B13" w:rsidP="005A0B13">
      <w:r>
        <w:t>The main advantage of expert sampling is that it allows researchers to gather high-quality, authoritative data from individuals who have a rich understanding of the subject matter. By tapping into the knowledge and experiences of experts, researchers can gain valuable insights that may not be available through a more general sample.</w:t>
      </w:r>
    </w:p>
    <w:p w14:paraId="1F37DD76" w14:textId="41DAC3B8" w:rsidR="005A0B13" w:rsidRDefault="005A0B13" w:rsidP="005A0B13">
      <w:r>
        <w:t xml:space="preserve">However, it is important to recognize that the findings from an expert sample are not generalizable to the broader population. The opinions and perspectives of experts may differ significantly from those of the </w:t>
      </w:r>
      <w:r w:rsidR="00D704DD">
        <w:t>public</w:t>
      </w:r>
      <w:r>
        <w:t>, and the sample size is often relatively small. As a result, expert sampling is most appropriate for exploratory or descriptive research, where the goal is to gain a deep understanding of a specific issue rather than to make statistical inferences about the population.</w:t>
      </w:r>
    </w:p>
    <w:p w14:paraId="1C9B164C" w14:textId="77777777" w:rsidR="005A0B13" w:rsidRDefault="005A0B13" w:rsidP="005A0B13">
      <w:r>
        <w:t>Another potential limitation of expert sampling is the risk of bias. Experts may have their own agendas, preconceptions, or vested interests that could influence their responses. Additionally, the selection of experts is often based on the researcher's judgment, which can introduce subjectivity into the sampling process.</w:t>
      </w:r>
    </w:p>
    <w:p w14:paraId="6781648A" w14:textId="77777777" w:rsidR="005A0B13" w:rsidRDefault="005A0B13" w:rsidP="005A0B13">
      <w:r>
        <w:t>To mitigate these risks, researchers should strive to select experts who are well-respected in their field and who represent a range of perspectives. They should also be transparent about their sampling criteria and the limitations of their expert sample when reporting their findings.</w:t>
      </w:r>
    </w:p>
    <w:p w14:paraId="5327D422" w14:textId="597F1DFD" w:rsidR="00A626FE" w:rsidRDefault="005A0B13" w:rsidP="005A0B13">
      <w:r>
        <w:t>Expert sampling can be a valuable tool in qualitative research, particularly when the research question requires specialized knowledge or when the target population is difficult to access. It can also be used in conjunction with other sampling methods to triangulate findings or to provide context for quantitative data.</w:t>
      </w:r>
    </w:p>
    <w:p w14:paraId="603A6C8D" w14:textId="77777777" w:rsidR="003126FA" w:rsidRDefault="003126FA" w:rsidP="003126FA">
      <w:pPr>
        <w:pStyle w:val="NoSpacing"/>
      </w:pPr>
    </w:p>
    <w:p w14:paraId="4663BCB6" w14:textId="77777777" w:rsidR="000600E6" w:rsidRPr="000600E6" w:rsidRDefault="000600E6" w:rsidP="000600E6">
      <w:pPr>
        <w:pStyle w:val="NoSpacing"/>
      </w:pPr>
    </w:p>
    <w:p w14:paraId="2FBE197C" w14:textId="6A21B682" w:rsidR="00CB549A" w:rsidRDefault="00CB549A" w:rsidP="00632A77">
      <w:pPr>
        <w:pStyle w:val="Heading3"/>
      </w:pPr>
      <w:bookmarkStart w:id="109" w:name="_Toc169156738"/>
      <w:r>
        <w:lastRenderedPageBreak/>
        <w:t>Summary of Sampling Techniques</w:t>
      </w:r>
      <w:bookmarkEnd w:id="109"/>
    </w:p>
    <w:tbl>
      <w:tblPr>
        <w:tblStyle w:val="GridTable4-Accent1"/>
        <w:tblW w:w="0" w:type="auto"/>
        <w:tblLook w:val="04A0" w:firstRow="1" w:lastRow="0" w:firstColumn="1" w:lastColumn="0" w:noHBand="0" w:noVBand="1"/>
      </w:tblPr>
      <w:tblGrid>
        <w:gridCol w:w="1536"/>
        <w:gridCol w:w="3353"/>
        <w:gridCol w:w="4461"/>
      </w:tblGrid>
      <w:tr w:rsidR="000A1DCC" w14:paraId="32E9FC13" w14:textId="77777777" w:rsidTr="00FE3C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70567497" w14:textId="13B8B82B" w:rsidR="000A1DCC" w:rsidRDefault="000A1DCC" w:rsidP="00632A77">
            <w:pPr>
              <w:keepNext/>
              <w:keepLines/>
            </w:pPr>
            <w:r>
              <w:t>Type</w:t>
            </w:r>
          </w:p>
        </w:tc>
        <w:tc>
          <w:tcPr>
            <w:tcW w:w="3353" w:type="dxa"/>
          </w:tcPr>
          <w:p w14:paraId="3FC3B22D" w14:textId="5E524D0B" w:rsidR="000A1DCC" w:rsidRDefault="000A1DCC" w:rsidP="00E44FFA">
            <w:pPr>
              <w:keepNext/>
              <w:keepLines/>
              <w:cnfStyle w:val="100000000000" w:firstRow="1" w:lastRow="0" w:firstColumn="0" w:lastColumn="0" w:oddVBand="0" w:evenVBand="0" w:oddHBand="0" w:evenHBand="0" w:firstRowFirstColumn="0" w:firstRowLastColumn="0" w:lastRowFirstColumn="0" w:lastRowLastColumn="0"/>
            </w:pPr>
            <w:r>
              <w:t>Strengths</w:t>
            </w:r>
          </w:p>
        </w:tc>
        <w:tc>
          <w:tcPr>
            <w:tcW w:w="4461" w:type="dxa"/>
          </w:tcPr>
          <w:p w14:paraId="519742C9" w14:textId="3A113904" w:rsidR="000A1DCC" w:rsidRDefault="000A1DCC" w:rsidP="00E44FFA">
            <w:pPr>
              <w:keepNext/>
              <w:keepLines/>
              <w:cnfStyle w:val="100000000000" w:firstRow="1" w:lastRow="0" w:firstColumn="0" w:lastColumn="0" w:oddVBand="0" w:evenVBand="0" w:oddHBand="0" w:evenHBand="0" w:firstRowFirstColumn="0" w:firstRowLastColumn="0" w:lastRowFirstColumn="0" w:lastRowLastColumn="0"/>
            </w:pPr>
            <w:r>
              <w:t>Weaknesses</w:t>
            </w:r>
          </w:p>
        </w:tc>
      </w:tr>
      <w:tr w:rsidR="000A1DCC" w14:paraId="6AD192B2" w14:textId="77777777" w:rsidTr="00FE3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557843B0" w14:textId="1384D419" w:rsidR="000A1DCC" w:rsidRDefault="00F013EA" w:rsidP="00DD6099">
            <w:r>
              <w:t>Random</w:t>
            </w:r>
          </w:p>
        </w:tc>
        <w:tc>
          <w:tcPr>
            <w:tcW w:w="3353" w:type="dxa"/>
          </w:tcPr>
          <w:p w14:paraId="387564BF" w14:textId="77777777" w:rsidR="00F013EA" w:rsidRDefault="00F013EA" w:rsidP="007D7307">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rsidRPr="000E309B">
              <w:t>Widely accepted</w:t>
            </w:r>
          </w:p>
          <w:p w14:paraId="22729A3F" w14:textId="49162D3D" w:rsidR="00F013EA" w:rsidRDefault="00F013EA" w:rsidP="007D7307">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rsidRPr="000E309B">
              <w:t xml:space="preserve">Reasonable chance of getting </w:t>
            </w:r>
            <w:r w:rsidR="0092480A">
              <w:t xml:space="preserve">a </w:t>
            </w:r>
            <w:r w:rsidRPr="000E309B">
              <w:t>representative sample</w:t>
            </w:r>
          </w:p>
          <w:p w14:paraId="01C9882A" w14:textId="6B70D31F" w:rsidR="003610E3" w:rsidRDefault="00F013EA"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rsidRPr="000E309B">
              <w:t>High reliability and validity</w:t>
            </w:r>
          </w:p>
        </w:tc>
        <w:tc>
          <w:tcPr>
            <w:tcW w:w="4461" w:type="dxa"/>
          </w:tcPr>
          <w:p w14:paraId="483ECBF2" w14:textId="77777777" w:rsidR="00C724DE" w:rsidRDefault="00C724DE"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rsidRPr="000E309B">
              <w:t>May not capture minority groups in the population</w:t>
            </w:r>
          </w:p>
          <w:p w14:paraId="2B7962D7" w14:textId="7891CCF9" w:rsidR="003610E3" w:rsidRDefault="00441422"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It m</w:t>
            </w:r>
            <w:r w:rsidR="00C724DE" w:rsidRPr="000E309B">
              <w:t>ay be impractical in some</w:t>
            </w:r>
            <w:r w:rsidR="00C724DE">
              <w:t xml:space="preserve"> </w:t>
            </w:r>
            <w:r w:rsidR="00C724DE" w:rsidRPr="000E309B">
              <w:t>studies</w:t>
            </w:r>
          </w:p>
        </w:tc>
      </w:tr>
      <w:tr w:rsidR="00BF381B" w14:paraId="46C683E9" w14:textId="77777777" w:rsidTr="00FE3C0A">
        <w:tc>
          <w:tcPr>
            <w:cnfStyle w:val="001000000000" w:firstRow="0" w:lastRow="0" w:firstColumn="1" w:lastColumn="0" w:oddVBand="0" w:evenVBand="0" w:oddHBand="0" w:evenHBand="0" w:firstRowFirstColumn="0" w:firstRowLastColumn="0" w:lastRowFirstColumn="0" w:lastRowLastColumn="0"/>
            <w:tcW w:w="1536" w:type="dxa"/>
          </w:tcPr>
          <w:p w14:paraId="7D8A4136" w14:textId="697EDD53" w:rsidR="00BF381B" w:rsidRDefault="00BF381B" w:rsidP="00DD6099">
            <w:r>
              <w:t>Systematic</w:t>
            </w:r>
          </w:p>
        </w:tc>
        <w:tc>
          <w:tcPr>
            <w:tcW w:w="3353" w:type="dxa"/>
          </w:tcPr>
          <w:p w14:paraId="3BF4A576" w14:textId="58BAFCD8" w:rsidR="00BF381B" w:rsidRPr="000E309B" w:rsidRDefault="00E466B0"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rsidRPr="000E309B">
              <w:t>If</w:t>
            </w:r>
            <w:r w:rsidR="00F509A6">
              <w:t xml:space="preserve"> </w:t>
            </w:r>
            <w:r w:rsidR="00F509A6" w:rsidRPr="003126FA">
              <w:t>the</w:t>
            </w:r>
            <w:r w:rsidRPr="005A7D68">
              <w:rPr>
                <w:rStyle w:val="NoSpacingChar"/>
              </w:rPr>
              <w:t xml:space="preserve"> list randomized, bias </w:t>
            </w:r>
            <w:r w:rsidR="00F509A6" w:rsidRPr="005A7D68">
              <w:rPr>
                <w:rStyle w:val="NoSpacingChar"/>
              </w:rPr>
              <w:t>unli</w:t>
            </w:r>
            <w:r w:rsidR="00F509A6">
              <w:t>kely</w:t>
            </w:r>
          </w:p>
        </w:tc>
        <w:tc>
          <w:tcPr>
            <w:tcW w:w="4461" w:type="dxa"/>
          </w:tcPr>
          <w:p w14:paraId="337C68A0" w14:textId="4E0F3E64" w:rsidR="00BF381B" w:rsidRPr="000E309B" w:rsidRDefault="00184500"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rsidRPr="000E309B">
              <w:t xml:space="preserve">If </w:t>
            </w:r>
            <w:r w:rsidR="00F509A6">
              <w:t xml:space="preserve">the </w:t>
            </w:r>
            <w:r w:rsidRPr="000E309B">
              <w:t xml:space="preserve">list </w:t>
            </w:r>
            <w:r w:rsidR="004D1C12">
              <w:t xml:space="preserve">is </w:t>
            </w:r>
            <w:r>
              <w:t xml:space="preserve">not </w:t>
            </w:r>
            <w:r w:rsidRPr="000E309B">
              <w:t>randomized, bias</w:t>
            </w:r>
            <w:r>
              <w:t xml:space="preserve"> likely</w:t>
            </w:r>
          </w:p>
        </w:tc>
      </w:tr>
      <w:tr w:rsidR="00184500" w14:paraId="048E9C7F" w14:textId="77777777" w:rsidTr="00FE3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300F9D28" w14:textId="6B4201CA" w:rsidR="00184500" w:rsidRDefault="00184500" w:rsidP="00DD6099">
            <w:r>
              <w:t>Stratified</w:t>
            </w:r>
          </w:p>
        </w:tc>
        <w:tc>
          <w:tcPr>
            <w:tcW w:w="3353" w:type="dxa"/>
          </w:tcPr>
          <w:p w14:paraId="620CDDEC" w14:textId="7E0B9723" w:rsidR="00184500" w:rsidRPr="000E309B" w:rsidRDefault="00184500"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Avoids bias sometimes</w:t>
            </w:r>
            <w:r w:rsidR="00896CF7">
              <w:t xml:space="preserve"> </w:t>
            </w:r>
            <w:r>
              <w:t>caused by random</w:t>
            </w:r>
          </w:p>
        </w:tc>
        <w:tc>
          <w:tcPr>
            <w:tcW w:w="4461" w:type="dxa"/>
          </w:tcPr>
          <w:p w14:paraId="4C7D235A" w14:textId="77777777" w:rsidR="00184500" w:rsidRDefault="00896CF7"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Takes time and resources</w:t>
            </w:r>
          </w:p>
          <w:p w14:paraId="22AA9122" w14:textId="0EDED112" w:rsidR="00896CF7" w:rsidRPr="000E309B" w:rsidRDefault="00896CF7"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All population characteristics must be accounted for</w:t>
            </w:r>
          </w:p>
        </w:tc>
      </w:tr>
      <w:tr w:rsidR="00327793" w14:paraId="0A7B4CE8" w14:textId="77777777" w:rsidTr="00FE3C0A">
        <w:tc>
          <w:tcPr>
            <w:cnfStyle w:val="001000000000" w:firstRow="0" w:lastRow="0" w:firstColumn="1" w:lastColumn="0" w:oddVBand="0" w:evenVBand="0" w:oddHBand="0" w:evenHBand="0" w:firstRowFirstColumn="0" w:firstRowLastColumn="0" w:lastRowFirstColumn="0" w:lastRowLastColumn="0"/>
            <w:tcW w:w="1536" w:type="dxa"/>
          </w:tcPr>
          <w:p w14:paraId="5F68FCCA" w14:textId="48BC894D" w:rsidR="00327793" w:rsidRDefault="00327793" w:rsidP="00DD6099">
            <w:r>
              <w:t>Cluster</w:t>
            </w:r>
          </w:p>
        </w:tc>
        <w:tc>
          <w:tcPr>
            <w:tcW w:w="3353" w:type="dxa"/>
          </w:tcPr>
          <w:p w14:paraId="2ED90427" w14:textId="77777777" w:rsidR="00327793" w:rsidRDefault="00327793"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Decreased chance for bias</w:t>
            </w:r>
          </w:p>
          <w:p w14:paraId="59B6C047" w14:textId="57FF2FF8" w:rsidR="00327793" w:rsidRDefault="00327793"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Can sample geographically diverse regions</w:t>
            </w:r>
          </w:p>
        </w:tc>
        <w:tc>
          <w:tcPr>
            <w:tcW w:w="4461" w:type="dxa"/>
          </w:tcPr>
          <w:p w14:paraId="4F917E3E" w14:textId="77777777" w:rsidR="00327793" w:rsidRDefault="00AC6FFF"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Time-consuming</w:t>
            </w:r>
          </w:p>
          <w:p w14:paraId="52FB370A" w14:textId="7F610461" w:rsidR="00AC6FFF" w:rsidRDefault="00AC6FFF"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Difficult to set up</w:t>
            </w:r>
          </w:p>
        </w:tc>
      </w:tr>
      <w:tr w:rsidR="00AC6FFF" w14:paraId="46DC6387" w14:textId="77777777" w:rsidTr="00FE3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1C69CBA6" w14:textId="75B01376" w:rsidR="00AC6FFF" w:rsidRDefault="003C131A" w:rsidP="00DD6099">
            <w:r>
              <w:t>Matched Pair</w:t>
            </w:r>
          </w:p>
        </w:tc>
        <w:tc>
          <w:tcPr>
            <w:tcW w:w="3353" w:type="dxa"/>
          </w:tcPr>
          <w:p w14:paraId="21B66D15" w14:textId="5B1A725B" w:rsidR="00AC6FFF" w:rsidRDefault="003B12EC"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Improves validity, especially for comparison studies</w:t>
            </w:r>
          </w:p>
        </w:tc>
        <w:tc>
          <w:tcPr>
            <w:tcW w:w="4461" w:type="dxa"/>
          </w:tcPr>
          <w:p w14:paraId="6E8386EF" w14:textId="5E99F9FE" w:rsidR="00AC6FFF" w:rsidRDefault="003B12EC"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Difficult to find matching pairs</w:t>
            </w:r>
          </w:p>
        </w:tc>
      </w:tr>
      <w:tr w:rsidR="003B12EC" w14:paraId="131E233D" w14:textId="77777777" w:rsidTr="00FE3C0A">
        <w:tc>
          <w:tcPr>
            <w:cnfStyle w:val="001000000000" w:firstRow="0" w:lastRow="0" w:firstColumn="1" w:lastColumn="0" w:oddVBand="0" w:evenVBand="0" w:oddHBand="0" w:evenHBand="0" w:firstRowFirstColumn="0" w:firstRowLastColumn="0" w:lastRowFirstColumn="0" w:lastRowLastColumn="0"/>
            <w:tcW w:w="1536" w:type="dxa"/>
          </w:tcPr>
          <w:p w14:paraId="5CF2F096" w14:textId="3741951C" w:rsidR="003B12EC" w:rsidRDefault="003B12EC" w:rsidP="00DD6099">
            <w:r>
              <w:t>Multistage</w:t>
            </w:r>
          </w:p>
        </w:tc>
        <w:tc>
          <w:tcPr>
            <w:tcW w:w="3353" w:type="dxa"/>
          </w:tcPr>
          <w:p w14:paraId="3A5FE0F7" w14:textId="76B477AD" w:rsidR="003B12EC" w:rsidRDefault="00A6055C"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A t</w:t>
            </w:r>
            <w:r w:rsidR="003B12EC">
              <w:t xml:space="preserve">horough sampling of </w:t>
            </w:r>
            <w:r>
              <w:t xml:space="preserve">a </w:t>
            </w:r>
            <w:r w:rsidR="003B12EC">
              <w:t>population</w:t>
            </w:r>
          </w:p>
          <w:p w14:paraId="6F0483F4" w14:textId="04600CEE" w:rsidR="003B12EC" w:rsidRDefault="003B12EC"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 xml:space="preserve">Can drill down to </w:t>
            </w:r>
            <w:r w:rsidR="00A6055C">
              <w:t xml:space="preserve">the </w:t>
            </w:r>
            <w:r>
              <w:t>target in a population</w:t>
            </w:r>
          </w:p>
        </w:tc>
        <w:tc>
          <w:tcPr>
            <w:tcW w:w="4461" w:type="dxa"/>
          </w:tcPr>
          <w:p w14:paraId="7DCAA318" w14:textId="77777777" w:rsidR="003B12EC" w:rsidRDefault="00FC580C"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Difficult to set up</w:t>
            </w:r>
          </w:p>
          <w:p w14:paraId="1B472333" w14:textId="462C6D8F" w:rsidR="00FC580C" w:rsidRDefault="00A6055C"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A r</w:t>
            </w:r>
            <w:r w:rsidR="00FC580C">
              <w:t xml:space="preserve">esearcher must </w:t>
            </w:r>
            <w:r>
              <w:t>be</w:t>
            </w:r>
            <w:r w:rsidR="00FC580C">
              <w:t xml:space="preserve"> skill</w:t>
            </w:r>
            <w:r>
              <w:t>ed</w:t>
            </w:r>
            <w:r w:rsidR="00FC580C">
              <w:t xml:space="preserve"> in all sampling methods used</w:t>
            </w:r>
          </w:p>
        </w:tc>
      </w:tr>
      <w:tr w:rsidR="00FC580C" w14:paraId="3630EA6D" w14:textId="77777777" w:rsidTr="00FE3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7DB61E5C" w14:textId="092E45DF" w:rsidR="00FC580C" w:rsidRDefault="00FC580C" w:rsidP="00DD6099">
            <w:r>
              <w:t>Convenience</w:t>
            </w:r>
          </w:p>
        </w:tc>
        <w:tc>
          <w:tcPr>
            <w:tcW w:w="3353" w:type="dxa"/>
          </w:tcPr>
          <w:p w14:paraId="4EB7A3EF" w14:textId="533318C5" w:rsidR="00FC580C" w:rsidRDefault="00FC580C"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Easy and inexpensive</w:t>
            </w:r>
          </w:p>
        </w:tc>
        <w:tc>
          <w:tcPr>
            <w:tcW w:w="4461" w:type="dxa"/>
          </w:tcPr>
          <w:p w14:paraId="7618F30B" w14:textId="277FC449" w:rsidR="00FC580C" w:rsidRDefault="00FC580C"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Sample subject to bias</w:t>
            </w:r>
          </w:p>
        </w:tc>
      </w:tr>
      <w:tr w:rsidR="00FC580C" w14:paraId="61D1886F" w14:textId="77777777" w:rsidTr="00FE3C0A">
        <w:tc>
          <w:tcPr>
            <w:cnfStyle w:val="001000000000" w:firstRow="0" w:lastRow="0" w:firstColumn="1" w:lastColumn="0" w:oddVBand="0" w:evenVBand="0" w:oddHBand="0" w:evenHBand="0" w:firstRowFirstColumn="0" w:firstRowLastColumn="0" w:lastRowFirstColumn="0" w:lastRowLastColumn="0"/>
            <w:tcW w:w="1536" w:type="dxa"/>
          </w:tcPr>
          <w:p w14:paraId="7F0C11A9" w14:textId="23F9D877" w:rsidR="00FC580C" w:rsidRDefault="00FC580C" w:rsidP="00DD6099">
            <w:r>
              <w:t>Quota</w:t>
            </w:r>
          </w:p>
        </w:tc>
        <w:tc>
          <w:tcPr>
            <w:tcW w:w="3353" w:type="dxa"/>
          </w:tcPr>
          <w:p w14:paraId="0D0E7C1B" w14:textId="53BC1022" w:rsidR="00FC580C" w:rsidRDefault="00FC580C"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Assures samples from all target population groups</w:t>
            </w:r>
          </w:p>
        </w:tc>
        <w:tc>
          <w:tcPr>
            <w:tcW w:w="4461" w:type="dxa"/>
          </w:tcPr>
          <w:p w14:paraId="7FBBC716" w14:textId="45B0E9BA" w:rsidR="00FC580C" w:rsidRDefault="00C211F8"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Prone to bias</w:t>
            </w:r>
          </w:p>
        </w:tc>
      </w:tr>
      <w:tr w:rsidR="00C211F8" w14:paraId="779B3261" w14:textId="77777777" w:rsidTr="00FE3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1C6A041D" w14:textId="56054FE6" w:rsidR="00C211F8" w:rsidRDefault="00C211F8" w:rsidP="00DD6099">
            <w:r>
              <w:t>Snowball</w:t>
            </w:r>
          </w:p>
        </w:tc>
        <w:tc>
          <w:tcPr>
            <w:tcW w:w="3353" w:type="dxa"/>
          </w:tcPr>
          <w:p w14:paraId="2A2C9478" w14:textId="798B027A" w:rsidR="00C211F8" w:rsidRDefault="00A6055C"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A t</w:t>
            </w:r>
            <w:r w:rsidR="00C211F8">
              <w:t xml:space="preserve">horough sampling of </w:t>
            </w:r>
            <w:r>
              <w:t xml:space="preserve">a </w:t>
            </w:r>
            <w:r w:rsidR="00C211F8">
              <w:t>population</w:t>
            </w:r>
          </w:p>
        </w:tc>
        <w:tc>
          <w:tcPr>
            <w:tcW w:w="4461" w:type="dxa"/>
          </w:tcPr>
          <w:p w14:paraId="0B488176" w14:textId="1BE2CEBA" w:rsidR="00C211F8" w:rsidRDefault="00C211F8"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Time-consuming and challenging to complete</w:t>
            </w:r>
          </w:p>
        </w:tc>
      </w:tr>
      <w:tr w:rsidR="00C211F8" w14:paraId="341FF534" w14:textId="77777777" w:rsidTr="00FE3C0A">
        <w:tc>
          <w:tcPr>
            <w:cnfStyle w:val="001000000000" w:firstRow="0" w:lastRow="0" w:firstColumn="1" w:lastColumn="0" w:oddVBand="0" w:evenVBand="0" w:oddHBand="0" w:evenHBand="0" w:firstRowFirstColumn="0" w:firstRowLastColumn="0" w:lastRowFirstColumn="0" w:lastRowLastColumn="0"/>
            <w:tcW w:w="1536" w:type="dxa"/>
          </w:tcPr>
          <w:p w14:paraId="2A5C7101" w14:textId="7B924FBC" w:rsidR="00C211F8" w:rsidRDefault="00C211F8" w:rsidP="00DD6099">
            <w:r>
              <w:t>Purposive</w:t>
            </w:r>
          </w:p>
        </w:tc>
        <w:tc>
          <w:tcPr>
            <w:tcW w:w="3353" w:type="dxa"/>
          </w:tcPr>
          <w:p w14:paraId="3767EEB5" w14:textId="63D66F50" w:rsidR="00C211F8" w:rsidRDefault="00C211F8"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Samples the best possible subjects in the population</w:t>
            </w:r>
          </w:p>
        </w:tc>
        <w:tc>
          <w:tcPr>
            <w:tcW w:w="4461" w:type="dxa"/>
          </w:tcPr>
          <w:p w14:paraId="293D6A33" w14:textId="7F92B4FE" w:rsidR="00C211F8" w:rsidRDefault="00C211F8" w:rsidP="003126FA">
            <w:pPr>
              <w:pStyle w:val="NoSpacing"/>
              <w:numPr>
                <w:ilvl w:val="0"/>
                <w:numId w:val="428"/>
              </w:numPr>
              <w:ind w:left="144" w:hanging="144"/>
              <w:cnfStyle w:val="000000000000" w:firstRow="0" w:lastRow="0" w:firstColumn="0" w:lastColumn="0" w:oddVBand="0" w:evenVBand="0" w:oddHBand="0" w:evenHBand="0" w:firstRowFirstColumn="0" w:firstRowLastColumn="0" w:lastRowFirstColumn="0" w:lastRowLastColumn="0"/>
            </w:pPr>
            <w:r>
              <w:t>Prone to bias</w:t>
            </w:r>
          </w:p>
        </w:tc>
      </w:tr>
      <w:tr w:rsidR="00C211F8" w14:paraId="472864BC" w14:textId="77777777" w:rsidTr="00FE3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6" w:type="dxa"/>
          </w:tcPr>
          <w:p w14:paraId="1EF0C77F" w14:textId="0F714FD8" w:rsidR="00C211F8" w:rsidRDefault="00C211F8" w:rsidP="00DD6099">
            <w:r>
              <w:t>Expert</w:t>
            </w:r>
          </w:p>
        </w:tc>
        <w:tc>
          <w:tcPr>
            <w:tcW w:w="3353" w:type="dxa"/>
          </w:tcPr>
          <w:p w14:paraId="16221F91" w14:textId="31B641C7" w:rsidR="00C211F8" w:rsidRDefault="00C211F8"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Provides potentially better responses</w:t>
            </w:r>
          </w:p>
        </w:tc>
        <w:tc>
          <w:tcPr>
            <w:tcW w:w="4461" w:type="dxa"/>
          </w:tcPr>
          <w:p w14:paraId="238542C9" w14:textId="5E59C55B" w:rsidR="00C211F8" w:rsidRDefault="00EB1F06"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It c</w:t>
            </w:r>
            <w:r w:rsidR="003C131A">
              <w:t>an be difficult and expensive to find experts</w:t>
            </w:r>
          </w:p>
          <w:p w14:paraId="3621BBA4" w14:textId="059A72C0" w:rsidR="003C131A" w:rsidRDefault="00EB1F06" w:rsidP="003126FA">
            <w:pPr>
              <w:pStyle w:val="NoSpacing"/>
              <w:numPr>
                <w:ilvl w:val="0"/>
                <w:numId w:val="428"/>
              </w:numPr>
              <w:ind w:left="144" w:hanging="144"/>
              <w:cnfStyle w:val="000000100000" w:firstRow="0" w:lastRow="0" w:firstColumn="0" w:lastColumn="0" w:oddVBand="0" w:evenVBand="0" w:oddHBand="1" w:evenHBand="0" w:firstRowFirstColumn="0" w:firstRowLastColumn="0" w:lastRowFirstColumn="0" w:lastRowLastColumn="0"/>
            </w:pPr>
            <w:r>
              <w:t>It t</w:t>
            </w:r>
            <w:r w:rsidR="003C131A">
              <w:t>akes time to elicit responses</w:t>
            </w:r>
          </w:p>
        </w:tc>
      </w:tr>
    </w:tbl>
    <w:p w14:paraId="3AC89145" w14:textId="36E32FFD" w:rsidR="00024D5C" w:rsidRDefault="00F15411" w:rsidP="00F15411">
      <w:pPr>
        <w:pStyle w:val="Caption"/>
        <w:jc w:val="center"/>
      </w:pPr>
      <w:r>
        <w:t xml:space="preserve">Table </w:t>
      </w:r>
      <w:r w:rsidR="006D77BF">
        <w:fldChar w:fldCharType="begin"/>
      </w:r>
      <w:r w:rsidR="006D77BF">
        <w:instrText xml:space="preserve"> SEQ Table \* ARABIC </w:instrText>
      </w:r>
      <w:r w:rsidR="006D77BF">
        <w:fldChar w:fldCharType="separate"/>
      </w:r>
      <w:r w:rsidR="00980002">
        <w:rPr>
          <w:noProof/>
        </w:rPr>
        <w:t>6</w:t>
      </w:r>
      <w:r w:rsidR="006D77BF">
        <w:rPr>
          <w:noProof/>
        </w:rPr>
        <w:fldChar w:fldCharType="end"/>
      </w:r>
      <w:r>
        <w:t>: Summary of Sampling Techniques</w:t>
      </w:r>
    </w:p>
    <w:p w14:paraId="5327D44C" w14:textId="0F93F91D" w:rsidR="00A626FE" w:rsidRDefault="00D25E28" w:rsidP="00D25E28">
      <w:pPr>
        <w:pStyle w:val="Heading3"/>
      </w:pPr>
      <w:bookmarkStart w:id="110" w:name="_Toc169156739"/>
      <w:r>
        <w:t>S</w:t>
      </w:r>
      <w:r w:rsidR="00D14B33" w:rsidRPr="000E309B">
        <w:t xml:space="preserve">tatistics of </w:t>
      </w:r>
      <w:r>
        <w:t>S</w:t>
      </w:r>
      <w:r w:rsidR="00D14B33" w:rsidRPr="000E309B">
        <w:t>ampling</w:t>
      </w:r>
      <w:bookmarkEnd w:id="110"/>
    </w:p>
    <w:p w14:paraId="589D3FA4" w14:textId="01D26071" w:rsidR="00232D3E" w:rsidRDefault="00B25F14" w:rsidP="001E55A6">
      <w:r>
        <w:t>The concepts of population, sample, parameters, and statistics can seem like a dry and confusing alphabet soup at first glance. However, understanding these terms is crucial for navigating the world of research. Let's break down these concepts and explore how they work together in a research project.</w:t>
      </w:r>
    </w:p>
    <w:p w14:paraId="34A00ABB" w14:textId="4E2ED1CA" w:rsidR="00232D3E" w:rsidRDefault="003A19C6" w:rsidP="001E55A6">
      <w:r>
        <w:t>Imagine you're conducting a survey about a popular fast-food chain. Your dataset might look something like the one shown in the figure below. Each column represents a different attribute, like customer ID, store number, purchase details</w:t>
      </w:r>
      <w:r w:rsidR="00485A83">
        <w:t xml:space="preserve"> (using an in-house code)</w:t>
      </w:r>
      <w:r>
        <w:t>, and answers to four questions (Q1-Q4). The green column represents all responses to a single question (Q1), while the blue row represents all responses from a single customer.</w:t>
      </w:r>
    </w:p>
    <w:p w14:paraId="0AFAA499" w14:textId="6A17B474" w:rsidR="00452AAA" w:rsidRDefault="00452AAA" w:rsidP="00452AAA">
      <w:pPr>
        <w:pStyle w:val="NoSpacing"/>
      </w:pPr>
      <w:r w:rsidRPr="000E309B">
        <w:rPr>
          <w:noProof/>
        </w:rPr>
        <w:lastRenderedPageBreak/>
        <w:drawing>
          <wp:anchor distT="0" distB="0" distL="114300" distR="114300" simplePos="0" relativeHeight="251680852" behindDoc="0" locked="0" layoutInCell="1" allowOverlap="1" wp14:anchorId="5327DDEB" wp14:editId="095D550C">
            <wp:simplePos x="0" y="0"/>
            <wp:positionH relativeFrom="column">
              <wp:align>center</wp:align>
            </wp:positionH>
            <wp:positionV relativeFrom="paragraph">
              <wp:posOffset>0</wp:posOffset>
            </wp:positionV>
            <wp:extent cx="3648456" cy="1298448"/>
            <wp:effectExtent l="0" t="0" r="0" b="0"/>
            <wp:wrapTopAndBottom/>
            <wp:docPr id="11842" name="Picture 11842"/>
            <wp:cNvGraphicFramePr/>
            <a:graphic xmlns:a="http://schemas.openxmlformats.org/drawingml/2006/main">
              <a:graphicData uri="http://schemas.openxmlformats.org/drawingml/2006/picture">
                <pic:pic xmlns:pic="http://schemas.openxmlformats.org/drawingml/2006/picture">
                  <pic:nvPicPr>
                    <pic:cNvPr id="11842" name="Picture 11842"/>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648456" cy="1298448"/>
                    </a:xfrm>
                    <a:prstGeom prst="rect">
                      <a:avLst/>
                    </a:prstGeom>
                  </pic:spPr>
                </pic:pic>
              </a:graphicData>
            </a:graphic>
            <wp14:sizeRelH relativeFrom="margin">
              <wp14:pctWidth>0</wp14:pctWidth>
            </wp14:sizeRelH>
            <wp14:sizeRelV relativeFrom="margin">
              <wp14:pctHeight>0</wp14:pctHeight>
            </wp14:sizeRelV>
          </wp:anchor>
        </w:drawing>
      </w:r>
    </w:p>
    <w:p w14:paraId="76A37791" w14:textId="18660F6E" w:rsidR="00232D3E" w:rsidRDefault="00E65C78" w:rsidP="001E55A6">
      <w:r>
        <w:t xml:space="preserve">A single piece of information collected from a survey, such as a customer's answer to question Q2, is called a response. Different customers will likely provide different responses, which can be analyzed in various ways. If a question </w:t>
      </w:r>
      <w:r w:rsidR="003D0BFC">
        <w:t>contains</w:t>
      </w:r>
      <w:r>
        <w:t xml:space="preserve"> nominal data (i.e., data in categories), like Q2 with options A, B, C, or D, we can create a frequency distribution based on how often each response occurs. This might look like the figure below:</w:t>
      </w:r>
    </w:p>
    <w:p w14:paraId="6D5DCE1D" w14:textId="7C6E6EB3" w:rsidR="00452AAA" w:rsidRDefault="007E3539" w:rsidP="007E3539">
      <w:pPr>
        <w:pStyle w:val="NoSpacing"/>
      </w:pPr>
      <w:r>
        <w:rPr>
          <w:noProof/>
        </w:rPr>
        <mc:AlternateContent>
          <mc:Choice Requires="wps">
            <w:drawing>
              <wp:anchor distT="0" distB="0" distL="114300" distR="114300" simplePos="0" relativeHeight="252006484" behindDoc="0" locked="0" layoutInCell="1" allowOverlap="1" wp14:anchorId="3399CEC7" wp14:editId="5B82E65F">
                <wp:simplePos x="0" y="0"/>
                <wp:positionH relativeFrom="column">
                  <wp:posOffset>951230</wp:posOffset>
                </wp:positionH>
                <wp:positionV relativeFrom="paragraph">
                  <wp:posOffset>2416175</wp:posOffset>
                </wp:positionV>
                <wp:extent cx="4041140" cy="635"/>
                <wp:effectExtent l="0" t="0" r="0" b="0"/>
                <wp:wrapTopAndBottom/>
                <wp:docPr id="1053955848" name="Text Box 1"/>
                <wp:cNvGraphicFramePr/>
                <a:graphic xmlns:a="http://schemas.openxmlformats.org/drawingml/2006/main">
                  <a:graphicData uri="http://schemas.microsoft.com/office/word/2010/wordprocessingShape">
                    <wps:wsp>
                      <wps:cNvSpPr txBox="1"/>
                      <wps:spPr>
                        <a:xfrm>
                          <a:off x="0" y="0"/>
                          <a:ext cx="4041140" cy="635"/>
                        </a:xfrm>
                        <a:prstGeom prst="rect">
                          <a:avLst/>
                        </a:prstGeom>
                        <a:solidFill>
                          <a:prstClr val="white"/>
                        </a:solidFill>
                        <a:ln>
                          <a:noFill/>
                        </a:ln>
                      </wps:spPr>
                      <wps:txbx>
                        <w:txbxContent>
                          <w:p w14:paraId="6BF33992" w14:textId="20754D84" w:rsidR="007E3539" w:rsidRPr="00D04936" w:rsidRDefault="007E3539" w:rsidP="007E3539">
                            <w:pPr>
                              <w:pStyle w:val="Caption"/>
                              <w:jc w:val="center"/>
                              <w:rPr>
                                <w:noProof/>
                              </w:rPr>
                            </w:pPr>
                            <w:r>
                              <w:t xml:space="preserve">Figure </w:t>
                            </w:r>
                            <w:r>
                              <w:fldChar w:fldCharType="begin"/>
                            </w:r>
                            <w:r>
                              <w:instrText xml:space="preserve"> SEQ Figure \* ARABIC </w:instrText>
                            </w:r>
                            <w:r>
                              <w:fldChar w:fldCharType="separate"/>
                            </w:r>
                            <w:r w:rsidR="00980002">
                              <w:rPr>
                                <w:noProof/>
                              </w:rPr>
                              <w:t>30</w:t>
                            </w:r>
                            <w:r>
                              <w:fldChar w:fldCharType="end"/>
                            </w:r>
                            <w:r>
                              <w:t>: Example Frequency Distribution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99CEC7" id="_x0000_s1101" type="#_x0000_t202" style="position:absolute;margin-left:74.9pt;margin-top:190.25pt;width:318.2pt;height:.05pt;z-index:2520064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" stroked="f">
                <v:textbox style="mso-fit-shape-to-text:t" inset="0,0,0,0">
                  <w:txbxContent>
                    <w:p w14:paraId="6BF33992" w14:textId="20754D84" w:rsidR="007E3539" w:rsidRPr="00D04936" w:rsidRDefault="007E3539" w:rsidP="007E3539">
                      <w:pPr>
                        <w:pStyle w:val="Caption"/>
                        <w:jc w:val="center"/>
                        <w:rPr>
                          <w:noProof/>
                        </w:rPr>
                      </w:pPr>
                      <w:r>
                        <w:t xml:space="preserve">Figure </w:t>
                      </w:r>
                      <w:r>
                        <w:fldChar w:fldCharType="begin"/>
                      </w:r>
                      <w:r>
                        <w:instrText xml:space="preserve"> SEQ Figure \* ARABIC </w:instrText>
                      </w:r>
                      <w:r>
                        <w:fldChar w:fldCharType="separate"/>
                      </w:r>
                      <w:r w:rsidR="00980002">
                        <w:rPr>
                          <w:noProof/>
                        </w:rPr>
                        <w:t>30</w:t>
                      </w:r>
                      <w:r>
                        <w:fldChar w:fldCharType="end"/>
                      </w:r>
                      <w:r>
                        <w:t>: Example Frequency Distribution</w:t>
                      </w:r>
                    </w:p>
                  </w:txbxContent>
                </v:textbox>
                <w10:wrap type="topAndBottom"/>
              </v:shape>
            </w:pict>
          </mc:Fallback>
        </mc:AlternateContent>
      </w:r>
      <w:r w:rsidR="009340E0" w:rsidRPr="000E309B">
        <w:rPr>
          <w:noProof/>
        </w:rPr>
        <w:drawing>
          <wp:anchor distT="0" distB="0" distL="114300" distR="114300" simplePos="0" relativeHeight="251683924" behindDoc="0" locked="0" layoutInCell="1" allowOverlap="1" wp14:anchorId="5327DDED" wp14:editId="35C2B3F5">
            <wp:simplePos x="0" y="0"/>
            <wp:positionH relativeFrom="column">
              <wp:align>center</wp:align>
            </wp:positionH>
            <wp:positionV relativeFrom="paragraph">
              <wp:posOffset>0</wp:posOffset>
            </wp:positionV>
            <wp:extent cx="4041648" cy="2359152"/>
            <wp:effectExtent l="0" t="0" r="0" b="3175"/>
            <wp:wrapTopAndBottom/>
            <wp:docPr id="11877" name="Picture 11877"/>
            <wp:cNvGraphicFramePr/>
            <a:graphic xmlns:a="http://schemas.openxmlformats.org/drawingml/2006/main">
              <a:graphicData uri="http://schemas.openxmlformats.org/drawingml/2006/picture">
                <pic:pic xmlns:pic="http://schemas.openxmlformats.org/drawingml/2006/picture">
                  <pic:nvPicPr>
                    <pic:cNvPr id="11877" name="Picture 11877"/>
                    <pic:cNvPicPr/>
                  </pic:nvPicPr>
                  <pic:blipFill>
                    <a:blip r:embed="rId221">
                      <a:extLst>
                        <a:ext uri="{28A0092B-C50C-407E-A947-70E740481C1C}">
                          <a14:useLocalDpi xmlns:a14="http://schemas.microsoft.com/office/drawing/2010/main" val="0"/>
                        </a:ext>
                      </a:extLst>
                    </a:blip>
                    <a:stretch>
                      <a:fillRect/>
                    </a:stretch>
                  </pic:blipFill>
                  <pic:spPr>
                    <a:xfrm>
                      <a:off x="0" y="0"/>
                      <a:ext cx="4041648" cy="2359152"/>
                    </a:xfrm>
                    <a:prstGeom prst="rect">
                      <a:avLst/>
                    </a:prstGeom>
                  </pic:spPr>
                </pic:pic>
              </a:graphicData>
            </a:graphic>
            <wp14:sizeRelH relativeFrom="margin">
              <wp14:pctWidth>0</wp14:pctWidth>
            </wp14:sizeRelH>
            <wp14:sizeRelV relativeFrom="margin">
              <wp14:pctHeight>0</wp14:pctHeight>
            </wp14:sizeRelV>
          </wp:anchor>
        </w:drawing>
      </w:r>
    </w:p>
    <w:p w14:paraId="40127551" w14:textId="2078058B" w:rsidR="00907DCA" w:rsidRDefault="00907DCA" w:rsidP="001E55A6">
      <w:r>
        <w:t xml:space="preserve">Keep in mind that the data in the figures represents only a sample of all the customers who visit this fast-food chain. The </w:t>
      </w:r>
      <w:r w:rsidRPr="0013276D">
        <w:rPr>
          <w:i/>
          <w:iCs/>
        </w:rPr>
        <w:t>population</w:t>
      </w:r>
      <w:r>
        <w:t xml:space="preserve"> refers to the entire group of people or entities that you want to study and draw conclusions about. In this case, the population is all customers who have visited or might visit the fast-food chain.</w:t>
      </w:r>
    </w:p>
    <w:p w14:paraId="1F2B7653" w14:textId="77777777" w:rsidR="00907DCA" w:rsidRDefault="00907DCA" w:rsidP="001E55A6">
      <w:r>
        <w:t>A parameter is a summary measure that describes a characteristic of the population. For example, the true proportion of all customers who would select option A for Q2 is a parameter. Since it's often impractical or impossible to collect data from every member of the population, researchers typically rely on samples to estimate these population parameters.</w:t>
      </w:r>
    </w:p>
    <w:p w14:paraId="52714B42" w14:textId="61671615" w:rsidR="00232D3E" w:rsidRDefault="00907DCA" w:rsidP="001E55A6">
      <w:r>
        <w:t>A sample statistic is a summary measure calculated from the sample data that helps estimate the corresponding population parameter. In our example, the proportion of customers in the sample who selected option A for Q2 would be a sample statistic. The goal is to use this sample statistic to make inferences about the population parameter.</w:t>
      </w:r>
    </w:p>
    <w:p w14:paraId="265CB4C6" w14:textId="74A7A43C" w:rsidR="00232D3E" w:rsidRDefault="00E16BBE" w:rsidP="001E55A6">
      <w:r>
        <w:lastRenderedPageBreak/>
        <w:t>However, samples aren't perfect representations of the population, so there's always some degree of sampling error or bias. Sampling bias refers to the systematic over- or under-representation of certain segments of the population in the sample.</w:t>
      </w:r>
      <w:r w:rsidR="00C96126">
        <w:t xml:space="preserve"> For example, if the survey were only conducted during lunch hours</w:t>
      </w:r>
      <w:r w:rsidR="00EF5960">
        <w:t>,</w:t>
      </w:r>
      <w:r w:rsidR="00C96126">
        <w:t xml:space="preserve"> then the sample would be heavily tilted toward </w:t>
      </w:r>
      <w:r w:rsidR="00EF5960">
        <w:t>businesspeople</w:t>
      </w:r>
      <w:r w:rsidR="00C96126">
        <w:t xml:space="preserve"> and miss </w:t>
      </w:r>
      <w:r w:rsidR="00EF5960">
        <w:t>retirees</w:t>
      </w:r>
      <w:r w:rsidR="00C96126">
        <w:t xml:space="preserve"> who </w:t>
      </w:r>
      <w:r w:rsidR="00EF5960">
        <w:t>may</w:t>
      </w:r>
      <w:r w:rsidR="00C96126">
        <w:t xml:space="preserve"> </w:t>
      </w:r>
      <w:r w:rsidR="00EF5960">
        <w:t>eat at different hours.</w:t>
      </w:r>
      <w:r>
        <w:t xml:space="preserve"> To minimize sampling bias, researchers must carefully design their studies and collect data.</w:t>
      </w:r>
    </w:p>
    <w:p w14:paraId="1D036803" w14:textId="49B058FD" w:rsidR="003C7C61" w:rsidRDefault="00AE3584" w:rsidP="001E55A6">
      <w:r>
        <w:t xml:space="preserve">When a sample has many responses, the frequency distribution often resembles a normal distribution, which can be used to estimate the overall characteristics of the entire sample. For continuous data, such as measurements, various descriptive statistics can be calculated, including the sample mean and standard deviation. These sample estimates are called </w:t>
      </w:r>
      <w:r w:rsidRPr="00AE3584">
        <w:rPr>
          <w:i/>
          <w:iCs/>
        </w:rPr>
        <w:t>sample statistics</w:t>
      </w:r>
      <w:r>
        <w:t>.</w:t>
      </w:r>
    </w:p>
    <w:p w14:paraId="49A55872" w14:textId="555A0914" w:rsidR="003C7C61" w:rsidRDefault="009C0B08" w:rsidP="001E55A6">
      <w:r>
        <w:t xml:space="preserve">Populations also have means and standard deviations, which could be obtained if the entire population could be sampled. However, since it's usually impractical or impossible to sample the entire population, population characteristics remain unknown and are called </w:t>
      </w:r>
      <w:r w:rsidRPr="00DB597A">
        <w:rPr>
          <w:i/>
          <w:iCs/>
        </w:rPr>
        <w:t>population parameters</w:t>
      </w:r>
      <w:r>
        <w:t xml:space="preserve">. Sample statistics may differ from population parameters if the sample is not perfectly representative of the population. For example, the sample mean might be 45 while the population mean (the parameter) is 48. The difference between the two is called </w:t>
      </w:r>
      <w:r w:rsidRPr="00DB597A">
        <w:rPr>
          <w:i/>
          <w:iCs/>
        </w:rPr>
        <w:t>sampling error</w:t>
      </w:r>
      <w:r>
        <w:t>.</w:t>
      </w:r>
    </w:p>
    <w:p w14:paraId="5BAAFB01" w14:textId="29E1C079" w:rsidR="003C7C61" w:rsidRDefault="00AF07FB" w:rsidP="001E55A6">
      <w:r>
        <w:t>In an ideal scenario, where a sample is truly representative of the population, the estimated sample statistics would be identical to the corresponding population parameters. However, in most cases, researchers rely on the concept of a sampling distribution to estimate how closely the sample statistics align with the population parameters.</w:t>
      </w:r>
    </w:p>
    <w:p w14:paraId="37768F3C" w14:textId="5141D31F" w:rsidR="003B5FD9" w:rsidRDefault="003B5FD9" w:rsidP="001E55A6">
      <w:r w:rsidRPr="0077570C">
        <w:rPr>
          <w:b/>
          <w:bCs/>
          <w:noProof/>
        </w:rPr>
        <w:drawing>
          <wp:anchor distT="0" distB="0" distL="114300" distR="114300" simplePos="0" relativeHeight="251686996" behindDoc="1" locked="0" layoutInCell="1" allowOverlap="1" wp14:anchorId="5327DDEF" wp14:editId="2ACAB798">
            <wp:simplePos x="0" y="0"/>
            <wp:positionH relativeFrom="column">
              <wp:align>right</wp:align>
            </wp:positionH>
            <wp:positionV relativeFrom="paragraph">
              <wp:posOffset>0</wp:posOffset>
            </wp:positionV>
            <wp:extent cx="2743200" cy="2286000"/>
            <wp:effectExtent l="0" t="0" r="0" b="0"/>
            <wp:wrapSquare wrapText="bothSides"/>
            <wp:docPr id="11929" name="Picture 11929"/>
            <wp:cNvGraphicFramePr/>
            <a:graphic xmlns:a="http://schemas.openxmlformats.org/drawingml/2006/main">
              <a:graphicData uri="http://schemas.openxmlformats.org/drawingml/2006/picture">
                <pic:pic xmlns:pic="http://schemas.openxmlformats.org/drawingml/2006/picture">
                  <pic:nvPicPr>
                    <pic:cNvPr id="11929" name="Picture 11929"/>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743200" cy="2286000"/>
                    </a:xfrm>
                    <a:prstGeom prst="rect">
                      <a:avLst/>
                    </a:prstGeom>
                  </pic:spPr>
                </pic:pic>
              </a:graphicData>
            </a:graphic>
            <wp14:sizeRelH relativeFrom="margin">
              <wp14:pctWidth>0</wp14:pctWidth>
            </wp14:sizeRelH>
            <wp14:sizeRelV relativeFrom="margin">
              <wp14:pctHeight>0</wp14:pctHeight>
            </wp14:sizeRelV>
          </wp:anchor>
        </w:drawing>
      </w:r>
      <w:r w:rsidR="00D9612A">
        <w:t xml:space="preserve">The figure </w:t>
      </w:r>
      <w:r w:rsidR="00342076">
        <w:t xml:space="preserve">on the right </w:t>
      </w:r>
      <w:r w:rsidR="00D9612A">
        <w:t>illustrates the data from a research project. Imagine that three different random samples are drawn from the population, and the mean and standard deviation are calculated for each sample. If each random sample was perfectly representative of the population, then the means and standard deviations from the three samples would be identical and equal to the population parameter. However, this is extremely unlikely since each random sample will constitute a different population subset, so their calculated statistics will be slightly different from each other.</w:t>
      </w:r>
    </w:p>
    <w:p w14:paraId="5327D45E" w14:textId="5A653414" w:rsidR="00A626FE" w:rsidRPr="000E309B" w:rsidRDefault="00D14B33" w:rsidP="001E55A6">
      <w:r w:rsidRPr="000E309B">
        <w:lastRenderedPageBreak/>
        <w:t xml:space="preserve">If the mean of </w:t>
      </w:r>
      <w:r w:rsidR="004354AF">
        <w:t xml:space="preserve">the means for </w:t>
      </w:r>
      <w:r w:rsidRPr="000E309B">
        <w:t xml:space="preserve">the </w:t>
      </w:r>
      <w:r w:rsidR="00AC42DA" w:rsidRPr="000E309B">
        <w:t>three</w:t>
      </w:r>
      <w:r w:rsidR="004354AF">
        <w:t xml:space="preserve"> </w:t>
      </w:r>
      <w:r w:rsidR="00AC42DA" w:rsidRPr="000E309B">
        <w:t>sample</w:t>
      </w:r>
      <w:r w:rsidR="004354AF">
        <w:t>s</w:t>
      </w:r>
      <w:r w:rsidRPr="000E309B">
        <w:t xml:space="preserve"> is calculated</w:t>
      </w:r>
      <w:r w:rsidR="002E191A">
        <w:t>,</w:t>
      </w:r>
      <w:r w:rsidRPr="000E309B">
        <w:t xml:space="preserve"> then it would be possible to calculate the variability (or spread) of those means</w:t>
      </w:r>
      <w:r w:rsidR="002E191A">
        <w:t>,</w:t>
      </w:r>
      <w:r w:rsidRPr="000E309B">
        <w:t xml:space="preserve"> and that calculation is called the standard error of the mean. </w:t>
      </w:r>
      <w:r w:rsidR="005532BA">
        <w:t>In this case,</w:t>
      </w:r>
      <w:r w:rsidR="00A53721">
        <w:t xml:space="preserve"> </w:t>
      </w:r>
      <w:r w:rsidRPr="000E309B">
        <w:t>the standard error of the mean for</w:t>
      </w:r>
      <w:r w:rsidR="00D711A5">
        <w:t xml:space="preserve"> the figure</w:t>
      </w:r>
      <w:r w:rsidRPr="000E309B">
        <w:t xml:space="preserve"> is 0.11</w:t>
      </w:r>
      <w:r w:rsidR="000C216B">
        <w:t>5</w:t>
      </w:r>
      <w:r w:rsidR="000C216B">
        <w:rPr>
          <w:rStyle w:val="FootnoteReference"/>
        </w:rPr>
        <w:footnoteReference w:id="9"/>
      </w:r>
      <w:r w:rsidRPr="000E309B">
        <w:t>.</w:t>
      </w:r>
    </w:p>
    <w:p w14:paraId="5327D45F" w14:textId="3B94A575" w:rsidR="00A626FE" w:rsidRPr="000E309B" w:rsidRDefault="00D14B33" w:rsidP="001E55A6">
      <w:r w:rsidRPr="000E309B">
        <w:t>As the number of samples drawn from the population increases</w:t>
      </w:r>
      <w:r w:rsidR="000C216B">
        <w:t>,</w:t>
      </w:r>
      <w:r w:rsidRPr="000E309B">
        <w:t xml:space="preserve"> the variance between the means of those samples tends to decrease</w:t>
      </w:r>
      <w:r w:rsidR="000C216B">
        <w:t>,</w:t>
      </w:r>
      <w:r w:rsidRPr="000E309B">
        <w:t xml:space="preserve"> and they approach the mean of the entire population. Also, as the number of samples increases</w:t>
      </w:r>
      <w:r w:rsidR="002D30EA">
        <w:t>,</w:t>
      </w:r>
      <w:r w:rsidRPr="000E309B">
        <w:t xml:space="preserve"> the standard error of the mean decreases and approaches zero. The mean value of a sample is presumed to be an estimate of the population parameter</w:t>
      </w:r>
      <w:r w:rsidR="001A633E">
        <w:t>. The standard error of the mean makes it</w:t>
      </w:r>
      <w:r w:rsidRPr="000E309B">
        <w:t xml:space="preserve"> possible to estimate confidence intervals for how well the statistical mean predicts the population parameter. Since the standard error is </w:t>
      </w:r>
      <w:r w:rsidR="00A7369A" w:rsidRPr="000E309B">
        <w:t>like</w:t>
      </w:r>
      <w:r w:rsidRPr="000E309B">
        <w:t xml:space="preserve"> the standard deviation for a sample, it can be said that:</w:t>
      </w:r>
    </w:p>
    <w:p w14:paraId="5327D460" w14:textId="77777777" w:rsidR="00A626FE" w:rsidRPr="000E309B" w:rsidRDefault="00D14B33" w:rsidP="001E55A6">
      <w:pPr>
        <w:pStyle w:val="ListParagraph"/>
        <w:numPr>
          <w:ilvl w:val="0"/>
          <w:numId w:val="270"/>
        </w:numPr>
      </w:pPr>
      <w:r w:rsidRPr="000E309B">
        <w:t>(Sample statistic + one standard error) represents a 68% confidence interval for the population parameter.</w:t>
      </w:r>
    </w:p>
    <w:p w14:paraId="5327D461" w14:textId="77777777" w:rsidR="00A626FE" w:rsidRPr="000E309B" w:rsidRDefault="00D14B33" w:rsidP="001E55A6">
      <w:pPr>
        <w:pStyle w:val="ListParagraph"/>
        <w:numPr>
          <w:ilvl w:val="0"/>
          <w:numId w:val="270"/>
        </w:numPr>
      </w:pPr>
      <w:r w:rsidRPr="000E309B">
        <w:t>(Sample statistic + two standard errors) represents a 95% confidence interval for the population parameter.</w:t>
      </w:r>
    </w:p>
    <w:p w14:paraId="5327D462" w14:textId="77777777" w:rsidR="00A626FE" w:rsidRPr="000E309B" w:rsidRDefault="00D14B33" w:rsidP="001E55A6">
      <w:pPr>
        <w:pStyle w:val="ListParagraph"/>
        <w:numPr>
          <w:ilvl w:val="0"/>
          <w:numId w:val="270"/>
        </w:numPr>
      </w:pPr>
      <w:r w:rsidRPr="000E309B">
        <w:t>(Sample statistic + three standard errors) represents a 99% confidence interval for the population parameter.</w:t>
      </w:r>
    </w:p>
    <w:p w14:paraId="5327D463" w14:textId="50BA8739" w:rsidR="00A626FE" w:rsidRPr="000E309B" w:rsidRDefault="00D14B33" w:rsidP="00204A9D">
      <w:r w:rsidRPr="000E309B">
        <w:t>In</w:t>
      </w:r>
      <w:r w:rsidR="00496B38">
        <w:t xml:space="preserve"> the figure,</w:t>
      </w:r>
      <w:r w:rsidRPr="000E309B">
        <w:t xml:space="preserve"> the mean of the three samples is 2.5</w:t>
      </w:r>
      <w:r w:rsidR="00752278">
        <w:t>,</w:t>
      </w:r>
      <w:r w:rsidRPr="000E309B">
        <w:t xml:space="preserve"> and the standard error is 0.115. Therefore, any sample mean in the range of 2.385− 2.615 has a 68% chance of predicting the population mean, any sample mean in the range of 2.27−2.73 has a 95% chance of predicting the population mean, and any sample mean in the range of 2.155−2.845 has a 99% chance of predicting the population mean. Since sample one falls in the 95% confidence band</w:t>
      </w:r>
      <w:r w:rsidR="00DA0EB5">
        <w:t>,</w:t>
      </w:r>
      <w:r w:rsidRPr="000E309B">
        <w:t xml:space="preserve"> a researcher could predict that 2.3 (the mean of that sample) predicts the mean of the entire population with a 95% confidence level.</w:t>
      </w:r>
    </w:p>
    <w:p w14:paraId="5327D464" w14:textId="6C44F7FA" w:rsidR="00A626FE" w:rsidRPr="000E309B" w:rsidRDefault="00D1778D" w:rsidP="00D1778D">
      <w:pPr>
        <w:pStyle w:val="Heading3"/>
      </w:pPr>
      <w:bookmarkStart w:id="111" w:name="_Toc169156740"/>
      <w:r>
        <w:t>S</w:t>
      </w:r>
      <w:r w:rsidR="00D14B33" w:rsidRPr="000E309B">
        <w:t xml:space="preserve">ample </w:t>
      </w:r>
      <w:r>
        <w:t>S</w:t>
      </w:r>
      <w:r w:rsidR="00D14B33" w:rsidRPr="000E309B">
        <w:t>ize</w:t>
      </w:r>
      <w:bookmarkEnd w:id="111"/>
    </w:p>
    <w:p w14:paraId="324A4AF4" w14:textId="77777777" w:rsidR="00131E52" w:rsidRDefault="00131E52" w:rsidP="00131E52">
      <w:r>
        <w:t>When designing a research study, one of the first decisions researchers must make is determining the appropriate sample size. The sample size refers to the number of observations or participants needed to accurately represent the population of interest. Generally, larger samples provide a more precise representation of the population and allow for more robust statistical analyses. However, determining the optimal sample size is not always straightforward, as it involves balancing accuracy with practicality.</w:t>
      </w:r>
    </w:p>
    <w:p w14:paraId="5B7496FD" w14:textId="77777777" w:rsidR="00131E52" w:rsidRDefault="00131E52" w:rsidP="00E24830">
      <w:r>
        <w:t xml:space="preserve">A common misconception is that a sample size of 30 is sufficient for most studies. While this rule of thumb may work for small-scale classroom projects, it is an oversimplification that does not apply to most real-world research scenarios. Choosing a sample size that is too small may result in excluding important subgroups within the population, leading to biased or inaccurate conclusions. </w:t>
      </w:r>
      <w:r>
        <w:lastRenderedPageBreak/>
        <w:t>On the other hand, selecting an excessively large sample size can make the study unwieldy and resource-intensive for the researcher.</w:t>
      </w:r>
    </w:p>
    <w:p w14:paraId="507B186E" w14:textId="77777777" w:rsidR="00131E52" w:rsidRDefault="00131E52" w:rsidP="00E24830">
      <w:r>
        <w:t>To determine the appropriate sample size, researchers must consider both mathematical formulas and their own experience and understanding of the population being studied. Statistical formulas can provide a starting point for calculating sample size based on factors such as the desired level of precision, confidence level, and expected variability within the population. However, these formulas should be used in conjunction with the researcher's knowledge of the population's characteristics.</w:t>
      </w:r>
    </w:p>
    <w:p w14:paraId="4AA3CE10" w14:textId="117ED533" w:rsidR="00131E52" w:rsidRDefault="00131E52" w:rsidP="00E24830">
      <w:r>
        <w:t>For example, imagine a formula suggests that a sample size of 250 is sufficient for a population of 500 people. If the researcher</w:t>
      </w:r>
      <w:r w:rsidR="001C3478">
        <w:t>s</w:t>
      </w:r>
      <w:r>
        <w:t xml:space="preserve"> </w:t>
      </w:r>
      <w:r w:rsidR="001C3478">
        <w:t>are</w:t>
      </w:r>
      <w:r>
        <w:t xml:space="preserve"> aware that the population is highly diverse, with many different racial or ethnic groups, they may need to increase the sample size to ensure adequate representation of all subgroups. This highlights the importance of considering the population's diversity and any relevant subgroups when determining sample size.</w:t>
      </w:r>
    </w:p>
    <w:p w14:paraId="5327D468" w14:textId="13571DB7" w:rsidR="00A626FE" w:rsidRPr="000E309B" w:rsidRDefault="00131E52" w:rsidP="00C2546C">
      <w:r>
        <w:t xml:space="preserve">To simplify the process of selecting an appropriate sample size, researchers often refer to published sample size tables. These tables provide guidelines for determining sample sizes based on the population size and desired level of precision. Table 7, adapted from </w:t>
      </w:r>
      <w:r w:rsidRPr="00453276">
        <w:rPr>
          <w:i/>
          <w:iCs/>
        </w:rPr>
        <w:t>Determining Sample Size</w:t>
      </w:r>
      <w:r>
        <w:t xml:space="preserve"> by Glenn Israel</w:t>
      </w:r>
      <w:r w:rsidR="00424927">
        <w:t xml:space="preserve"> </w:t>
      </w:r>
      <w:r w:rsidR="00424927">
        <w:fldChar w:fldCharType="begin"/>
      </w:r>
      <w:r w:rsidR="007C07B4">
        <w:instrText xml:space="preserve"> ADDIN ZOTERO_ITEM CSL_CITATION {"citationID":"aue2agejkr","properties":{"formattedCitation":"[72]","plainCitation":"[72]","noteIndex":0},"citationItems":[{"id":186,"uris":["http://zotero.org/users/5015692/items/EVB8TIDG"],"itemData":{"id":186,"type":"article-journal","title":"Determining sample size","author":[{"family":"Israel","given":"Glenn D"}],"issued":{"date-parts":[["1992"]]}}}],"schema":"https://github.com/citation-style-language/schema/raw/master/csl-citation.json"} </w:instrText>
      </w:r>
      <w:r w:rsidR="00424927">
        <w:fldChar w:fldCharType="separate"/>
      </w:r>
      <w:r w:rsidR="007C07B4" w:rsidRPr="007C07B4">
        <w:t>[72]</w:t>
      </w:r>
      <w:r w:rsidR="00424927">
        <w:fldChar w:fldCharType="end"/>
      </w:r>
      <w:r>
        <w:t>, is an example of a basic sample size table.</w:t>
      </w:r>
    </w:p>
    <w:tbl>
      <w:tblPr>
        <w:tblStyle w:val="GridTable4-Accent1"/>
        <w:tblW w:w="4304" w:type="dxa"/>
        <w:jc w:val="center"/>
        <w:tblLook w:val="04A0" w:firstRow="1" w:lastRow="0" w:firstColumn="1" w:lastColumn="0" w:noHBand="0" w:noVBand="1"/>
      </w:tblPr>
      <w:tblGrid>
        <w:gridCol w:w="1802"/>
        <w:gridCol w:w="898"/>
        <w:gridCol w:w="850"/>
        <w:gridCol w:w="754"/>
      </w:tblGrid>
      <w:tr w:rsidR="00A626FE" w:rsidRPr="000E309B" w14:paraId="5327D46E" w14:textId="77777777" w:rsidTr="00342B1E">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6A" w14:textId="5F7656EB" w:rsidR="00A626FE" w:rsidRPr="000E309B" w:rsidRDefault="00D14B33" w:rsidP="008B60C3">
            <w:pPr>
              <w:keepNext/>
              <w:keepLines/>
              <w:jc w:val="center"/>
            </w:pPr>
            <w:r w:rsidRPr="000E309B">
              <w:t>Population</w:t>
            </w:r>
            <w:r w:rsidR="00CC4633">
              <w:t xml:space="preserve"> </w:t>
            </w:r>
            <w:r w:rsidRPr="000E309B">
              <w:t>Size</w:t>
            </w:r>
          </w:p>
        </w:tc>
        <w:tc>
          <w:tcPr>
            <w:tcW w:w="909" w:type="dxa"/>
          </w:tcPr>
          <w:p w14:paraId="5327D46B" w14:textId="0C0ADBFF" w:rsidR="00A626FE" w:rsidRPr="000E309B" w:rsidRDefault="00D14B33" w:rsidP="008B60C3">
            <w:pPr>
              <w:keepNext/>
              <w:keepLines/>
              <w:jc w:val="center"/>
              <w:cnfStyle w:val="100000000000" w:firstRow="1" w:lastRow="0" w:firstColumn="0" w:lastColumn="0" w:oddVBand="0" w:evenVBand="0" w:oddHBand="0" w:evenHBand="0" w:firstRowFirstColumn="0" w:firstRowLastColumn="0" w:lastRowFirstColumn="0" w:lastRowLastColumn="0"/>
            </w:pPr>
            <w:r w:rsidRPr="000E309B">
              <w:t>±5%</w:t>
            </w:r>
          </w:p>
        </w:tc>
        <w:tc>
          <w:tcPr>
            <w:tcW w:w="859" w:type="dxa"/>
          </w:tcPr>
          <w:p w14:paraId="5327D46C" w14:textId="1B37D828" w:rsidR="00A626FE" w:rsidRPr="000E309B" w:rsidRDefault="00D14B33" w:rsidP="008B60C3">
            <w:pPr>
              <w:keepNext/>
              <w:keepLines/>
              <w:jc w:val="center"/>
              <w:cnfStyle w:val="100000000000" w:firstRow="1" w:lastRow="0" w:firstColumn="0" w:lastColumn="0" w:oddVBand="0" w:evenVBand="0" w:oddHBand="0" w:evenHBand="0" w:firstRowFirstColumn="0" w:firstRowLastColumn="0" w:lastRowFirstColumn="0" w:lastRowLastColumn="0"/>
            </w:pPr>
            <w:r w:rsidRPr="000E309B">
              <w:t>±</w:t>
            </w:r>
            <w:r w:rsidR="00AF193B">
              <w:t>7</w:t>
            </w:r>
            <w:r w:rsidRPr="000E309B">
              <w:t>%</w:t>
            </w:r>
          </w:p>
        </w:tc>
        <w:tc>
          <w:tcPr>
            <w:tcW w:w="715" w:type="dxa"/>
          </w:tcPr>
          <w:p w14:paraId="5327D46D" w14:textId="33F408B4" w:rsidR="00A626FE" w:rsidRPr="000E309B" w:rsidRDefault="00D14B33" w:rsidP="008B60C3">
            <w:pPr>
              <w:keepNext/>
              <w:keepLines/>
              <w:jc w:val="center"/>
              <w:cnfStyle w:val="100000000000" w:firstRow="1" w:lastRow="0" w:firstColumn="0" w:lastColumn="0" w:oddVBand="0" w:evenVBand="0" w:oddHBand="0" w:evenHBand="0" w:firstRowFirstColumn="0" w:firstRowLastColumn="0" w:lastRowFirstColumn="0" w:lastRowLastColumn="0"/>
            </w:pPr>
            <w:r w:rsidRPr="000E309B">
              <w:t>±</w:t>
            </w:r>
            <w:r w:rsidR="00AF193B">
              <w:t>1</w:t>
            </w:r>
            <w:r w:rsidRPr="000E309B">
              <w:t>0%</w:t>
            </w:r>
          </w:p>
        </w:tc>
      </w:tr>
      <w:tr w:rsidR="00A626FE" w:rsidRPr="000E309B" w14:paraId="5327D473" w14:textId="77777777" w:rsidTr="00342B1E">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6F" w14:textId="77777777" w:rsidR="00A626FE" w:rsidRPr="000E309B" w:rsidRDefault="00D14B33" w:rsidP="008B60C3">
            <w:pPr>
              <w:keepNext/>
              <w:keepLines/>
              <w:jc w:val="center"/>
            </w:pPr>
            <w:r w:rsidRPr="000E309B">
              <w:t>100</w:t>
            </w:r>
          </w:p>
        </w:tc>
        <w:tc>
          <w:tcPr>
            <w:tcW w:w="909" w:type="dxa"/>
          </w:tcPr>
          <w:p w14:paraId="5327D470"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81</w:t>
            </w:r>
          </w:p>
        </w:tc>
        <w:tc>
          <w:tcPr>
            <w:tcW w:w="859" w:type="dxa"/>
          </w:tcPr>
          <w:p w14:paraId="5327D471"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67</w:t>
            </w:r>
          </w:p>
        </w:tc>
        <w:tc>
          <w:tcPr>
            <w:tcW w:w="715" w:type="dxa"/>
          </w:tcPr>
          <w:p w14:paraId="5327D472"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51</w:t>
            </w:r>
          </w:p>
        </w:tc>
      </w:tr>
      <w:tr w:rsidR="00A626FE" w:rsidRPr="000E309B" w14:paraId="5327D478" w14:textId="77777777" w:rsidTr="00342B1E">
        <w:trPr>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74" w14:textId="77777777" w:rsidR="00A626FE" w:rsidRPr="000E309B" w:rsidRDefault="00D14B33" w:rsidP="008B60C3">
            <w:pPr>
              <w:keepNext/>
              <w:keepLines/>
              <w:jc w:val="center"/>
            </w:pPr>
            <w:r w:rsidRPr="000E309B">
              <w:t>125</w:t>
            </w:r>
          </w:p>
        </w:tc>
        <w:tc>
          <w:tcPr>
            <w:tcW w:w="909" w:type="dxa"/>
          </w:tcPr>
          <w:p w14:paraId="5327D475"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96</w:t>
            </w:r>
          </w:p>
        </w:tc>
        <w:tc>
          <w:tcPr>
            <w:tcW w:w="859" w:type="dxa"/>
          </w:tcPr>
          <w:p w14:paraId="5327D476"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78</w:t>
            </w:r>
          </w:p>
        </w:tc>
        <w:tc>
          <w:tcPr>
            <w:tcW w:w="715" w:type="dxa"/>
          </w:tcPr>
          <w:p w14:paraId="5327D477"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56</w:t>
            </w:r>
          </w:p>
        </w:tc>
      </w:tr>
      <w:tr w:rsidR="00A626FE" w:rsidRPr="000E309B" w14:paraId="5327D47D" w14:textId="77777777" w:rsidTr="00342B1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79" w14:textId="77777777" w:rsidR="00A626FE" w:rsidRPr="000E309B" w:rsidRDefault="00D14B33" w:rsidP="008B60C3">
            <w:pPr>
              <w:keepNext/>
              <w:keepLines/>
              <w:jc w:val="center"/>
            </w:pPr>
            <w:r w:rsidRPr="000E309B">
              <w:t>150</w:t>
            </w:r>
          </w:p>
        </w:tc>
        <w:tc>
          <w:tcPr>
            <w:tcW w:w="909" w:type="dxa"/>
          </w:tcPr>
          <w:p w14:paraId="5327D47A"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110</w:t>
            </w:r>
          </w:p>
        </w:tc>
        <w:tc>
          <w:tcPr>
            <w:tcW w:w="859" w:type="dxa"/>
          </w:tcPr>
          <w:p w14:paraId="5327D47B"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86</w:t>
            </w:r>
          </w:p>
        </w:tc>
        <w:tc>
          <w:tcPr>
            <w:tcW w:w="715" w:type="dxa"/>
          </w:tcPr>
          <w:p w14:paraId="5327D47C"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61</w:t>
            </w:r>
          </w:p>
        </w:tc>
      </w:tr>
      <w:tr w:rsidR="00A626FE" w:rsidRPr="000E309B" w14:paraId="5327D482" w14:textId="77777777" w:rsidTr="00342B1E">
        <w:trPr>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7E" w14:textId="77777777" w:rsidR="00A626FE" w:rsidRPr="000E309B" w:rsidRDefault="00D14B33" w:rsidP="008B60C3">
            <w:pPr>
              <w:keepNext/>
              <w:keepLines/>
              <w:jc w:val="center"/>
            </w:pPr>
            <w:r w:rsidRPr="000E309B">
              <w:t>175</w:t>
            </w:r>
          </w:p>
        </w:tc>
        <w:tc>
          <w:tcPr>
            <w:tcW w:w="909" w:type="dxa"/>
          </w:tcPr>
          <w:p w14:paraId="5327D47F"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122</w:t>
            </w:r>
          </w:p>
        </w:tc>
        <w:tc>
          <w:tcPr>
            <w:tcW w:w="859" w:type="dxa"/>
          </w:tcPr>
          <w:p w14:paraId="5327D480"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94</w:t>
            </w:r>
          </w:p>
        </w:tc>
        <w:tc>
          <w:tcPr>
            <w:tcW w:w="715" w:type="dxa"/>
          </w:tcPr>
          <w:p w14:paraId="5327D481"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64</w:t>
            </w:r>
          </w:p>
        </w:tc>
      </w:tr>
      <w:tr w:rsidR="00A626FE" w:rsidRPr="000E309B" w14:paraId="5327D487" w14:textId="77777777" w:rsidTr="00342B1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83" w14:textId="77777777" w:rsidR="00A626FE" w:rsidRPr="000E309B" w:rsidRDefault="00D14B33" w:rsidP="008B60C3">
            <w:pPr>
              <w:keepNext/>
              <w:keepLines/>
              <w:jc w:val="center"/>
            </w:pPr>
            <w:r w:rsidRPr="000E309B">
              <w:t>200</w:t>
            </w:r>
          </w:p>
        </w:tc>
        <w:tc>
          <w:tcPr>
            <w:tcW w:w="909" w:type="dxa"/>
          </w:tcPr>
          <w:p w14:paraId="5327D484"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134</w:t>
            </w:r>
          </w:p>
        </w:tc>
        <w:tc>
          <w:tcPr>
            <w:tcW w:w="859" w:type="dxa"/>
          </w:tcPr>
          <w:p w14:paraId="5327D485"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101</w:t>
            </w:r>
          </w:p>
        </w:tc>
        <w:tc>
          <w:tcPr>
            <w:tcW w:w="715" w:type="dxa"/>
          </w:tcPr>
          <w:p w14:paraId="5327D486"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67</w:t>
            </w:r>
          </w:p>
        </w:tc>
      </w:tr>
      <w:tr w:rsidR="00A626FE" w:rsidRPr="000E309B" w14:paraId="5327D48C" w14:textId="77777777" w:rsidTr="00342B1E">
        <w:trPr>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88" w14:textId="77777777" w:rsidR="00A626FE" w:rsidRPr="000E309B" w:rsidRDefault="00D14B33" w:rsidP="008B60C3">
            <w:pPr>
              <w:keepNext/>
              <w:keepLines/>
              <w:jc w:val="center"/>
            </w:pPr>
            <w:r w:rsidRPr="000E309B">
              <w:t>225</w:t>
            </w:r>
          </w:p>
        </w:tc>
        <w:tc>
          <w:tcPr>
            <w:tcW w:w="909" w:type="dxa"/>
          </w:tcPr>
          <w:p w14:paraId="5327D489"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144</w:t>
            </w:r>
          </w:p>
        </w:tc>
        <w:tc>
          <w:tcPr>
            <w:tcW w:w="859" w:type="dxa"/>
          </w:tcPr>
          <w:p w14:paraId="5327D48A"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107</w:t>
            </w:r>
          </w:p>
        </w:tc>
        <w:tc>
          <w:tcPr>
            <w:tcW w:w="715" w:type="dxa"/>
          </w:tcPr>
          <w:p w14:paraId="5327D48B"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70</w:t>
            </w:r>
          </w:p>
        </w:tc>
      </w:tr>
      <w:tr w:rsidR="00A626FE" w:rsidRPr="000E309B" w14:paraId="5327D491" w14:textId="77777777" w:rsidTr="00342B1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8D" w14:textId="77777777" w:rsidR="00A626FE" w:rsidRPr="000E309B" w:rsidRDefault="00D14B33" w:rsidP="008B60C3">
            <w:pPr>
              <w:keepNext/>
              <w:keepLines/>
              <w:jc w:val="center"/>
            </w:pPr>
            <w:r w:rsidRPr="000E309B">
              <w:t>250</w:t>
            </w:r>
          </w:p>
        </w:tc>
        <w:tc>
          <w:tcPr>
            <w:tcW w:w="909" w:type="dxa"/>
          </w:tcPr>
          <w:p w14:paraId="5327D48E"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154</w:t>
            </w:r>
          </w:p>
        </w:tc>
        <w:tc>
          <w:tcPr>
            <w:tcW w:w="859" w:type="dxa"/>
          </w:tcPr>
          <w:p w14:paraId="5327D48F"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112</w:t>
            </w:r>
          </w:p>
        </w:tc>
        <w:tc>
          <w:tcPr>
            <w:tcW w:w="715" w:type="dxa"/>
          </w:tcPr>
          <w:p w14:paraId="5327D490"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72</w:t>
            </w:r>
          </w:p>
        </w:tc>
      </w:tr>
      <w:tr w:rsidR="00A626FE" w:rsidRPr="000E309B" w14:paraId="5327D496" w14:textId="77777777" w:rsidTr="00342B1E">
        <w:trPr>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92" w14:textId="77777777" w:rsidR="00A626FE" w:rsidRPr="000E309B" w:rsidRDefault="00D14B33" w:rsidP="008B60C3">
            <w:pPr>
              <w:keepNext/>
              <w:keepLines/>
              <w:jc w:val="center"/>
            </w:pPr>
            <w:r w:rsidRPr="000E309B">
              <w:t>275</w:t>
            </w:r>
          </w:p>
        </w:tc>
        <w:tc>
          <w:tcPr>
            <w:tcW w:w="909" w:type="dxa"/>
          </w:tcPr>
          <w:p w14:paraId="5327D493"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163</w:t>
            </w:r>
          </w:p>
        </w:tc>
        <w:tc>
          <w:tcPr>
            <w:tcW w:w="859" w:type="dxa"/>
          </w:tcPr>
          <w:p w14:paraId="5327D494"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117</w:t>
            </w:r>
          </w:p>
        </w:tc>
        <w:tc>
          <w:tcPr>
            <w:tcW w:w="715" w:type="dxa"/>
          </w:tcPr>
          <w:p w14:paraId="5327D495"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74</w:t>
            </w:r>
          </w:p>
        </w:tc>
      </w:tr>
      <w:tr w:rsidR="00A626FE" w:rsidRPr="000E309B" w14:paraId="5327D49B" w14:textId="77777777" w:rsidTr="00342B1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97" w14:textId="77777777" w:rsidR="00A626FE" w:rsidRPr="000E309B" w:rsidRDefault="00D14B33" w:rsidP="008B60C3">
            <w:pPr>
              <w:keepNext/>
              <w:keepLines/>
              <w:jc w:val="center"/>
            </w:pPr>
            <w:r w:rsidRPr="000E309B">
              <w:t>300</w:t>
            </w:r>
          </w:p>
        </w:tc>
        <w:tc>
          <w:tcPr>
            <w:tcW w:w="909" w:type="dxa"/>
          </w:tcPr>
          <w:p w14:paraId="5327D498"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172</w:t>
            </w:r>
          </w:p>
        </w:tc>
        <w:tc>
          <w:tcPr>
            <w:tcW w:w="859" w:type="dxa"/>
          </w:tcPr>
          <w:p w14:paraId="5327D499"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121</w:t>
            </w:r>
          </w:p>
        </w:tc>
        <w:tc>
          <w:tcPr>
            <w:tcW w:w="715" w:type="dxa"/>
          </w:tcPr>
          <w:p w14:paraId="5327D49A"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76</w:t>
            </w:r>
          </w:p>
        </w:tc>
      </w:tr>
      <w:tr w:rsidR="00A626FE" w:rsidRPr="000E309B" w14:paraId="5327D4A0" w14:textId="77777777" w:rsidTr="00342B1E">
        <w:trPr>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9C" w14:textId="77777777" w:rsidR="00A626FE" w:rsidRPr="000E309B" w:rsidRDefault="00D14B33" w:rsidP="008B60C3">
            <w:pPr>
              <w:keepNext/>
              <w:keepLines/>
              <w:jc w:val="center"/>
            </w:pPr>
            <w:r w:rsidRPr="000E309B">
              <w:t>325</w:t>
            </w:r>
          </w:p>
        </w:tc>
        <w:tc>
          <w:tcPr>
            <w:tcW w:w="909" w:type="dxa"/>
          </w:tcPr>
          <w:p w14:paraId="5327D49D"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180</w:t>
            </w:r>
          </w:p>
        </w:tc>
        <w:tc>
          <w:tcPr>
            <w:tcW w:w="859" w:type="dxa"/>
          </w:tcPr>
          <w:p w14:paraId="5327D49E"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125</w:t>
            </w:r>
          </w:p>
        </w:tc>
        <w:tc>
          <w:tcPr>
            <w:tcW w:w="715" w:type="dxa"/>
          </w:tcPr>
          <w:p w14:paraId="5327D49F"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77</w:t>
            </w:r>
          </w:p>
        </w:tc>
      </w:tr>
      <w:tr w:rsidR="00A626FE" w:rsidRPr="000E309B" w14:paraId="5327D4A5" w14:textId="77777777" w:rsidTr="00342B1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A1" w14:textId="77777777" w:rsidR="00A626FE" w:rsidRPr="000E309B" w:rsidRDefault="00D14B33" w:rsidP="008B60C3">
            <w:pPr>
              <w:keepNext/>
              <w:keepLines/>
              <w:jc w:val="center"/>
            </w:pPr>
            <w:r w:rsidRPr="000E309B">
              <w:t>350</w:t>
            </w:r>
          </w:p>
        </w:tc>
        <w:tc>
          <w:tcPr>
            <w:tcW w:w="909" w:type="dxa"/>
          </w:tcPr>
          <w:p w14:paraId="5327D4A2"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187</w:t>
            </w:r>
          </w:p>
        </w:tc>
        <w:tc>
          <w:tcPr>
            <w:tcW w:w="859" w:type="dxa"/>
          </w:tcPr>
          <w:p w14:paraId="5327D4A3"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129</w:t>
            </w:r>
          </w:p>
        </w:tc>
        <w:tc>
          <w:tcPr>
            <w:tcW w:w="715" w:type="dxa"/>
          </w:tcPr>
          <w:p w14:paraId="5327D4A4"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78</w:t>
            </w:r>
          </w:p>
        </w:tc>
      </w:tr>
      <w:tr w:rsidR="00A626FE" w:rsidRPr="000E309B" w14:paraId="5327D4AA" w14:textId="77777777" w:rsidTr="00342B1E">
        <w:trPr>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A6" w14:textId="77777777" w:rsidR="00A626FE" w:rsidRPr="000E309B" w:rsidRDefault="00D14B33" w:rsidP="008B60C3">
            <w:pPr>
              <w:keepNext/>
              <w:keepLines/>
              <w:jc w:val="center"/>
            </w:pPr>
            <w:r w:rsidRPr="000E309B">
              <w:t>375</w:t>
            </w:r>
          </w:p>
        </w:tc>
        <w:tc>
          <w:tcPr>
            <w:tcW w:w="909" w:type="dxa"/>
          </w:tcPr>
          <w:p w14:paraId="5327D4A7"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194</w:t>
            </w:r>
          </w:p>
        </w:tc>
        <w:tc>
          <w:tcPr>
            <w:tcW w:w="859" w:type="dxa"/>
          </w:tcPr>
          <w:p w14:paraId="5327D4A8"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132</w:t>
            </w:r>
          </w:p>
        </w:tc>
        <w:tc>
          <w:tcPr>
            <w:tcW w:w="715" w:type="dxa"/>
          </w:tcPr>
          <w:p w14:paraId="5327D4A9"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80</w:t>
            </w:r>
          </w:p>
        </w:tc>
      </w:tr>
      <w:tr w:rsidR="00A626FE" w:rsidRPr="000E309B" w14:paraId="5327D4AF" w14:textId="77777777" w:rsidTr="00342B1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AB" w14:textId="77777777" w:rsidR="00A626FE" w:rsidRPr="000E309B" w:rsidRDefault="00D14B33" w:rsidP="008B60C3">
            <w:pPr>
              <w:keepNext/>
              <w:keepLines/>
              <w:jc w:val="center"/>
            </w:pPr>
            <w:r w:rsidRPr="000E309B">
              <w:t>400</w:t>
            </w:r>
          </w:p>
        </w:tc>
        <w:tc>
          <w:tcPr>
            <w:tcW w:w="909" w:type="dxa"/>
          </w:tcPr>
          <w:p w14:paraId="5327D4AC"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201</w:t>
            </w:r>
          </w:p>
        </w:tc>
        <w:tc>
          <w:tcPr>
            <w:tcW w:w="859" w:type="dxa"/>
          </w:tcPr>
          <w:p w14:paraId="5327D4AD"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135</w:t>
            </w:r>
          </w:p>
        </w:tc>
        <w:tc>
          <w:tcPr>
            <w:tcW w:w="715" w:type="dxa"/>
          </w:tcPr>
          <w:p w14:paraId="5327D4AE" w14:textId="77777777" w:rsidR="00A626FE" w:rsidRPr="000E309B" w:rsidRDefault="00D14B33" w:rsidP="008B60C3">
            <w:pPr>
              <w:keepNext/>
              <w:keepLines/>
              <w:jc w:val="center"/>
              <w:cnfStyle w:val="000000100000" w:firstRow="0" w:lastRow="0" w:firstColumn="0" w:lastColumn="0" w:oddVBand="0" w:evenVBand="0" w:oddHBand="1" w:evenHBand="0" w:firstRowFirstColumn="0" w:firstRowLastColumn="0" w:lastRowFirstColumn="0" w:lastRowLastColumn="0"/>
            </w:pPr>
            <w:r w:rsidRPr="000E309B">
              <w:t>81</w:t>
            </w:r>
          </w:p>
        </w:tc>
      </w:tr>
      <w:tr w:rsidR="00A626FE" w:rsidRPr="000E309B" w14:paraId="5327D4B4" w14:textId="77777777" w:rsidTr="00342B1E">
        <w:trPr>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5327D4B0" w14:textId="77777777" w:rsidR="00A626FE" w:rsidRPr="000E309B" w:rsidRDefault="00D14B33" w:rsidP="008B60C3">
            <w:pPr>
              <w:keepNext/>
              <w:keepLines/>
              <w:jc w:val="center"/>
            </w:pPr>
            <w:r w:rsidRPr="000E309B">
              <w:t>425</w:t>
            </w:r>
          </w:p>
        </w:tc>
        <w:tc>
          <w:tcPr>
            <w:tcW w:w="909" w:type="dxa"/>
          </w:tcPr>
          <w:p w14:paraId="5327D4B1"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207</w:t>
            </w:r>
          </w:p>
        </w:tc>
        <w:tc>
          <w:tcPr>
            <w:tcW w:w="859" w:type="dxa"/>
          </w:tcPr>
          <w:p w14:paraId="5327D4B2"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138</w:t>
            </w:r>
          </w:p>
        </w:tc>
        <w:tc>
          <w:tcPr>
            <w:tcW w:w="715" w:type="dxa"/>
          </w:tcPr>
          <w:p w14:paraId="5327D4B3" w14:textId="77777777" w:rsidR="00A626FE" w:rsidRPr="000E309B" w:rsidRDefault="00D14B33" w:rsidP="008B60C3">
            <w:pPr>
              <w:keepNext/>
              <w:keepLines/>
              <w:jc w:val="center"/>
              <w:cnfStyle w:val="000000000000" w:firstRow="0" w:lastRow="0" w:firstColumn="0" w:lastColumn="0" w:oddVBand="0" w:evenVBand="0" w:oddHBand="0" w:evenHBand="0" w:firstRowFirstColumn="0" w:firstRowLastColumn="0" w:lastRowFirstColumn="0" w:lastRowLastColumn="0"/>
            </w:pPr>
            <w:r w:rsidRPr="000E309B">
              <w:t>82</w:t>
            </w:r>
          </w:p>
        </w:tc>
      </w:tr>
      <w:tr w:rsidR="00B03D87" w:rsidRPr="000E309B" w14:paraId="38980639" w14:textId="77777777" w:rsidTr="00342B1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1821" w:type="dxa"/>
          </w:tcPr>
          <w:p w14:paraId="0D19289D" w14:textId="5365AF78" w:rsidR="00B03D87" w:rsidRPr="000E309B" w:rsidRDefault="00B03D87" w:rsidP="008B60C3">
            <w:pPr>
              <w:keepNext/>
              <w:keepLines/>
              <w:jc w:val="center"/>
            </w:pPr>
            <w:r>
              <w:t>450</w:t>
            </w:r>
          </w:p>
        </w:tc>
        <w:tc>
          <w:tcPr>
            <w:tcW w:w="909" w:type="dxa"/>
          </w:tcPr>
          <w:p w14:paraId="1937BED8" w14:textId="25A4F37F" w:rsidR="00B03D87" w:rsidRPr="000E309B" w:rsidRDefault="00B03D87" w:rsidP="008B60C3">
            <w:pPr>
              <w:keepNext/>
              <w:keepLines/>
              <w:jc w:val="center"/>
              <w:cnfStyle w:val="000000100000" w:firstRow="0" w:lastRow="0" w:firstColumn="0" w:lastColumn="0" w:oddVBand="0" w:evenVBand="0" w:oddHBand="1" w:evenHBand="0" w:firstRowFirstColumn="0" w:firstRowLastColumn="0" w:lastRowFirstColumn="0" w:lastRowLastColumn="0"/>
            </w:pPr>
            <w:r>
              <w:t>212</w:t>
            </w:r>
          </w:p>
        </w:tc>
        <w:tc>
          <w:tcPr>
            <w:tcW w:w="859" w:type="dxa"/>
          </w:tcPr>
          <w:p w14:paraId="0AA1139A" w14:textId="7AB4D354" w:rsidR="00B03D87" w:rsidRPr="000E309B" w:rsidRDefault="00B03D87" w:rsidP="008B60C3">
            <w:pPr>
              <w:keepNext/>
              <w:keepLines/>
              <w:jc w:val="center"/>
              <w:cnfStyle w:val="000000100000" w:firstRow="0" w:lastRow="0" w:firstColumn="0" w:lastColumn="0" w:oddVBand="0" w:evenVBand="0" w:oddHBand="1" w:evenHBand="0" w:firstRowFirstColumn="0" w:firstRowLastColumn="0" w:lastRowFirstColumn="0" w:lastRowLastColumn="0"/>
            </w:pPr>
            <w:r>
              <w:t>140</w:t>
            </w:r>
          </w:p>
        </w:tc>
        <w:tc>
          <w:tcPr>
            <w:tcW w:w="715" w:type="dxa"/>
          </w:tcPr>
          <w:p w14:paraId="6079B816" w14:textId="03421B90" w:rsidR="00B03D87" w:rsidRPr="000E309B" w:rsidRDefault="00B03D87" w:rsidP="008B60C3">
            <w:pPr>
              <w:keepNext/>
              <w:keepLines/>
              <w:jc w:val="center"/>
              <w:cnfStyle w:val="000000100000" w:firstRow="0" w:lastRow="0" w:firstColumn="0" w:lastColumn="0" w:oddVBand="0" w:evenVBand="0" w:oddHBand="1" w:evenHBand="0" w:firstRowFirstColumn="0" w:firstRowLastColumn="0" w:lastRowFirstColumn="0" w:lastRowLastColumn="0"/>
            </w:pPr>
            <w:r>
              <w:t>82</w:t>
            </w:r>
          </w:p>
        </w:tc>
      </w:tr>
    </w:tbl>
    <w:p w14:paraId="5327D4B5" w14:textId="11FE96B3" w:rsidR="00A626FE" w:rsidRPr="000E309B" w:rsidRDefault="008B60C3" w:rsidP="008B60C3">
      <w:pPr>
        <w:pStyle w:val="Caption"/>
        <w:jc w:val="center"/>
      </w:pPr>
      <w:bookmarkStart w:id="112" w:name="_Ref71095879"/>
      <w:r>
        <w:t xml:space="preserve">Table </w:t>
      </w:r>
      <w:r w:rsidR="006D77BF">
        <w:fldChar w:fldCharType="begin"/>
      </w:r>
      <w:r w:rsidR="006D77BF">
        <w:instrText xml:space="preserve"> SEQ Table \* ARABIC </w:instrText>
      </w:r>
      <w:r w:rsidR="006D77BF">
        <w:fldChar w:fldCharType="separate"/>
      </w:r>
      <w:r w:rsidR="00980002">
        <w:rPr>
          <w:noProof/>
        </w:rPr>
        <w:t>7</w:t>
      </w:r>
      <w:r w:rsidR="006D77BF">
        <w:rPr>
          <w:noProof/>
        </w:rPr>
        <w:fldChar w:fldCharType="end"/>
      </w:r>
      <w:bookmarkEnd w:id="112"/>
      <w:r>
        <w:t>: Sample Size for 95% Confidence Level</w:t>
      </w:r>
    </w:p>
    <w:p w14:paraId="13683FAB" w14:textId="452B707E" w:rsidR="008871D6" w:rsidRDefault="008871D6" w:rsidP="0090617F">
      <w:r>
        <w:t>To interpret</w:t>
      </w:r>
      <w:r w:rsidR="0090617F">
        <w:t xml:space="preserve"> the table</w:t>
      </w:r>
      <w:r>
        <w:t xml:space="preserve">, consider a researcher conducting a survey-based study. The first column represents the population size, </w:t>
      </w:r>
      <w:r w:rsidR="00037780">
        <w:t>so</w:t>
      </w:r>
      <w:r>
        <w:t xml:space="preserve"> the first data row </w:t>
      </w:r>
      <w:r w:rsidR="00D35A00">
        <w:t>is for</w:t>
      </w:r>
      <w:r>
        <w:t xml:space="preserve"> a population of 100 people. The </w:t>
      </w:r>
      <w:r w:rsidR="00D35A00">
        <w:t>first</w:t>
      </w:r>
      <w:r>
        <w:t xml:space="preserve"> row indicates the level of precision, or p-value, which represents the acceptable range of difference </w:t>
      </w:r>
      <w:r>
        <w:lastRenderedPageBreak/>
        <w:t>between the sample statistic and the population parameter. For example, if the sample mean is 60 and the p-value is ±5%, the population mean is expected to fall between 55 and 65.</w:t>
      </w:r>
    </w:p>
    <w:p w14:paraId="5F1FC1D6" w14:textId="6EF35CBC" w:rsidR="008871D6" w:rsidRDefault="008871D6" w:rsidP="0090617F">
      <w:r>
        <w:t xml:space="preserve">The sample sizes are listed in columns 2-4, representing the number of people that need to be surveyed to achieve a confidence level of 95%. This means that if 100 samples were drawn from the population, 95 of those samples would yield the same result. For instance, if the population size is </w:t>
      </w:r>
      <w:r w:rsidR="00096CB7">
        <w:t>450</w:t>
      </w:r>
      <w:r>
        <w:t xml:space="preserve"> and the desired precision is ±5%, the researcher would need to survey </w:t>
      </w:r>
      <w:r w:rsidR="00096CB7">
        <w:t>212</w:t>
      </w:r>
      <w:r>
        <w:t xml:space="preserve"> people to have a 95% confidence level in their findings.</w:t>
      </w:r>
    </w:p>
    <w:p w14:paraId="5327D4B9" w14:textId="46FE3F93" w:rsidR="00A626FE" w:rsidRPr="000E309B" w:rsidRDefault="008871D6" w:rsidP="0090617F">
      <w:r>
        <w:t>In summary, determining the appropriate sample size is a critical aspect of research design that requires careful consideration of both mathematical formulas and the researcher's understanding of the population. While sample size tables can provide helpful guidelines, researchers must also account for factors such as population diversity and the presence of important subgroups. By striking a balance between accuracy and feasibility, researchers can ensure that their sample is representative of the population and provides reliable insights.</w:t>
      </w:r>
    </w:p>
    <w:p w14:paraId="5327D4BA" w14:textId="318E2ADD" w:rsidR="00A626FE" w:rsidRPr="000E309B" w:rsidRDefault="00D1778D" w:rsidP="00D1778D">
      <w:pPr>
        <w:pStyle w:val="Heading3"/>
      </w:pPr>
      <w:bookmarkStart w:id="113" w:name="_Toc169156741"/>
      <w:r>
        <w:t>A</w:t>
      </w:r>
      <w:r w:rsidR="00D14B33" w:rsidRPr="000E309B">
        <w:t xml:space="preserve"> </w:t>
      </w:r>
      <w:r>
        <w:t>W</w:t>
      </w:r>
      <w:r w:rsidR="00D14B33" w:rsidRPr="000E309B">
        <w:t xml:space="preserve">ord of </w:t>
      </w:r>
      <w:r>
        <w:t>C</w:t>
      </w:r>
      <w:r w:rsidR="00D14B33" w:rsidRPr="000E309B">
        <w:t>aution</w:t>
      </w:r>
      <w:bookmarkEnd w:id="113"/>
    </w:p>
    <w:p w14:paraId="4A00F42C" w14:textId="77777777" w:rsidR="008A29E4" w:rsidRDefault="008A29E4" w:rsidP="008A29E4">
      <w:r>
        <w:t>When reading a research report, it is crucial to consider the sample selection process and the number of participants observed. While the study's findings may be intriguing, understanding the procedures used to select participants is essential for evaluating the research's validity and generalizability.</w:t>
      </w:r>
    </w:p>
    <w:p w14:paraId="2EF7508D" w14:textId="77777777" w:rsidR="008A29E4" w:rsidRDefault="008A29E4" w:rsidP="008A29E4">
      <w:r>
        <w:t>In many cases, researchers rely on convenience sampling, which involves selecting participants who are easily accessible. For example, university students enrolled in introductory psychology or sociology courses are often recruited for research projects conducted by graduate students. While this approach is convenient, it can lead to issues with sample representativeness.</w:t>
      </w:r>
    </w:p>
    <w:p w14:paraId="242161F1" w14:textId="2825EA68" w:rsidR="008A29E4" w:rsidRDefault="008A29E4" w:rsidP="008A29E4">
      <w:r>
        <w:t>A study of top academic journals in psychology revealed that over two-thirds (68%) of participants in published studies were based on samples drawn from the United States</w:t>
      </w:r>
      <w:r w:rsidR="00D773E8">
        <w:t xml:space="preserve"> </w:t>
      </w:r>
      <w:r w:rsidR="00D773E8">
        <w:fldChar w:fldCharType="begin"/>
      </w:r>
      <w:r w:rsidR="007C07B4">
        <w:instrText xml:space="preserve"> ADDIN ZOTERO_ITEM CSL_CITATION {"citationID":"a6hb1tb2m","properties":{"formattedCitation":"[73]","plainCitation":"[73]","noteIndex":0},"citationItems":[{"id":189,"uris":["http://zotero.org/users/5015692/items/2D3XJACQ"],"itemData":{"id":189,"type":"article-journal","container-title":"American Psychologist","issue":"7","page":"602","title":"The neglected 95%: why American psychology needs to become less American.","volume":"63","author":[{"family":"Arnett","given":"Jeffrey J"}],"issued":{"date-parts":[["2008"]]}}}],"schema":"https://github.com/citation-style-language/schema/raw/master/csl-citation.json"} </w:instrText>
      </w:r>
      <w:r w:rsidR="00D773E8">
        <w:fldChar w:fldCharType="separate"/>
      </w:r>
      <w:r w:rsidR="007C07B4" w:rsidRPr="007C07B4">
        <w:t>[73]</w:t>
      </w:r>
      <w:r w:rsidR="00D773E8">
        <w:fldChar w:fldCharType="end"/>
      </w:r>
      <w:r>
        <w:t>. Moreover, two-thirds of the studies published in the Journal of Personality and Social Psychology that relied on United States samples were based on American undergraduates taking psychology courses.</w:t>
      </w:r>
    </w:p>
    <w:p w14:paraId="1D1AAEC9" w14:textId="4F4D8219" w:rsidR="008A29E4" w:rsidRDefault="008A29E4" w:rsidP="008A29E4">
      <w:r>
        <w:t>These findings raise important questions about the generalizability of social scientific research. Joseph Henrich and colleagues</w:t>
      </w:r>
      <w:r w:rsidR="00D773E8">
        <w:t xml:space="preserve"> </w:t>
      </w:r>
      <w:r w:rsidR="00D773E8">
        <w:fldChar w:fldCharType="begin"/>
      </w:r>
      <w:r w:rsidR="007C07B4">
        <w:instrText xml:space="preserve"> ADDIN ZOTERO_ITEM CSL_CITATION {"citationID":"a12qnf3s8hs","properties":{"formattedCitation":"[74]","plainCitation":"[74]","noteIndex":0},"citationItems":[{"id":188,"uris":["http://zotero.org/users/5015692/items/NWSSF6RP"],"itemData":{"id":188,"type":"article-journal","container-title":"Nature","issue":"7302","page":"29","title":"Most people are not WEIRD","volume":"466","author":[{"family":"Henrich","given":"Joseph"},{"family":"Heine","given":"Steven J"},{"family":"Norenzayan","given":"Ara"}],"issued":{"date-parts":[["2010"]]}}}],"schema":"https://github.com/citation-style-language/schema/raw/master/csl-citation.json"} </w:instrText>
      </w:r>
      <w:r w:rsidR="00D773E8">
        <w:fldChar w:fldCharType="separate"/>
      </w:r>
      <w:r w:rsidR="007C07B4" w:rsidRPr="007C07B4">
        <w:t>[74]</w:t>
      </w:r>
      <w:r w:rsidR="00D773E8">
        <w:fldChar w:fldCharType="end"/>
      </w:r>
      <w:r w:rsidR="00380CC4">
        <w:t xml:space="preserve"> </w:t>
      </w:r>
      <w:r>
        <w:t xml:space="preserve">argue that behavioral scientists often make broad claims about human nature based on samples drawn exclusively from WEIRD (Western, Educated, Industrialized, Rich, and Democratic) societies. In some cases, the claims are based on even </w:t>
      </w:r>
      <w:r w:rsidR="009B7D89">
        <w:t>narrower</w:t>
      </w:r>
      <w:r>
        <w:t xml:space="preserve"> samples, such as college students.</w:t>
      </w:r>
    </w:p>
    <w:p w14:paraId="36002241" w14:textId="77777777" w:rsidR="008A29E4" w:rsidRDefault="008A29E4" w:rsidP="008A29E4">
      <w:r>
        <w:t>Many influential findings related to fairness, cooperation, visual perception, trust, and other behaviors are based on studies that excluded participants from outside the United States or even outside the college classroom. This limited sampling raises concerns about the extent to which these findings reflect universal human behavior or are specific to the studied population.</w:t>
      </w:r>
    </w:p>
    <w:p w14:paraId="28AA0F8F" w14:textId="77777777" w:rsidR="008A29E4" w:rsidRDefault="008A29E4" w:rsidP="008A29E4">
      <w:r>
        <w:lastRenderedPageBreak/>
        <w:t>It is important to note that not all research relies on WEIRD samples, and many studies do include diverse populations. However, as consumers of research, it is essential to carefully consider the samples on which studies are based and the claims made about the generalizability of the findings.</w:t>
      </w:r>
    </w:p>
    <w:p w14:paraId="345ADBC0" w14:textId="2FC86825" w:rsidR="008A29E4" w:rsidRDefault="008A29E4" w:rsidP="008A29E4">
      <w:r>
        <w:t xml:space="preserve">Another related concern is sampling bias, which occurs when the selected participants do not accurately represent the larger population from which they were drawn. For example, an online poll conducted by a newspaper about a local issue may not represent the </w:t>
      </w:r>
      <w:r w:rsidR="009B7D89">
        <w:t>public</w:t>
      </w:r>
      <w:r>
        <w:t>, as it excludes individuals without Internet access, those who do not read the newspaper's website, and those who lack the time or interest to participate.</w:t>
      </w:r>
    </w:p>
    <w:p w14:paraId="3B70E210" w14:textId="5D67AB01" w:rsidR="008A29E4" w:rsidRDefault="008A29E4" w:rsidP="008A29E4">
      <w:r>
        <w:t>Researchers must also consider potentially relevant factors when determining sample representativeness. For instance, while phone type (landline vs. cell phone) may seem unrelated to voting preferences, a study found that pollsters who did not include both cell phones and landlines in their surveys underestimated Barack Obama's lead in the 2008 presidential election, as he was more favored by cell-only users compared to his opponent, John McCain</w:t>
      </w:r>
      <w:r w:rsidR="00D773E8">
        <w:t xml:space="preserve"> </w:t>
      </w:r>
      <w:r w:rsidR="00D773E8">
        <w:fldChar w:fldCharType="begin"/>
      </w:r>
      <w:r w:rsidR="007C07B4">
        <w:instrText xml:space="preserve"> ADDIN ZOTERO_ITEM CSL_CITATION {"citationID":"am5u7hcc91","properties":{"formattedCitation":"[75]","plainCitation":"[75]","noteIndex":0},"citationItems":[{"id":187,"uris":["http://zotero.org/users/5015692/items/TL3QDEPJ"],"itemData":{"id":187,"type":"article-journal","container-title":"The Pew Research Center for the People &amp; the Press. Retrieved December","page":"2008","title":"Calling cell phones in’08 pre-election polls","volume":"18","author":[{"family":"Keeter","given":"Scott"},{"family":"Dimock","given":"Michael"},{"family":"Christian","given":"Leah"}],"issued":{"date-parts":[["2008"]]}}}],"schema":"https://github.com/citation-style-language/schema/raw/master/csl-citation.json"} </w:instrText>
      </w:r>
      <w:r w:rsidR="00D773E8">
        <w:fldChar w:fldCharType="separate"/>
      </w:r>
      <w:r w:rsidR="007C07B4" w:rsidRPr="007C07B4">
        <w:t>[75]</w:t>
      </w:r>
      <w:r w:rsidR="00D773E8">
        <w:fldChar w:fldCharType="end"/>
      </w:r>
      <w:r>
        <w:t>.</w:t>
      </w:r>
    </w:p>
    <w:p w14:paraId="5151C6B0" w14:textId="77777777" w:rsidR="008A29E4" w:rsidRDefault="008A29E4" w:rsidP="008A29E4">
      <w:r>
        <w:t>When evaluating a research report, it is crucial to remember that sample quality is determined by the actual sample obtained, not just the sampling method employed. Even if a researcher uses a random selection technique to administer a survey to a representative sample, if only a small proportion of the sampled individuals respond, the researcher must be cautious about the claims made based on the data.</w:t>
      </w:r>
    </w:p>
    <w:p w14:paraId="3D87CBDD" w14:textId="77777777" w:rsidR="008A29E4" w:rsidRDefault="008A29E4" w:rsidP="008A29E4">
      <w:r>
        <w:t>Another issue to be aware of is the tendency for researchers to discuss their findings as if they apply to groups beyond the sampled population. While this may be an innocent error resulting from human nature's inclination to inflate the significance of findings, consumers of research must be attentive to this potential "bait and switch."</w:t>
      </w:r>
    </w:p>
    <w:p w14:paraId="4FADFF5A" w14:textId="77777777" w:rsidR="008A29E4" w:rsidRDefault="008A29E4" w:rsidP="008A29E4">
      <w:r>
        <w:t>To assess sample quality, readers should ask three key questions: who was sampled, how were they sampled, and why were they sampled? Being able to answer these questions will enhance the understanding and interpretation of research results, allowing for a more critical evaluation of the study's validity and generalizability.</w:t>
      </w:r>
    </w:p>
    <w:p w14:paraId="5327D4C2" w14:textId="24CF31FE" w:rsidR="00A626FE" w:rsidRDefault="008A29E4" w:rsidP="008A29E4">
      <w:r>
        <w:t>In summary, sample selection and representativeness are crucial factors to consider when reading and interpreting research reports. By paying close attention to the sampling process and the claims made based on the studied population, readers can better assess the strength and applicability of research findings.</w:t>
      </w:r>
    </w:p>
    <w:p w14:paraId="5327D4C3" w14:textId="765AF3A3" w:rsidR="00A626FE" w:rsidRPr="000E309B" w:rsidRDefault="00254084" w:rsidP="0066263B">
      <w:pPr>
        <w:pStyle w:val="Heading3"/>
      </w:pPr>
      <w:bookmarkStart w:id="114" w:name="_Toc169156742"/>
      <w:r>
        <w:rPr>
          <w:noProof/>
        </w:rPr>
        <w:drawing>
          <wp:anchor distT="0" distB="0" distL="114300" distR="114300" simplePos="0" relativeHeight="251967572" behindDoc="0" locked="0" layoutInCell="1" allowOverlap="1" wp14:anchorId="1A4198D9" wp14:editId="6ABC191E">
            <wp:simplePos x="0" y="0"/>
            <wp:positionH relativeFrom="column">
              <wp:align>right</wp:align>
            </wp:positionH>
            <wp:positionV relativeFrom="paragraph">
              <wp:posOffset>0</wp:posOffset>
            </wp:positionV>
            <wp:extent cx="914400" cy="914400"/>
            <wp:effectExtent l="19050" t="19050" r="19050" b="19050"/>
            <wp:wrapSquare wrapText="bothSides"/>
            <wp:docPr id="1529251152"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EC6C37">
        <w:t>Summary</w:t>
      </w:r>
      <w:r w:rsidR="009D3BA7">
        <w:t xml:space="preserve"> of</w:t>
      </w:r>
      <w:r w:rsidR="00EC6C37">
        <w:t xml:space="preserve"> Chapter 7</w:t>
      </w:r>
      <w:r w:rsidR="009D3BA7">
        <w:t>:</w:t>
      </w:r>
      <w:r w:rsidR="00EC6C37">
        <w:t xml:space="preserve"> Sampling</w:t>
      </w:r>
      <w:bookmarkEnd w:id="114"/>
    </w:p>
    <w:p w14:paraId="60BDC908" w14:textId="77777777" w:rsidR="00A23029" w:rsidRDefault="00A23029" w:rsidP="00A23029">
      <w:r>
        <w:t>In this chapter, you've explored the crucial role that sampling plays in the research process. Sampling allows you to gather data from a manageable subset of a population, which can then be used to make inferences about the entire group. The key concepts covered in this chapter include:</w:t>
      </w:r>
    </w:p>
    <w:p w14:paraId="133C26F8" w14:textId="77777777" w:rsidR="00A23029" w:rsidRDefault="00A23029" w:rsidP="00A23029">
      <w:pPr>
        <w:pStyle w:val="ListParagraph"/>
        <w:numPr>
          <w:ilvl w:val="0"/>
          <w:numId w:val="271"/>
        </w:numPr>
      </w:pPr>
      <w:r>
        <w:t>Defining the target population</w:t>
      </w:r>
    </w:p>
    <w:p w14:paraId="05AFB444" w14:textId="77777777" w:rsidR="00A23029" w:rsidRDefault="00A23029" w:rsidP="00A23029">
      <w:pPr>
        <w:pStyle w:val="ListParagraph"/>
        <w:numPr>
          <w:ilvl w:val="0"/>
          <w:numId w:val="271"/>
        </w:numPr>
      </w:pPr>
      <w:r>
        <w:lastRenderedPageBreak/>
        <w:t>Determining the sampling frame</w:t>
      </w:r>
    </w:p>
    <w:p w14:paraId="40A342B6" w14:textId="77777777" w:rsidR="00A23029" w:rsidRDefault="00A23029" w:rsidP="00A23029">
      <w:pPr>
        <w:pStyle w:val="ListParagraph"/>
        <w:numPr>
          <w:ilvl w:val="0"/>
          <w:numId w:val="271"/>
        </w:numPr>
      </w:pPr>
      <w:r>
        <w:t>Selecting the sample using probability or non-probability methods</w:t>
      </w:r>
    </w:p>
    <w:p w14:paraId="524307D3" w14:textId="77777777" w:rsidR="00A23029" w:rsidRDefault="00A23029" w:rsidP="00A23029">
      <w:pPr>
        <w:pStyle w:val="ListParagraph"/>
        <w:numPr>
          <w:ilvl w:val="0"/>
          <w:numId w:val="271"/>
        </w:numPr>
      </w:pPr>
      <w:r>
        <w:t>Understanding the differences between probability and non-probability sampling</w:t>
      </w:r>
    </w:p>
    <w:p w14:paraId="708FFCF8" w14:textId="77777777" w:rsidR="00A23029" w:rsidRDefault="00A23029" w:rsidP="00A23029">
      <w:pPr>
        <w:pStyle w:val="ListParagraph"/>
        <w:numPr>
          <w:ilvl w:val="0"/>
          <w:numId w:val="271"/>
        </w:numPr>
      </w:pPr>
      <w:r>
        <w:t>Recognizing the importance of sample size and representativeness</w:t>
      </w:r>
    </w:p>
    <w:p w14:paraId="5EE8B5B2" w14:textId="77777777" w:rsidR="00A23029" w:rsidRDefault="00A23029" w:rsidP="00A23029">
      <w:r>
        <w:t>By mastering these concepts, you'll be well-equipped to design and implement effective sampling strategies in your own research projects. Proper sampling ensures that your data is representative of the population you're studying, which in turn allows you to draw valid and generalizable conclusions.</w:t>
      </w:r>
    </w:p>
    <w:p w14:paraId="35A55B4B" w14:textId="77777777" w:rsidR="00A23029" w:rsidRDefault="00A23029" w:rsidP="00A23029">
      <w:r>
        <w:t>As you progress in your research journey, you'll find that the principles of sampling apply across a wide range of disciplines and research contexts. Whether you're conducting a survey, an experiment, or a qualitative study, the decisions you make about sampling will have a profound impact on the quality and credibility of your findings.</w:t>
      </w:r>
    </w:p>
    <w:p w14:paraId="1B6F4C00" w14:textId="77777777" w:rsidR="00A23029" w:rsidRDefault="00A23029" w:rsidP="00A23029">
      <w:r>
        <w:t>I encourage you to continue exploring the nuances of sampling beyond this introductory class. You might delve into more advanced topics like power analysis for determining sample sizes, or techniques like stratified sampling for ensuring representation of key subgroups. The more you engage with these concepts, the more prepared you'll be to tackle complex research questions and contribute to the knowledge in your field.</w:t>
      </w:r>
    </w:p>
    <w:p w14:paraId="5327D4C4" w14:textId="39E6D757" w:rsidR="00A626FE" w:rsidRPr="000E309B" w:rsidRDefault="00A23029" w:rsidP="00A23029">
      <w:r>
        <w:t>Remember, sampling is not just a technical procedure, but a critical thinking process. It requires you to consider your research goals, your resources, and the characteristics of your population. By approaching sampling with rigor and thoughtfulness, you'll be setting yourself up for success in your research endeavors, both in this class and beyond.</w:t>
      </w:r>
    </w:p>
    <w:p w14:paraId="0EB4CA01" w14:textId="77777777" w:rsidR="0042055D" w:rsidRDefault="0042055D" w:rsidP="000E309B">
      <w:pPr>
        <w:spacing w:line="360" w:lineRule="auto"/>
      </w:pPr>
    </w:p>
    <w:p w14:paraId="1105E595" w14:textId="77777777" w:rsidR="0042055D" w:rsidRDefault="0042055D" w:rsidP="000E309B">
      <w:pPr>
        <w:spacing w:line="360" w:lineRule="auto"/>
      </w:pPr>
    </w:p>
    <w:p w14:paraId="653E669D" w14:textId="1485D276" w:rsidR="00DF6737" w:rsidRDefault="00DF6737" w:rsidP="000E309B">
      <w:pPr>
        <w:spacing w:line="360" w:lineRule="auto"/>
        <w:sectPr w:rsidR="00DF6737" w:rsidSect="00FD08D0">
          <w:headerReference w:type="default" r:id="rId223"/>
          <w:pgSz w:w="12240" w:h="15840"/>
          <w:pgMar w:top="1440" w:right="1440" w:bottom="1440" w:left="1440" w:header="720" w:footer="720" w:gutter="0"/>
          <w:cols w:space="720"/>
          <w:docGrid w:linePitch="299"/>
        </w:sectPr>
      </w:pPr>
    </w:p>
    <w:p w14:paraId="5327D4CF" w14:textId="12864C86" w:rsidR="00A626FE" w:rsidRPr="000E309B" w:rsidRDefault="0081351C" w:rsidP="00294B9E">
      <w:pPr>
        <w:pStyle w:val="Heading2"/>
      </w:pPr>
      <w:bookmarkStart w:id="115" w:name="_Toc169156743"/>
      <w:r>
        <w:rPr>
          <w:noProof/>
        </w:rPr>
        <w:lastRenderedPageBreak/>
        <w:drawing>
          <wp:anchor distT="0" distB="0" distL="114300" distR="114300" simplePos="0" relativeHeight="251690068" behindDoc="0" locked="0" layoutInCell="1" allowOverlap="1" wp14:anchorId="3ED877F8" wp14:editId="5994B13F">
            <wp:simplePos x="0" y="0"/>
            <wp:positionH relativeFrom="column">
              <wp:align>right</wp:align>
            </wp:positionH>
            <wp:positionV relativeFrom="paragraph">
              <wp:posOffset>0</wp:posOffset>
            </wp:positionV>
            <wp:extent cx="1517904" cy="1517904"/>
            <wp:effectExtent l="0" t="0" r="6350" b="635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224" cstate="print">
                      <a:extLst>
                        <a:ext uri="{BEBA8EAE-BF5A-486C-A8C5-ECC9F3942E4B}">
                          <a14:imgProps xmlns:a14="http://schemas.microsoft.com/office/drawing/2010/main">
                            <a14:imgLayer r:embed="rId22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17904" cy="1517904"/>
                    </a:xfrm>
                    <a:prstGeom prst="rect">
                      <a:avLst/>
                    </a:prstGeom>
                  </pic:spPr>
                </pic:pic>
              </a:graphicData>
            </a:graphic>
            <wp14:sizeRelH relativeFrom="margin">
              <wp14:pctWidth>0</wp14:pctWidth>
            </wp14:sizeRelH>
            <wp14:sizeRelV relativeFrom="margin">
              <wp14:pctHeight>0</wp14:pctHeight>
            </wp14:sizeRelV>
          </wp:anchor>
        </w:drawing>
      </w:r>
      <w:r w:rsidR="00671066">
        <w:t xml:space="preserve">8: </w:t>
      </w:r>
      <w:r w:rsidR="00BB071E" w:rsidRPr="000E309B">
        <w:t>Survey Research</w:t>
      </w:r>
      <w:bookmarkEnd w:id="115"/>
    </w:p>
    <w:p w14:paraId="5327D4D1" w14:textId="32CC92E0" w:rsidR="00A626FE" w:rsidRDefault="00A31496" w:rsidP="00A31496">
      <w:r w:rsidRPr="00A31496">
        <w:t>Retailers face a critical challenge: understanding what products their customers are most likely to purchase. To gain these valuable insights, they often turn to surveys - a powerful tool for gathering direct feedback from consumers. However, crafting an effective survey is far more complex than simply asking a few quick questions. Designing surveys that yield unbiased, actionable data requires a deep understanding of both the art and science behind survey methodology.</w:t>
      </w:r>
    </w:p>
    <w:p w14:paraId="1165B43F" w14:textId="4FF0C3DD" w:rsidR="00812271" w:rsidRDefault="00E0031F" w:rsidP="00812271">
      <w:pPr>
        <w:pStyle w:val="IntenseQuote"/>
      </w:pPr>
      <w:r>
        <w:rPr>
          <w:noProof/>
        </w:rPr>
        <w:drawing>
          <wp:anchor distT="0" distB="0" distL="114300" distR="114300" simplePos="0" relativeHeight="251937876" behindDoc="0" locked="0" layoutInCell="1" allowOverlap="1" wp14:anchorId="6296D08C" wp14:editId="1BD9589E">
            <wp:simplePos x="0" y="0"/>
            <wp:positionH relativeFrom="column">
              <wp:align>right</wp:align>
            </wp:positionH>
            <wp:positionV relativeFrom="paragraph">
              <wp:posOffset>0</wp:posOffset>
            </wp:positionV>
            <wp:extent cx="914400" cy="914400"/>
            <wp:effectExtent l="19050" t="19050" r="19050" b="19050"/>
            <wp:wrapSquare wrapText="bothSides"/>
            <wp:docPr id="1062819199"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812271">
        <w:t>Objectives</w:t>
      </w:r>
    </w:p>
    <w:p w14:paraId="19F43C89" w14:textId="425FB71C" w:rsidR="00265F12" w:rsidRDefault="00265F12" w:rsidP="00754994">
      <w:pPr>
        <w:pStyle w:val="Quote"/>
      </w:pPr>
      <w:r>
        <w:t>Differentiate between cross-sectional and longitudinal survey designs and identify the strengths and weaknesses of each approach in capturing data at a single point in time or over an extended period.</w:t>
      </w:r>
    </w:p>
    <w:p w14:paraId="596FD3C4" w14:textId="77777777" w:rsidR="00265F12" w:rsidRDefault="00265F12" w:rsidP="00754994">
      <w:pPr>
        <w:pStyle w:val="Quote"/>
      </w:pPr>
      <w:r>
        <w:t>Compare and contrast the four types of longitudinal surveys (trend, panel, cohort, and retrospective), and explain how each design is used to track changes in the phenomena of interest over time.</w:t>
      </w:r>
    </w:p>
    <w:p w14:paraId="73438E18" w14:textId="77777777" w:rsidR="00265F12" w:rsidRDefault="00265F12" w:rsidP="00754994">
      <w:pPr>
        <w:pStyle w:val="Quote"/>
      </w:pPr>
      <w:r>
        <w:t>Describe the various methods of administering surveys, including printed, group-administered, and online questionnaires, and discuss the advantages and challenges associated with each approach in terms of cost, response rates, and potential biases.</w:t>
      </w:r>
    </w:p>
    <w:p w14:paraId="38E162E5" w14:textId="77777777" w:rsidR="00265F12" w:rsidRDefault="00265F12" w:rsidP="00754994">
      <w:pPr>
        <w:pStyle w:val="Quote"/>
      </w:pPr>
      <w:r>
        <w:t>Identify the key steps in designing effective survey questions, including setting clear goals, drafting concise and relevant questions, and incorporating filter questions to ensure that each item is applicable to the target respondents.</w:t>
      </w:r>
    </w:p>
    <w:p w14:paraId="28024B29" w14:textId="77777777" w:rsidR="00265F12" w:rsidRDefault="00265F12" w:rsidP="00754994">
      <w:pPr>
        <w:pStyle w:val="Quote"/>
      </w:pPr>
      <w:r>
        <w:t>Apply best practices for crafting survey questions, such as using straightforward language, avoiding ambiguity and bias, and ensuring that questions are mutually exclusive, exhaustive, and sensitive to respondents' knowledge and comfort levels.</w:t>
      </w:r>
    </w:p>
    <w:p w14:paraId="5076C36B" w14:textId="0D31B873" w:rsidR="00265F12" w:rsidRDefault="00265F12" w:rsidP="00754994">
      <w:pPr>
        <w:pStyle w:val="Quote"/>
      </w:pPr>
      <w:r>
        <w:t>Explain the importance of providing unambiguous response options for closed-ended questions and demonstrate the ability to create mutually exclusive and exhaustive answer choices that accurately capture the range of possible responses.</w:t>
      </w:r>
    </w:p>
    <w:p w14:paraId="62F1D4AD" w14:textId="1A002368" w:rsidR="00812271" w:rsidRPr="000E309B" w:rsidRDefault="00265F12" w:rsidP="00754994">
      <w:pPr>
        <w:pStyle w:val="Quote"/>
      </w:pPr>
      <w:r>
        <w:t xml:space="preserve">Describe common response formats for closed-ended questions, such as dichotomous, nominal, ordinal, and interval/ratio scales, and select the most </w:t>
      </w:r>
      <w:r>
        <w:lastRenderedPageBreak/>
        <w:t>appropriate format based on the nature of the question and the desired level of measurement.</w:t>
      </w:r>
    </w:p>
    <w:p w14:paraId="5327D4DA" w14:textId="38C65F54" w:rsidR="00A626FE" w:rsidRPr="000E309B" w:rsidRDefault="0066263B" w:rsidP="0066263B">
      <w:pPr>
        <w:pStyle w:val="Heading3"/>
      </w:pPr>
      <w:bookmarkStart w:id="116" w:name="_Toc169156744"/>
      <w:r>
        <w:t>I</w:t>
      </w:r>
      <w:r w:rsidR="00D14B33" w:rsidRPr="000E309B">
        <w:t>ntroduction</w:t>
      </w:r>
      <w:bookmarkEnd w:id="116"/>
    </w:p>
    <w:p w14:paraId="56405C0F" w14:textId="77777777" w:rsidR="00FE5147" w:rsidRDefault="00FE5147" w:rsidP="00FE5147">
      <w:r>
        <w:t>Survey research is a powerful tool for systematically collecting data about individuals and their preferences, thoughts, and behaviors through standardized questionnaires or interviews. While census surveys date back to Ancient Egypt, the use of surveys as a formal research method was pioneered in the 1930s and 40s by sociologist Paul Lazarsfeld, who examined the effects of radio on political opinion formation in the United States. Since then, surveys have become a prevalent method for quantitative research in business and social sciences. However, despite many students' familiarity with completing surveys, the skill and effort required to create a valid survey are often underestimated. Developing an effective survey is a time-consuming, meticulous process that involves numerous revisions.</w:t>
      </w:r>
    </w:p>
    <w:p w14:paraId="10255DE2" w14:textId="77777777" w:rsidR="00FE5147" w:rsidRDefault="00FE5147" w:rsidP="00FE5147">
      <w:r>
        <w:t>The survey method is particularly well-suited for studies that focus on individual people as the unit of analysis. While surveys can also be used to study other units, such as groups, organizations, or dyads (pairs of organizations, like buyers and sellers), these studies often rely on a specific person from each unit to serve as a "key informant" or "proxy." However, this approach may be subject to respondent bias if the chosen informant lacks adequate knowledge or holds biased opinions about the phenomenon being studied. For example, Chief Executive Officers may not have a comprehensive understanding of employee perceptions or teamwork dynamics within their companies, making them potentially unsuitable informants for studies on team dynamics or employee self-esteem.</w:t>
      </w:r>
    </w:p>
    <w:p w14:paraId="0270724E" w14:textId="2DC68AFC" w:rsidR="007E4FFA" w:rsidRDefault="007E4FFA" w:rsidP="007E4FFA">
      <w:pPr>
        <w:pStyle w:val="Heading4"/>
      </w:pPr>
      <w:r>
        <w:rPr>
          <w:noProof/>
        </w:rPr>
        <w:drawing>
          <wp:anchor distT="0" distB="0" distL="114300" distR="114300" simplePos="0" relativeHeight="251902036" behindDoc="0" locked="0" layoutInCell="1" allowOverlap="1" wp14:anchorId="0F3A990D" wp14:editId="0C641124">
            <wp:simplePos x="0" y="0"/>
            <wp:positionH relativeFrom="column">
              <wp:align>center</wp:align>
            </wp:positionH>
            <wp:positionV relativeFrom="paragraph">
              <wp:posOffset>0</wp:posOffset>
            </wp:positionV>
            <wp:extent cx="4727448" cy="2761488"/>
            <wp:effectExtent l="0" t="0" r="16510" b="0"/>
            <wp:wrapTopAndBottom/>
            <wp:docPr id="7779" name="Diagram 77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6" r:lo="rId227" r:qs="rId228" r:cs="rId229"/>
              </a:graphicData>
            </a:graphic>
            <wp14:sizeRelH relativeFrom="margin">
              <wp14:pctWidth>0</wp14:pctWidth>
            </wp14:sizeRelH>
            <wp14:sizeRelV relativeFrom="margin">
              <wp14:pctHeight>0</wp14:pctHeight>
            </wp14:sizeRelV>
          </wp:anchor>
        </w:drawing>
      </w:r>
      <w:r>
        <w:t>Strengths</w:t>
      </w:r>
    </w:p>
    <w:p w14:paraId="0A92B171" w14:textId="52BFE2A1" w:rsidR="00FE5147" w:rsidRDefault="00FE5147" w:rsidP="00FE5147">
      <w:r>
        <w:t>Survey research offers several inherent strengths compared to other research methods</w:t>
      </w:r>
      <w:r w:rsidR="00E84135">
        <w:t>.</w:t>
      </w:r>
    </w:p>
    <w:p w14:paraId="03B9A07F" w14:textId="185E5837" w:rsidR="00FE5147" w:rsidRDefault="00FE5147" w:rsidP="00B86A91">
      <w:pPr>
        <w:pStyle w:val="ListParagraph"/>
        <w:numPr>
          <w:ilvl w:val="0"/>
          <w:numId w:val="439"/>
        </w:numPr>
      </w:pPr>
      <w:r>
        <w:lastRenderedPageBreak/>
        <w:t xml:space="preserve">Surveys excel at measuring a wide range of unobservable data, including preferences (e.g., political orientation), traits (e.g., self-esteem), attitudes (e.g., toward immigrants), beliefs (e.g., about a new law), behaviors (e.g., smoking or drinking habits), and </w:t>
      </w:r>
      <w:r w:rsidR="007E4FFA">
        <w:t>facts</w:t>
      </w:r>
      <w:r>
        <w:t xml:space="preserve"> (e.g., income).</w:t>
      </w:r>
    </w:p>
    <w:p w14:paraId="012F8006" w14:textId="77777777" w:rsidR="00FE5147" w:rsidRDefault="00FE5147" w:rsidP="00B86A91">
      <w:pPr>
        <w:pStyle w:val="ListParagraph"/>
        <w:numPr>
          <w:ilvl w:val="0"/>
          <w:numId w:val="439"/>
        </w:numPr>
      </w:pPr>
      <w:r>
        <w:t>Surveys are ideal for remotely collecting data about large populations that cannot be directly observed. By using careful sampling techniques, surveys can ensure that the population is adequately represented in a small sample, allowing researchers to cover vast areas, such as entire countries, via mail-in, electronic mail, internet, or telephone surveys. Some respondents may prefer questionnaire surveys due to their unobtrusive nature and the ability to respond at one's convenience.</w:t>
      </w:r>
    </w:p>
    <w:p w14:paraId="74A65E8A" w14:textId="77777777" w:rsidR="00FE5147" w:rsidRDefault="00FE5147" w:rsidP="00B86A91">
      <w:pPr>
        <w:pStyle w:val="ListParagraph"/>
        <w:numPr>
          <w:ilvl w:val="0"/>
          <w:numId w:val="439"/>
        </w:numPr>
      </w:pPr>
      <w:r>
        <w:t>Surveys can be more easily generalized than other research techniques, as data can be collected from large samples at a relatively low cost. The standardized nature of surveys, where the same questions are phrased identically for all participants, tends to yield higher reliability compared to other data-gathering methods. In some cases, such as when studying homeless individuals or illegal immigrants for whom no sampling frame is available, interviews may be the only way to reach certain population groups.</w:t>
      </w:r>
    </w:p>
    <w:p w14:paraId="0314F6A0" w14:textId="77777777" w:rsidR="00FE5147" w:rsidRDefault="00FE5147" w:rsidP="00B86A91">
      <w:pPr>
        <w:pStyle w:val="ListParagraph"/>
        <w:numPr>
          <w:ilvl w:val="0"/>
          <w:numId w:val="439"/>
        </w:numPr>
      </w:pPr>
      <w:r>
        <w:t>Extensive sample surveys may enable researchers to detect minor effects while analyzing multiple variables. Depending on the survey design, comprehensive sample surveys may also allow for comparative analysis of population subgroups (i.e., within-group and between-group analysis). Moreover, survey research is generally more economical in terms of researcher time, effort, and cost compared to most other experimental and case research methods.</w:t>
      </w:r>
    </w:p>
    <w:p w14:paraId="4F72A9B6" w14:textId="7875F41A" w:rsidR="00E84135" w:rsidRDefault="00E84135" w:rsidP="00E84135">
      <w:pPr>
        <w:pStyle w:val="Heading4"/>
      </w:pPr>
      <w:r>
        <w:t>Weaknesses</w:t>
      </w:r>
    </w:p>
    <w:p w14:paraId="552727ED" w14:textId="1DF11A5D" w:rsidR="00FE5147" w:rsidRDefault="00FE5147" w:rsidP="00FE5147">
      <w:r>
        <w:t>However, survey research also has some disadvantages</w:t>
      </w:r>
      <w:r w:rsidR="00E84135">
        <w:t>.</w:t>
      </w:r>
    </w:p>
    <w:p w14:paraId="059AB68E" w14:textId="77777777" w:rsidR="00FE5147" w:rsidRDefault="00FE5147" w:rsidP="001B2FC6">
      <w:pPr>
        <w:pStyle w:val="ListParagraph"/>
        <w:numPr>
          <w:ilvl w:val="0"/>
          <w:numId w:val="440"/>
        </w:numPr>
      </w:pPr>
      <w:r>
        <w:t>Surveys are susceptible to various biases, including non-response bias, sampling bias, social desirability bias, and recall bias (discussed in detail later in this chapter).</w:t>
      </w:r>
    </w:p>
    <w:p w14:paraId="68DC9F5D" w14:textId="77777777" w:rsidR="00FE5147" w:rsidRDefault="00FE5147" w:rsidP="001B2FC6">
      <w:pPr>
        <w:pStyle w:val="ListParagraph"/>
        <w:numPr>
          <w:ilvl w:val="0"/>
          <w:numId w:val="440"/>
        </w:numPr>
      </w:pPr>
      <w:r>
        <w:t>Although surveys offer flexibility in terms of the number and range of questions that can be asked, researchers are bound to the instrument even if it is later found to contain confusing items.</w:t>
      </w:r>
    </w:p>
    <w:p w14:paraId="492E7B4F" w14:textId="3AC96B3F" w:rsidR="00FE5147" w:rsidRDefault="00FE5147" w:rsidP="001B2FC6">
      <w:pPr>
        <w:pStyle w:val="ListParagraph"/>
        <w:numPr>
          <w:ilvl w:val="0"/>
          <w:numId w:val="440"/>
        </w:numPr>
      </w:pPr>
      <w:r>
        <w:t xml:space="preserve">Survey questions must be written in a way that a broad range of people can understand, which may lead to validity concerns not </w:t>
      </w:r>
      <w:r w:rsidR="001B2FC6">
        <w:t>found</w:t>
      </w:r>
      <w:r>
        <w:t xml:space="preserve"> in more flexible methods.</w:t>
      </w:r>
    </w:p>
    <w:p w14:paraId="5327D4ED" w14:textId="66E82DF9" w:rsidR="00A626FE" w:rsidRPr="000E309B" w:rsidRDefault="00FE5147" w:rsidP="005E5ADB">
      <w:r>
        <w:t xml:space="preserve">Despite these limitations, survey research remains an essential tool for gathering valuable data across diverse fields, </w:t>
      </w:r>
      <w:r w:rsidR="0093496F">
        <w:t>if</w:t>
      </w:r>
      <w:r>
        <w:t xml:space="preserve"> researchers are aware of potential biases and take steps to minimize their impact.</w:t>
      </w:r>
    </w:p>
    <w:p w14:paraId="5327D4EE" w14:textId="40BE7C4C" w:rsidR="00A626FE" w:rsidRPr="000E309B" w:rsidRDefault="00FF5B0A" w:rsidP="00FF5B0A">
      <w:pPr>
        <w:pStyle w:val="Heading3"/>
      </w:pPr>
      <w:bookmarkStart w:id="117" w:name="_Toc169156745"/>
      <w:r>
        <w:t>T</w:t>
      </w:r>
      <w:r w:rsidR="00D14B33" w:rsidRPr="000E309B">
        <w:t xml:space="preserve">ypes of </w:t>
      </w:r>
      <w:r>
        <w:t>S</w:t>
      </w:r>
      <w:r w:rsidR="00D14B33" w:rsidRPr="000E309B">
        <w:t>urveys</w:t>
      </w:r>
      <w:bookmarkEnd w:id="117"/>
    </w:p>
    <w:p w14:paraId="5327D4EF" w14:textId="33C39314" w:rsidR="00A626FE" w:rsidRDefault="00A65FE9" w:rsidP="00825484">
      <w:r w:rsidRPr="00A65FE9">
        <w:t>Surveys are classified in two ways: time (frequency with which they are done) and administration (how they are delivered to respondents). This section clarifies the concepts for both groups.</w:t>
      </w:r>
    </w:p>
    <w:p w14:paraId="5327D4F0" w14:textId="16337A43" w:rsidR="00A626FE" w:rsidRPr="000E309B" w:rsidRDefault="00B83212" w:rsidP="001A41DD">
      <w:pPr>
        <w:pStyle w:val="Heading4"/>
      </w:pPr>
      <w:r>
        <w:rPr>
          <w:noProof/>
        </w:rPr>
        <w:lastRenderedPageBreak/>
        <w:drawing>
          <wp:anchor distT="0" distB="0" distL="114300" distR="114300" simplePos="0" relativeHeight="251691092" behindDoc="0" locked="0" layoutInCell="1" allowOverlap="1" wp14:anchorId="1361AA28" wp14:editId="4FE61523">
            <wp:simplePos x="0" y="0"/>
            <wp:positionH relativeFrom="column">
              <wp:align>center</wp:align>
            </wp:positionH>
            <wp:positionV relativeFrom="paragraph">
              <wp:posOffset>0</wp:posOffset>
            </wp:positionV>
            <wp:extent cx="3968496" cy="2148840"/>
            <wp:effectExtent l="38100" t="0" r="13335" b="41910"/>
            <wp:wrapTopAndBottom/>
            <wp:docPr id="75" name="Diagram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1" r:lo="rId232" r:qs="rId233" r:cs="rId234"/>
              </a:graphicData>
            </a:graphic>
            <wp14:sizeRelH relativeFrom="margin">
              <wp14:pctWidth>0</wp14:pctWidth>
            </wp14:sizeRelH>
            <wp14:sizeRelV relativeFrom="margin">
              <wp14:pctHeight>0</wp14:pctHeight>
            </wp14:sizeRelV>
          </wp:anchor>
        </w:drawing>
      </w:r>
      <w:r w:rsidR="00D14B33" w:rsidRPr="000E309B">
        <w:t>Time</w:t>
      </w:r>
    </w:p>
    <w:p w14:paraId="5327D4F1" w14:textId="64DF4AF6" w:rsidR="00A626FE" w:rsidRDefault="00816AA6" w:rsidP="00825484">
      <w:r w:rsidRPr="00816AA6">
        <w:t>Surveys are classified into two types based on time: cross-sectional and longitudinal.</w:t>
      </w:r>
    </w:p>
    <w:p w14:paraId="13BA1434" w14:textId="4588A30B" w:rsidR="00EB0D55" w:rsidRDefault="00EB0D55" w:rsidP="00EB0D55">
      <w:pPr>
        <w:pStyle w:val="Heading5"/>
      </w:pPr>
      <w:r>
        <w:t>Cross-Sectional</w:t>
      </w:r>
    </w:p>
    <w:p w14:paraId="729B5403" w14:textId="686724B9" w:rsidR="00564DA1" w:rsidRDefault="00564DA1" w:rsidP="00564DA1">
      <w:r>
        <w:t>Cross-sectional surveys are a type of research tool administered at a single point in time, offering researchers a snapshot of how things are at that moment. The term "cross-sectional" refers to the fact that these surveys collect data across multiple units of analysis simultaneously. For instance, a cross-sectional survey might be administered to human resources staff members at five different companies or to customers at several movie theaters on the same evening.</w:t>
      </w:r>
    </w:p>
    <w:p w14:paraId="4195DA8C" w14:textId="4B987E0C" w:rsidR="00564DA1" w:rsidRDefault="00564DA1" w:rsidP="00564DA1">
      <w:r>
        <w:t>To illustrate the use of cross-sectional surveys, consider a study that investigated e-cigarette use among adolescents</w:t>
      </w:r>
      <w:r w:rsidR="00C477FA">
        <w:t xml:space="preserve"> </w:t>
      </w:r>
      <w:r w:rsidR="00C477FA">
        <w:fldChar w:fldCharType="begin"/>
      </w:r>
      <w:r w:rsidR="007C07B4">
        <w:instrText xml:space="preserve"> ADDIN ZOTERO_ITEM CSL_CITATION {"citationID":"a2gf7kkase7","properties":{"formattedCitation":"[76]","plainCitation":"[76]","noteIndex":0},"citationItems":[{"id":185,"uris":["http://zotero.org/users/5015692/items/EFPW6MD5"],"itemData":{"id":185,"type":"article-journal","container-title":"JAMA pediatrics","issue":"7","page":"610–617","title":"Electronic cigarettes and conventional cigarette use among US adolescents: a cross-sectional study","volume":"168","author":[{"family":"Dutra","given":"Lauren M"},{"family":"Glantz","given":"Stanton A"}],"issued":{"date-parts":[["2014"]]}}}],"schema":"https://github.com/citation-style-language/schema/raw/master/csl-citation.json"} </w:instrText>
      </w:r>
      <w:r w:rsidR="00C477FA">
        <w:fldChar w:fldCharType="separate"/>
      </w:r>
      <w:r w:rsidR="007C07B4" w:rsidRPr="007C07B4">
        <w:t>[76]</w:t>
      </w:r>
      <w:r w:rsidR="00C477FA">
        <w:fldChar w:fldCharType="end"/>
      </w:r>
      <w:r>
        <w:t>. The researchers employed a cross-sectional survey of more than 40,000 students from over two hundred middle and high schools across the United States. Their findings indicated that "</w:t>
      </w:r>
      <w:r w:rsidR="00366F7C">
        <w:t>…</w:t>
      </w:r>
      <w:r>
        <w:t>e-cigarette use was associated with higher odds of ever smoking cigarettes</w:t>
      </w:r>
      <w:r w:rsidR="00647DA5">
        <w:t>…</w:t>
      </w:r>
      <w:r>
        <w:t>," highlighting the potential link between e-cigarette use and traditional cigarette smoking in adolescents.</w:t>
      </w:r>
    </w:p>
    <w:p w14:paraId="420DF800" w14:textId="64032917" w:rsidR="00564DA1" w:rsidRDefault="00564DA1" w:rsidP="00647DA5">
      <w:r>
        <w:t>Another example of a cross-sectional survey can be found in the work of Jørgensen et al. who explored the relationship between workplace health promotion participation and work environment factors</w:t>
      </w:r>
      <w:r w:rsidR="00C477FA">
        <w:t xml:space="preserve"> </w:t>
      </w:r>
      <w:r w:rsidR="00C477FA">
        <w:fldChar w:fldCharType="begin"/>
      </w:r>
      <w:r w:rsidR="007C07B4">
        <w:instrText xml:space="preserve"> ADDIN ZOTERO_ITEM CSL_CITATION {"citationID":"ah0dh108ci","properties":{"formattedCitation":"[77]","plainCitation":"[77]","noteIndex":0},"citationItems":[{"id":184,"uris":["http://zotero.org/users/5015692/items/UCR24TEU"],"itemData":{"id":184,"type":"article-journal","container-title":"BMJ open","issue":"6","page":"e010516","title":"Does employee participation in workplace health promotion depend on the working environment? A cross-sectional study of Danish workers","volume":"6","author":[{"family":"Jørgensen","given":"Marie Birk"},{"family":"Villadsen","given":"Ebbe"},{"family":"Burr","given":"Hermann"},{"family":"Punnett","given":"Laura"},{"family":"Holtermann","given":"Andreas"}],"issued":{"date-parts":[["2016"]]}}}],"schema":"https://github.com/citation-style-language/schema/raw/master/csl-citation.json"} </w:instrText>
      </w:r>
      <w:r w:rsidR="00C477FA">
        <w:fldChar w:fldCharType="separate"/>
      </w:r>
      <w:r w:rsidR="007C07B4" w:rsidRPr="007C07B4">
        <w:t>[77]</w:t>
      </w:r>
      <w:r w:rsidR="00C477FA">
        <w:fldChar w:fldCharType="end"/>
      </w:r>
      <w:r>
        <w:t>. The researchers surveyed 10,605 Danish workers and discovered that lower participation in health promotion programs was associated with factors such as the timing of the programs (during or after work hours), the level of social support for the programs in the workplace, and the physical demands of the job.</w:t>
      </w:r>
    </w:p>
    <w:p w14:paraId="0E5F5CC9" w14:textId="4C7C7760" w:rsidR="00564DA1" w:rsidRDefault="00564DA1" w:rsidP="00564DA1">
      <w:r>
        <w:t xml:space="preserve">While cross-sectional surveys provide valuable insights, it is important to recognize their limitations. One key issue is that the phenomena these surveys are designed to assess, such as events, opinions, and behaviors, are often not static. Consequently, generalizing from a cross-sectional survey about the </w:t>
      </w:r>
      <w:r w:rsidR="00A922E4">
        <w:t>situation</w:t>
      </w:r>
      <w:r>
        <w:t xml:space="preserve"> can be challenging. Although the survey may capture a snapshot of how things were at the time of administration, it is difficult to determine whether the observed patterns persisted afterward.</w:t>
      </w:r>
    </w:p>
    <w:p w14:paraId="2AECE58F" w14:textId="77777777" w:rsidR="00564DA1" w:rsidRDefault="00564DA1" w:rsidP="00564DA1">
      <w:r>
        <w:lastRenderedPageBreak/>
        <w:t>To illustrate this point, consider how Americans might have responded to a survey about terrorism on September 10, 2001, compared to their responses on September 12, 2001. The drastic difference in responses that would likely occur highlights the fact that cross-sectional surveys are sensitive to the specific time at which they are conducted.</w:t>
      </w:r>
    </w:p>
    <w:p w14:paraId="7C88251C" w14:textId="77777777" w:rsidR="00564DA1" w:rsidRDefault="00564DA1" w:rsidP="00564DA1">
      <w:r>
        <w:t>This limitation does not render cross-sectional surveys useless; rather, it underscores the importance of researchers being mindful that these surveys represent a snapshot in time. When interpreting and drawing conclusions from cross-sectional survey data, researchers must consider the temporal context and exercise caution in making broad generalizations.</w:t>
      </w:r>
    </w:p>
    <w:p w14:paraId="5327D4F4" w14:textId="5F984969" w:rsidR="00A626FE" w:rsidRPr="000E309B" w:rsidRDefault="00564DA1" w:rsidP="00261492">
      <w:r>
        <w:t>Despite this limitation, cross-sectional surveys remain a valuable tool for researchers seeking to gain insights into a wide range of phenomena at a specific point in time. By carefully designing and administering these surveys, researchers can collect rich data that contributes to our understanding of various social, psychological, and economic issues.</w:t>
      </w:r>
    </w:p>
    <w:p w14:paraId="5327D4F5" w14:textId="4EF4D1A0" w:rsidR="00A626FE" w:rsidRPr="000E309B" w:rsidRDefault="00D14B33" w:rsidP="00A237E7">
      <w:pPr>
        <w:pStyle w:val="Heading5"/>
      </w:pPr>
      <w:r w:rsidRPr="000E309B">
        <w:t>Longitudinal</w:t>
      </w:r>
    </w:p>
    <w:p w14:paraId="71A25FC5" w14:textId="77777777" w:rsidR="00E54071" w:rsidRDefault="00E54071" w:rsidP="00E54071">
      <w:r>
        <w:t>Longitudinal surveys involve observations made over an extended period, allowing researchers to track changes in the phenomena of interest. There are four main types of longitudinal surveys: trend, panel, cohort, and retrospective.</w:t>
      </w:r>
    </w:p>
    <w:p w14:paraId="426A85C8" w14:textId="77777777" w:rsidR="00E54071" w:rsidRDefault="00E54071" w:rsidP="00544ACD">
      <w:pPr>
        <w:pStyle w:val="Heading6"/>
      </w:pPr>
      <w:r>
        <w:t>Trend surveys</w:t>
      </w:r>
    </w:p>
    <w:p w14:paraId="0B9B11F7" w14:textId="2B7F1438" w:rsidR="00E54071" w:rsidRDefault="00E54071" w:rsidP="00E54071">
      <w:r>
        <w:t xml:space="preserve">Trend surveys are conducted over a long period, often spanning years, and involve multiple rounds of data collection. For example, </w:t>
      </w:r>
      <w:r w:rsidR="00BA52E5">
        <w:t xml:space="preserve">one </w:t>
      </w:r>
      <w:r w:rsidR="00E06B90">
        <w:t>study explored</w:t>
      </w:r>
      <w:r>
        <w:t xml:space="preserve"> the relationship between job satisfaction, age, and tenure by surveying 21,670 people in 34 "waves" of data collection over 40 years</w:t>
      </w:r>
      <w:r w:rsidR="00A65E06">
        <w:t xml:space="preserve"> </w:t>
      </w:r>
      <w:r w:rsidR="00A65E06">
        <w:fldChar w:fldCharType="begin"/>
      </w:r>
      <w:r w:rsidR="007C07B4">
        <w:instrText xml:space="preserve"> ADDIN ZOTERO_ITEM CSL_CITATION {"citationID":"a25b88e0qih","properties":{"formattedCitation":"[78]","plainCitation":"[78]","noteIndex":0},"citationItems":[{"id":183,"uris":["http://zotero.org/users/5015692/items/TSVFJL3E"],"itemData":{"id":183,"type":"article-journal","container-title":"Journal of management","title":"Time and job satisfaction: A longitudinal study of the differential roles of age and tenure","author":[{"family":"Dobrow Riza","given":"Shoshana"},{"family":"Ganzach","given":"Yoav"},{"family":"Liu","given":"Yihao"}],"issued":{"date-parts":[["2015"]]}}}],"schema":"https://github.com/citation-style-language/schema/raw/master/csl-citation.json"} </w:instrText>
      </w:r>
      <w:r w:rsidR="00A65E06">
        <w:fldChar w:fldCharType="separate"/>
      </w:r>
      <w:r w:rsidR="007C07B4" w:rsidRPr="007C07B4">
        <w:t>[78]</w:t>
      </w:r>
      <w:r w:rsidR="00A65E06">
        <w:fldChar w:fldCharType="end"/>
      </w:r>
      <w:r>
        <w:t>. They found that as tenure within an organization increased, job satisfaction tended to decrease; however, as people aged and changed jobs, their satisfaction levels increased.</w:t>
      </w:r>
    </w:p>
    <w:p w14:paraId="263C642D" w14:textId="77777777" w:rsidR="00E54071" w:rsidRDefault="00E54071" w:rsidP="00B66D24">
      <w:pPr>
        <w:pStyle w:val="Heading6"/>
      </w:pPr>
      <w:r>
        <w:t>Panel surveys</w:t>
      </w:r>
    </w:p>
    <w:p w14:paraId="75DBD5A1" w14:textId="77777777" w:rsidR="00E54071" w:rsidRDefault="00E54071" w:rsidP="00E54071">
      <w:r>
        <w:t>Unlike trend surveys, panel surveys involve administering questionnaires to the same group of participants each time. While panel surveys can be costly and challenging to maintain, as they require tracking participants' whereabouts and accounting for attrition, they offer valuable insights into individual-level changes over time.</w:t>
      </w:r>
    </w:p>
    <w:p w14:paraId="3BE5ED8C" w14:textId="4CE2517A" w:rsidR="00E54071" w:rsidRDefault="00E54071" w:rsidP="00E54071">
      <w:r>
        <w:t>The Youth Development Study is an excellent example of a panel study</w:t>
      </w:r>
      <w:r w:rsidR="00A65E06">
        <w:t xml:space="preserve"> </w:t>
      </w:r>
      <w:r w:rsidR="00A65E06">
        <w:fldChar w:fldCharType="begin"/>
      </w:r>
      <w:r w:rsidR="007C07B4">
        <w:instrText xml:space="preserve"> ADDIN ZOTERO_ITEM CSL_CITATION {"citationID":"a29qc8ki0qi","properties":{"formattedCitation":"[79]","plainCitation":"[79]","noteIndex":0},"citationItems":[{"id":180,"uris":["http://zotero.org/users/5015692/items/QHALP5GD"],"itemData":{"id":180,"type":"webpage","title":"Youth Development Study","URL":"https://cla.umn.edu/sociology/graduate/collaboration-opportunities/youth-development-study","author":[{"family":"Minnesota","given":"University","dropping-particle":"of"}],"accessed":{"date-parts":[["2018",12,26]]},"issued":{"date-parts":[["2018"]]}}}],"schema":"https://github.com/citation-style-language/schema/raw/master/csl-citation.json"} </w:instrText>
      </w:r>
      <w:r w:rsidR="00A65E06">
        <w:fldChar w:fldCharType="separate"/>
      </w:r>
      <w:r w:rsidR="007C07B4" w:rsidRPr="007C07B4">
        <w:t>[79]</w:t>
      </w:r>
      <w:r w:rsidR="00A65E06">
        <w:fldChar w:fldCharType="end"/>
      </w:r>
      <w:r>
        <w:t>. Since 1988, researchers have surveyed the same 1,000 individuals annually, starting when they were in ninth grade and continuing into their thirties. The study has yielded hundreds of publications, revealing, for instance, that work has a largely positive impact on young people, contrary to popular belief.</w:t>
      </w:r>
    </w:p>
    <w:p w14:paraId="1610A1B6" w14:textId="5A149068" w:rsidR="00E54071" w:rsidRDefault="00E54071" w:rsidP="00E54071">
      <w:r>
        <w:t>In a business context, a two-year panel study examin</w:t>
      </w:r>
      <w:r w:rsidR="00462545">
        <w:t>ed</w:t>
      </w:r>
      <w:r>
        <w:t xml:space="preserve"> how the ethical culture of organizations influences managers' well-being</w:t>
      </w:r>
      <w:r w:rsidR="00315D34">
        <w:t xml:space="preserve"> </w:t>
      </w:r>
      <w:r w:rsidR="00315D34">
        <w:fldChar w:fldCharType="begin"/>
      </w:r>
      <w:r w:rsidR="007C07B4">
        <w:instrText xml:space="preserve"> ADDIN ZOTERO_ITEM CSL_CITATION {"citationID":"a2n5ddb647g","properties":{"formattedCitation":"[80]","plainCitation":"[80]","noteIndex":0},"citationItems":[{"id":182,"uris":["http://zotero.org/users/5015692/items/HN5YF8EL"],"itemData":{"id":182,"type":"article-journal","container-title":"European Journal of Work and Organizational Psychology","issue":"3","page":"335–352","title":"How perceived changes in the ethical culture of organizations influence the well-being of managers: A two-year longitudinal study","volume":"25","author":[{"family":"Huhtala","given":"Mari"},{"family":"Kaptein","given":"Muel"},{"family":"Feldt","given":"Taru"}],"issued":{"date-parts":[["2016"]]}}}],"schema":"https://github.com/citation-style-language/schema/raw/master/csl-citation.json"} </w:instrText>
      </w:r>
      <w:r w:rsidR="00315D34">
        <w:fldChar w:fldCharType="separate"/>
      </w:r>
      <w:r w:rsidR="007C07B4" w:rsidRPr="007C07B4">
        <w:t>[80]</w:t>
      </w:r>
      <w:r w:rsidR="00315D34">
        <w:fldChar w:fldCharType="end"/>
      </w:r>
      <w:r>
        <w:t>. They found that managers in low or declining ethical cultures experienced changes in their well-being over the course of the study.</w:t>
      </w:r>
    </w:p>
    <w:p w14:paraId="2261E1AF" w14:textId="77777777" w:rsidR="00E54071" w:rsidRDefault="00E54071" w:rsidP="00B66D24">
      <w:pPr>
        <w:pStyle w:val="Heading6"/>
      </w:pPr>
      <w:r>
        <w:lastRenderedPageBreak/>
        <w:t>Cohort surveys</w:t>
      </w:r>
    </w:p>
    <w:p w14:paraId="201BB84A" w14:textId="77777777" w:rsidR="00E54071" w:rsidRDefault="00E54071" w:rsidP="00E54071">
      <w:r>
        <w:t>In a cohort survey, researchers identify a category of people and regularly survey individuals who fall into that category. While the same people may not necessarily participate each time, all participants must meet the specified criteria. Cohorts can be based on factors such as generation, graduation year, industry entry, or shared life experiences.</w:t>
      </w:r>
    </w:p>
    <w:p w14:paraId="6279ADD2" w14:textId="2E5085AB" w:rsidR="00E54071" w:rsidRDefault="00E54071" w:rsidP="00E54071">
      <w:r>
        <w:t>Percheski compared women's employment rates across seven generational cohorts, from Progressives born between 1906-1915 to Generation Xers born between 1966-1975</w:t>
      </w:r>
      <w:r w:rsidR="00315D34">
        <w:t xml:space="preserve"> </w:t>
      </w:r>
      <w:r w:rsidR="00315D34">
        <w:fldChar w:fldCharType="begin"/>
      </w:r>
      <w:r w:rsidR="007C07B4">
        <w:instrText xml:space="preserve"> ADDIN ZOTERO_ITEM CSL_CITATION {"citationID":"aucnk23gp9","properties":{"formattedCitation":"[81]","plainCitation":"[81]","noteIndex":0},"citationItems":[{"id":181,"uris":["http://zotero.org/users/5015692/items/BC9HID7A"],"itemData":{"id":181,"type":"article-journal","container-title":"American sociological review","issue":"3","page":"497–517","title":"Opting out? Cohort differences in professional women's employment rates from 1960 to 2005","volume":"73","author":[{"family":"Percheski","given":"Christine"}],"issued":{"date-parts":[["2008"]]}}}],"schema":"https://github.com/citation-style-language/schema/raw/master/csl-citation.json"} </w:instrText>
      </w:r>
      <w:r w:rsidR="00315D34">
        <w:fldChar w:fldCharType="separate"/>
      </w:r>
      <w:r w:rsidR="007C07B4" w:rsidRPr="007C07B4">
        <w:t>[81]</w:t>
      </w:r>
      <w:r w:rsidR="00315D34">
        <w:fldChar w:fldCharType="end"/>
      </w:r>
      <w:r>
        <w:t>. She found that professional women's labor force participation had increased across all cohorts and that Generation X mothers with young children had higher participation rates than their counterparts from previous generations.</w:t>
      </w:r>
    </w:p>
    <w:p w14:paraId="4AEC3C61" w14:textId="012565E4" w:rsidR="00E54071" w:rsidRDefault="00C05ECA" w:rsidP="00E54071">
      <w:r>
        <w:t>A</w:t>
      </w:r>
      <w:r w:rsidR="00E54071">
        <w:t>nother cohort study surveyed public relations practitioners annually from 2005 to 2015</w:t>
      </w:r>
      <w:r w:rsidR="00BC5ED2">
        <w:t xml:space="preserve"> </w:t>
      </w:r>
      <w:r w:rsidR="00BC5ED2">
        <w:fldChar w:fldCharType="begin"/>
      </w:r>
      <w:r w:rsidR="007C07B4">
        <w:instrText xml:space="preserve"> ADDIN ZOTERO_ITEM CSL_CITATION {"citationID":"a2b9nodbn9h","properties":{"formattedCitation":"[82]","plainCitation":"[82]","noteIndex":0},"citationItems":[{"id":175,"uris":["http://zotero.org/users/5015692/items/YSJ6ZQZC"],"itemData":{"id":175,"type":"article-journal","container-title":"Public relations journal","issue":"2","page":"1–26","title":"Examining social and emerging media use in public relations practice: A ten-year longitudinal analysis","volume":"9","author":[{"family":"Wright","given":"Donald K"},{"family":"Hinson","given":"Michelle Drifka"}],"issued":{"date-parts":[["2015"]]}}}],"schema":"https://github.com/citation-style-language/schema/raw/master/csl-citation.json"} </w:instrText>
      </w:r>
      <w:r w:rsidR="00BC5ED2">
        <w:fldChar w:fldCharType="separate"/>
      </w:r>
      <w:r w:rsidR="007C07B4" w:rsidRPr="007C07B4">
        <w:t>[82]</w:t>
      </w:r>
      <w:r w:rsidR="00BC5ED2">
        <w:fldChar w:fldCharType="end"/>
      </w:r>
      <w:r w:rsidR="00E54071">
        <w:t>. They found that Facebook and Twitter were the dominant social media platforms for public relations, while LinkedIn and YouTube were less popular. Respondents agreed that social media was transforming the practice of public relations.</w:t>
      </w:r>
    </w:p>
    <w:p w14:paraId="059B5702" w14:textId="77777777" w:rsidR="00E54071" w:rsidRDefault="00E54071" w:rsidP="003E2769">
      <w:pPr>
        <w:pStyle w:val="Heading6"/>
      </w:pPr>
      <w:r>
        <w:t>Retrospective surveys</w:t>
      </w:r>
    </w:p>
    <w:p w14:paraId="3365A4A5" w14:textId="77777777" w:rsidR="00E54071" w:rsidRDefault="00E54071" w:rsidP="00E54071">
      <w:r>
        <w:t>Retrospective surveys are administered once but ask participants to report events from the past, allowing researchers to gather longitudinal-like data without the time or expense of a true longitudinal study. However, the accuracy of responses may be affected by participants' ability to recall past behaviors, beliefs, or experiences.</w:t>
      </w:r>
    </w:p>
    <w:p w14:paraId="5D6A1B44" w14:textId="77777777" w:rsidR="00E54071" w:rsidRDefault="00E54071" w:rsidP="00E54071">
      <w:r>
        <w:t>For example, asking respondents about their last Valentine's Day celebration may yield accurate responses, as the event occurred within the past 12 months. However, asking them to compare their experiences across the past six Valentine's Days may result in less reliable data due to memory limitations.</w:t>
      </w:r>
    </w:p>
    <w:p w14:paraId="0DD2E8B4" w14:textId="33D55D2A" w:rsidR="00C75D92" w:rsidRDefault="00E54071" w:rsidP="00E54071">
      <w:r>
        <w:t>Longitudinal surveys offer the unique advantage of capturing changes in the phenomena of interest over time. By carefully designing and implementing these studies, researchers can gain valuable insights into how individuals, groups, and societies evolve and respond to various factors.</w:t>
      </w:r>
    </w:p>
    <w:p w14:paraId="5327D500" w14:textId="48AA4E80" w:rsidR="00A626FE" w:rsidRDefault="0067726E" w:rsidP="000E309B">
      <w:pPr>
        <w:spacing w:line="360" w:lineRule="auto"/>
      </w:pPr>
      <w:r>
        <w:t xml:space="preserve">The following table </w:t>
      </w:r>
      <w:r w:rsidR="00D14B33" w:rsidRPr="000E309B">
        <w:t xml:space="preserve">summarizes each of the four types of </w:t>
      </w:r>
      <w:r w:rsidR="000F7DD0">
        <w:t xml:space="preserve">a </w:t>
      </w:r>
      <w:r w:rsidR="00D14B33" w:rsidRPr="000E309B">
        <w:t>longitudinal survey.</w:t>
      </w:r>
    </w:p>
    <w:tbl>
      <w:tblPr>
        <w:tblStyle w:val="GridTable4-Accent1"/>
        <w:tblW w:w="0" w:type="auto"/>
        <w:jc w:val="center"/>
        <w:tblLook w:val="04A0" w:firstRow="1" w:lastRow="0" w:firstColumn="1" w:lastColumn="0" w:noHBand="0" w:noVBand="1"/>
      </w:tblPr>
      <w:tblGrid>
        <w:gridCol w:w="1617"/>
        <w:gridCol w:w="6356"/>
      </w:tblGrid>
      <w:tr w:rsidR="000F7DD0" w14:paraId="79217766" w14:textId="77777777" w:rsidTr="00C751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tcPr>
          <w:p w14:paraId="4F7DAA05" w14:textId="2F9D6F90" w:rsidR="000F7DD0" w:rsidRDefault="000F7DD0" w:rsidP="001B6681">
            <w:r>
              <w:t>Type</w:t>
            </w:r>
          </w:p>
        </w:tc>
        <w:tc>
          <w:tcPr>
            <w:tcW w:w="6356" w:type="dxa"/>
          </w:tcPr>
          <w:p w14:paraId="22F0560A" w14:textId="4B96A789" w:rsidR="000F7DD0" w:rsidRDefault="000F7DD0" w:rsidP="001B6681">
            <w:pPr>
              <w:cnfStyle w:val="100000000000" w:firstRow="1" w:lastRow="0" w:firstColumn="0" w:lastColumn="0" w:oddVBand="0" w:evenVBand="0" w:oddHBand="0" w:evenHBand="0" w:firstRowFirstColumn="0" w:firstRowLastColumn="0" w:lastRowFirstColumn="0" w:lastRowLastColumn="0"/>
            </w:pPr>
            <w:r>
              <w:t>Description</w:t>
            </w:r>
          </w:p>
        </w:tc>
      </w:tr>
      <w:tr w:rsidR="000F7DD0" w14:paraId="512DA40C" w14:textId="77777777" w:rsidTr="00C751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tcPr>
          <w:p w14:paraId="21F05ABD" w14:textId="4A445F11" w:rsidR="000F7DD0" w:rsidRDefault="000F7DD0" w:rsidP="001B6681">
            <w:r>
              <w:t>Trend</w:t>
            </w:r>
          </w:p>
        </w:tc>
        <w:tc>
          <w:tcPr>
            <w:tcW w:w="6356" w:type="dxa"/>
          </w:tcPr>
          <w:p w14:paraId="1CD5CD31" w14:textId="0570082B" w:rsidR="000F7DD0" w:rsidRDefault="00FF573B" w:rsidP="001B6681">
            <w:pPr>
              <w:cnfStyle w:val="000000100000" w:firstRow="0" w:lastRow="0" w:firstColumn="0" w:lastColumn="0" w:oddVBand="0" w:evenVBand="0" w:oddHBand="1" w:evenHBand="0" w:firstRowFirstColumn="0" w:firstRowLastColumn="0" w:lastRowFirstColumn="0" w:lastRowLastColumn="0"/>
            </w:pPr>
            <w:r>
              <w:t>The r</w:t>
            </w:r>
            <w:r w:rsidR="0073196D" w:rsidRPr="000E309B">
              <w:t>esearcher examines trends over time; the same people do not necessarily participate in the survey more than once.</w:t>
            </w:r>
          </w:p>
        </w:tc>
      </w:tr>
      <w:tr w:rsidR="0073196D" w14:paraId="42FE4B6B" w14:textId="77777777" w:rsidTr="00C7519F">
        <w:trPr>
          <w:jc w:val="center"/>
        </w:trPr>
        <w:tc>
          <w:tcPr>
            <w:cnfStyle w:val="001000000000" w:firstRow="0" w:lastRow="0" w:firstColumn="1" w:lastColumn="0" w:oddVBand="0" w:evenVBand="0" w:oddHBand="0" w:evenHBand="0" w:firstRowFirstColumn="0" w:firstRowLastColumn="0" w:lastRowFirstColumn="0" w:lastRowLastColumn="0"/>
            <w:tcW w:w="1559" w:type="dxa"/>
          </w:tcPr>
          <w:p w14:paraId="0C663336" w14:textId="4BFCB8C9" w:rsidR="0073196D" w:rsidRDefault="0073196D" w:rsidP="001B6681">
            <w:r>
              <w:t>Panel</w:t>
            </w:r>
          </w:p>
        </w:tc>
        <w:tc>
          <w:tcPr>
            <w:tcW w:w="6356" w:type="dxa"/>
          </w:tcPr>
          <w:p w14:paraId="47C74712" w14:textId="14B16C58" w:rsidR="0073196D" w:rsidRPr="000E309B" w:rsidRDefault="00FF573B" w:rsidP="001B6681">
            <w:pPr>
              <w:cnfStyle w:val="000000000000" w:firstRow="0" w:lastRow="0" w:firstColumn="0" w:lastColumn="0" w:oddVBand="0" w:evenVBand="0" w:oddHBand="0" w:evenHBand="0" w:firstRowFirstColumn="0" w:firstRowLastColumn="0" w:lastRowFirstColumn="0" w:lastRowLastColumn="0"/>
            </w:pPr>
            <w:r>
              <w:t>The r</w:t>
            </w:r>
            <w:r w:rsidR="0073196D" w:rsidRPr="000E309B">
              <w:t xml:space="preserve">esearcher surveys the same </w:t>
            </w:r>
            <w:r w:rsidR="0049721E">
              <w:t>people</w:t>
            </w:r>
            <w:r w:rsidR="0073196D" w:rsidRPr="000E309B">
              <w:t xml:space="preserve"> several times over </w:t>
            </w:r>
            <w:r w:rsidR="00E35090">
              <w:t>a long period</w:t>
            </w:r>
            <w:r w:rsidR="0073196D" w:rsidRPr="000E309B">
              <w:t>.</w:t>
            </w:r>
          </w:p>
        </w:tc>
      </w:tr>
      <w:tr w:rsidR="0073196D" w14:paraId="720448E9" w14:textId="77777777" w:rsidTr="00C751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9" w:type="dxa"/>
          </w:tcPr>
          <w:p w14:paraId="1EEDBCF7" w14:textId="66F2A164" w:rsidR="0073196D" w:rsidRDefault="0073196D" w:rsidP="001B6681">
            <w:r>
              <w:t>Cohort</w:t>
            </w:r>
          </w:p>
        </w:tc>
        <w:tc>
          <w:tcPr>
            <w:tcW w:w="6356" w:type="dxa"/>
          </w:tcPr>
          <w:p w14:paraId="21771F9B" w14:textId="511DD711" w:rsidR="0073196D" w:rsidRPr="000E309B" w:rsidRDefault="00FF573B" w:rsidP="001B6681">
            <w:pPr>
              <w:cnfStyle w:val="000000100000" w:firstRow="0" w:lastRow="0" w:firstColumn="0" w:lastColumn="0" w:oddVBand="0" w:evenVBand="0" w:oddHBand="1" w:evenHBand="0" w:firstRowFirstColumn="0" w:firstRowLastColumn="0" w:lastRowFirstColumn="0" w:lastRowLastColumn="0"/>
            </w:pPr>
            <w:r>
              <w:t>The r</w:t>
            </w:r>
            <w:r w:rsidR="0073196D" w:rsidRPr="000E309B">
              <w:t>esearcher identifies some category of interest and then regularly surveys people who fall into that category.</w:t>
            </w:r>
          </w:p>
        </w:tc>
      </w:tr>
      <w:tr w:rsidR="0073196D" w14:paraId="7D9F16DC" w14:textId="77777777" w:rsidTr="00C7519F">
        <w:trPr>
          <w:jc w:val="center"/>
        </w:trPr>
        <w:tc>
          <w:tcPr>
            <w:cnfStyle w:val="001000000000" w:firstRow="0" w:lastRow="0" w:firstColumn="1" w:lastColumn="0" w:oddVBand="0" w:evenVBand="0" w:oddHBand="0" w:evenHBand="0" w:firstRowFirstColumn="0" w:firstRowLastColumn="0" w:lastRowFirstColumn="0" w:lastRowLastColumn="0"/>
            <w:tcW w:w="1559" w:type="dxa"/>
          </w:tcPr>
          <w:p w14:paraId="474CFAC0" w14:textId="26419BAA" w:rsidR="0073196D" w:rsidRDefault="0073196D" w:rsidP="001B6681">
            <w:r>
              <w:t>Retrospective</w:t>
            </w:r>
          </w:p>
        </w:tc>
        <w:tc>
          <w:tcPr>
            <w:tcW w:w="6356" w:type="dxa"/>
          </w:tcPr>
          <w:p w14:paraId="6F3C769B" w14:textId="43E54CBD" w:rsidR="0073196D" w:rsidRPr="000E309B" w:rsidRDefault="0073196D" w:rsidP="00C7519F">
            <w:pPr>
              <w:keepNext/>
              <w:cnfStyle w:val="000000000000" w:firstRow="0" w:lastRow="0" w:firstColumn="0" w:lastColumn="0" w:oddVBand="0" w:evenVBand="0" w:oddHBand="0" w:evenHBand="0" w:firstRowFirstColumn="0" w:firstRowLastColumn="0" w:lastRowFirstColumn="0" w:lastRowLastColumn="0"/>
            </w:pPr>
            <w:r w:rsidRPr="000E309B">
              <w:t>Surveys are conducted only on</w:t>
            </w:r>
            <w:r w:rsidR="001B6681">
              <w:t>c</w:t>
            </w:r>
            <w:r w:rsidRPr="000E309B">
              <w:t>e</w:t>
            </w:r>
            <w:r w:rsidR="001B6681">
              <w:t>,</w:t>
            </w:r>
            <w:r w:rsidRPr="000E309B">
              <w:t xml:space="preserve"> but the</w:t>
            </w:r>
            <w:r>
              <w:t xml:space="preserve"> </w:t>
            </w:r>
            <w:r w:rsidRPr="000E309B">
              <w:t xml:space="preserve">respondents are asked to report things </w:t>
            </w:r>
            <w:r w:rsidR="00507B96">
              <w:t>from</w:t>
            </w:r>
            <w:r w:rsidRPr="000E309B">
              <w:t xml:space="preserve"> the past.</w:t>
            </w:r>
          </w:p>
        </w:tc>
      </w:tr>
    </w:tbl>
    <w:p w14:paraId="5327D50E" w14:textId="1965E335" w:rsidR="00A626FE" w:rsidRPr="000E309B" w:rsidRDefault="00D14B33" w:rsidP="00145C34">
      <w:pPr>
        <w:pStyle w:val="Heading4"/>
      </w:pPr>
      <w:r w:rsidRPr="000E309B">
        <w:lastRenderedPageBreak/>
        <w:t>Administration</w:t>
      </w:r>
    </w:p>
    <w:p w14:paraId="3D0D1354" w14:textId="77777777" w:rsidR="00523112" w:rsidRDefault="00523112" w:rsidP="00523112">
      <w:r>
        <w:t>Self-administered questionnaires are a common method of conducting surveys, where participants are given a set of written questions to answer independently. These questionnaires can be delivered in various formats, including printed, group-administered, or online.</w:t>
      </w:r>
    </w:p>
    <w:p w14:paraId="7AF00A7F" w14:textId="77777777" w:rsidR="00523112" w:rsidRDefault="00523112" w:rsidP="00523112">
      <w:pPr>
        <w:pStyle w:val="Heading5"/>
      </w:pPr>
      <w:r>
        <w:t>Printed surveys</w:t>
      </w:r>
    </w:p>
    <w:p w14:paraId="65CFB2F4" w14:textId="77777777" w:rsidR="00523112" w:rsidRDefault="00523112" w:rsidP="00523112">
      <w:r>
        <w:t>Printed self-administered questionnaires can be delivered to participants in person, such as in a classroom, church, or prison setting. Researchers may also distribute questionnaires door-to-door, either asking people to complete them on the spot or arranging to collect the completed surveys later. Although online survey tools have largely replaced door-to-door delivery, some researchers may still use this method, particularly during election seasons.</w:t>
      </w:r>
    </w:p>
    <w:p w14:paraId="6C112E8D" w14:textId="58E5AE5B" w:rsidR="00523112" w:rsidRDefault="00523112" w:rsidP="00523112">
      <w:r>
        <w:t>When visiting each sample member is not feasible, researchers may send surveys through physical mail. While this mode of delivery may not be ideal, as response rates tend to be lower compared to in-person delivery, it is sometimes the only available or most practical option. To improve response rates, researchers often provide advance notice to respondents and follow up with a mailed reminder a few weeks after distributing the survey</w:t>
      </w:r>
      <w:r w:rsidR="00BC5ED2">
        <w:t xml:space="preserve"> </w:t>
      </w:r>
      <w:r w:rsidR="00BC5ED2">
        <w:fldChar w:fldCharType="begin"/>
      </w:r>
      <w:r w:rsidR="007C07B4">
        <w:instrText xml:space="preserve"> ADDIN ZOTERO_ITEM CSL_CITATION {"citationID":"a1cs623bk67","properties":{"formattedCitation":"[83]","plainCitation":"[83]","noteIndex":0},"citationItems":[{"id":174,"uris":["http://zotero.org/users/5015692/items/2TAF58N6"],"itemData":{"id":174,"type":"article-journal","container-title":"The practice of social research","title":"Unobtrusive research","volume":"320","author":[{"family":"Babbie","given":"Earl"},{"family":"Wagenaar","given":"T"}],"issued":{"date-parts":[["2010"]]}}}],"schema":"https://github.com/citation-style-language/schema/raw/master/csl-citation.json"} </w:instrText>
      </w:r>
      <w:r w:rsidR="00BC5ED2">
        <w:fldChar w:fldCharType="separate"/>
      </w:r>
      <w:r w:rsidR="007C07B4" w:rsidRPr="007C07B4">
        <w:t>[83]</w:t>
      </w:r>
      <w:r w:rsidR="00BC5ED2">
        <w:fldChar w:fldCharType="end"/>
      </w:r>
      <w:r>
        <w:t>.</w:t>
      </w:r>
    </w:p>
    <w:p w14:paraId="61D9628C" w14:textId="77777777" w:rsidR="00523112" w:rsidRDefault="00523112" w:rsidP="00336CAA">
      <w:pPr>
        <w:pStyle w:val="Heading5"/>
      </w:pPr>
      <w:r>
        <w:t>Group-administered surveys</w:t>
      </w:r>
    </w:p>
    <w:p w14:paraId="6BA6804E" w14:textId="29D5F79D" w:rsidR="00523112" w:rsidRDefault="00523112" w:rsidP="00523112">
      <w:r>
        <w:t xml:space="preserve">In a group-administered questionnaire, respondents are brought together in a room and asked to complete the survey independently, without interacting with each other. This format is convenient for researchers and ensures a high response rate, as well as the opportunity for respondents to seek clarification on any questions they find unclear. Group-administered surveys are particularly useful in </w:t>
      </w:r>
      <w:r w:rsidR="00B041C2">
        <w:t>work</w:t>
      </w:r>
      <w:r>
        <w:t xml:space="preserve"> settings, where employees can be easily assembled in a common space, especially with the support of corporate executives.</w:t>
      </w:r>
    </w:p>
    <w:p w14:paraId="0C6BD2CD" w14:textId="77777777" w:rsidR="00523112" w:rsidRDefault="00523112" w:rsidP="00336CAA">
      <w:pPr>
        <w:pStyle w:val="Heading5"/>
      </w:pPr>
      <w:r>
        <w:t>Online surveys</w:t>
      </w:r>
    </w:p>
    <w:p w14:paraId="1F82BCB2" w14:textId="23F8306A" w:rsidR="00523112" w:rsidRDefault="00523112" w:rsidP="00523112">
      <w:r>
        <w:t xml:space="preserve">Online surveys have become increasingly popular due to their ease of use, cost-effectiveness, and quick turnaround time compared to door-to-door or mailed surveys. Researchers can use free online survey delivery services like </w:t>
      </w:r>
      <w:r w:rsidRPr="00015F1B">
        <w:rPr>
          <w:i/>
          <w:iCs/>
        </w:rPr>
        <w:t>SurveyMonkey</w:t>
      </w:r>
      <w:r>
        <w:t>, which offer the added benefit of providing results in formats compatible with data analysis programs such as</w:t>
      </w:r>
      <w:r w:rsidR="0019533E">
        <w:t xml:space="preserve"> </w:t>
      </w:r>
      <w:r w:rsidR="0019533E" w:rsidRPr="0019533E">
        <w:rPr>
          <w:i/>
          <w:iCs/>
        </w:rPr>
        <w:t>SPSS</w:t>
      </w:r>
      <w:r w:rsidR="0019533E">
        <w:t xml:space="preserve"> and</w:t>
      </w:r>
      <w:r>
        <w:t xml:space="preserve"> </w:t>
      </w:r>
      <w:r w:rsidRPr="00015F1B">
        <w:rPr>
          <w:i/>
          <w:iCs/>
        </w:rPr>
        <w:t>R</w:t>
      </w:r>
      <w:r>
        <w:t>, eliminating the need for manual data entry.</w:t>
      </w:r>
    </w:p>
    <w:p w14:paraId="57D809D3" w14:textId="77777777" w:rsidR="00523112" w:rsidRDefault="00523112" w:rsidP="00523112">
      <w:r>
        <w:t>However, online surveys have several weaknesses. If the survey website is not secure or designed to prevent multiple submissions, the responses can be easily compromised. Additionally, online surveys may suffer from sampling bias, as they cannot reach individuals without computer or Internet access, such as low-income, elderly, or minority populations. The respondent sample may also skew towards younger demographics who spend more time online and have the capacity to complete surveys. Lastly, calculating response rates can be challenging if the survey link is shared on social media platforms instead of being directly emailed to targeted respondents.</w:t>
      </w:r>
    </w:p>
    <w:p w14:paraId="45AE362A" w14:textId="77777777" w:rsidR="00523112" w:rsidRDefault="00523112" w:rsidP="00523112">
      <w:r>
        <w:t xml:space="preserve">To improve response rates, online surveys often include incentives, such as the satisfaction of helping others, coupons for online stores, or a chance to win a prize through a drawing. However, </w:t>
      </w:r>
      <w:r>
        <w:lastRenderedPageBreak/>
        <w:t>using rewards raises concerns about the validity of the results, as participants may rush through the survey or provide insincere responses to be eligible for the incentive.</w:t>
      </w:r>
    </w:p>
    <w:p w14:paraId="5327D518" w14:textId="29D217CC" w:rsidR="00A626FE" w:rsidRPr="000E309B" w:rsidRDefault="00523112" w:rsidP="00116E79">
      <w:r>
        <w:t>It is important to note that surveys administered through personal interaction, such as interviews, differ significantly in methodology from self-administered questionnaires and will be discussed in</w:t>
      </w:r>
      <w:r w:rsidR="001D5571">
        <w:t xml:space="preserve"> Chapter</w:t>
      </w:r>
      <w:r>
        <w:t xml:space="preserve"> </w:t>
      </w:r>
      <w:r w:rsidR="00E737CC">
        <w:fldChar w:fldCharType="begin"/>
      </w:r>
      <w:r w:rsidR="00E737CC">
        <w:instrText xml:space="preserve"> REF _Ref71188030 \h </w:instrText>
      </w:r>
      <w:r w:rsidR="00E737CC">
        <w:fldChar w:fldCharType="separate"/>
      </w:r>
      <w:r w:rsidR="00980002">
        <w:t>11: Interviews</w:t>
      </w:r>
      <w:r w:rsidR="00E737CC">
        <w:fldChar w:fldCharType="end"/>
      </w:r>
      <w:r>
        <w:t>.</w:t>
      </w:r>
    </w:p>
    <w:p w14:paraId="5327D51A" w14:textId="30F151C3" w:rsidR="00A626FE" w:rsidRPr="000E309B" w:rsidRDefault="00FF5B0A" w:rsidP="00FF5B0A">
      <w:pPr>
        <w:pStyle w:val="Heading3"/>
      </w:pPr>
      <w:bookmarkStart w:id="118" w:name="_Toc169156746"/>
      <w:r>
        <w:t>D</w:t>
      </w:r>
      <w:r w:rsidR="00D14B33" w:rsidRPr="000E309B">
        <w:t xml:space="preserve">esigning </w:t>
      </w:r>
      <w:r>
        <w:t>E</w:t>
      </w:r>
      <w:r w:rsidR="00D14B33" w:rsidRPr="000E309B">
        <w:t xml:space="preserve">ffective </w:t>
      </w:r>
      <w:r>
        <w:t>Q</w:t>
      </w:r>
      <w:r w:rsidR="00D14B33" w:rsidRPr="000E309B">
        <w:t>uestionnaires</w:t>
      </w:r>
      <w:bookmarkEnd w:id="118"/>
    </w:p>
    <w:p w14:paraId="5327D51B" w14:textId="108B6C20" w:rsidR="00A626FE" w:rsidRPr="000E309B" w:rsidRDefault="00B0752A" w:rsidP="00CE5433">
      <w:r>
        <w:t>Q</w:t>
      </w:r>
      <w:r w:rsidR="00214A53" w:rsidRPr="00214A53">
        <w:t>uestionnaire</w:t>
      </w:r>
      <w:r>
        <w:t>s</w:t>
      </w:r>
      <w:r w:rsidR="00214A53" w:rsidRPr="00214A53">
        <w:t xml:space="preserve">, invented by Sir Francis Galton, </w:t>
      </w:r>
      <w:r>
        <w:t>are</w:t>
      </w:r>
      <w:r w:rsidR="00214A53" w:rsidRPr="00214A53">
        <w:t xml:space="preserve"> research instrument</w:t>
      </w:r>
      <w:r>
        <w:t>s</w:t>
      </w:r>
      <w:r w:rsidR="00214A53" w:rsidRPr="00214A53">
        <w:t xml:space="preserve"> made up of items designed to elicit replies from respondents in a uniform manner. Items can be either </w:t>
      </w:r>
      <w:r w:rsidR="001714A0">
        <w:t>structured</w:t>
      </w:r>
      <w:r w:rsidR="00214A53" w:rsidRPr="00214A53">
        <w:t xml:space="preserve"> or unstructured. Structured items ask responders to choose an answer from a list of options. The replies are then combined into a composite scale or index for statistical analysis. Unstructured questions, on the other hand, require respondents to </w:t>
      </w:r>
      <w:r w:rsidR="005703D0">
        <w:t>use their own words</w:t>
      </w:r>
      <w:r w:rsidR="00CA49D4">
        <w:t xml:space="preserve"> in a free-flowing submission</w:t>
      </w:r>
      <w:r w:rsidR="00214A53" w:rsidRPr="00214A53">
        <w:t>. Surveys are not suited for certain demographic groups, such as children or the illiterate, because questions should be constructed such that respondents can read, comprehend, and reply to them meaningfully.</w:t>
      </w:r>
    </w:p>
    <w:p w14:paraId="5327D51C" w14:textId="3459B826" w:rsidR="00A626FE" w:rsidRDefault="00D14B33" w:rsidP="0097744D">
      <w:pPr>
        <w:pStyle w:val="Heading4"/>
      </w:pPr>
      <w:r w:rsidRPr="000E309B">
        <w:t>Effective Questions</w:t>
      </w:r>
    </w:p>
    <w:p w14:paraId="70FA6511" w14:textId="0AA15FF8" w:rsidR="005E0466" w:rsidRPr="005E0466" w:rsidRDefault="00C40B8D" w:rsidP="006F40D1">
      <w:r>
        <w:rPr>
          <w:noProof/>
        </w:rPr>
        <w:drawing>
          <wp:anchor distT="0" distB="0" distL="114300" distR="114300" simplePos="0" relativeHeight="251692116" behindDoc="0" locked="0" layoutInCell="1" allowOverlap="1" wp14:anchorId="6E76AA84" wp14:editId="6B561D7E">
            <wp:simplePos x="0" y="0"/>
            <wp:positionH relativeFrom="column">
              <wp:align>center</wp:align>
            </wp:positionH>
            <wp:positionV relativeFrom="paragraph">
              <wp:posOffset>0</wp:posOffset>
            </wp:positionV>
            <wp:extent cx="3447288" cy="2011680"/>
            <wp:effectExtent l="19050" t="0" r="20320" b="7620"/>
            <wp:wrapTopAndBottom/>
            <wp:docPr id="77" name="Diagram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6" r:lo="rId237" r:qs="rId238" r:cs="rId239"/>
              </a:graphicData>
            </a:graphic>
            <wp14:sizeRelH relativeFrom="margin">
              <wp14:pctWidth>0</wp14:pctWidth>
            </wp14:sizeRelH>
            <wp14:sizeRelV relativeFrom="margin">
              <wp14:pctHeight>0</wp14:pctHeight>
            </wp14:sizeRelV>
          </wp:anchor>
        </w:drawing>
      </w:r>
      <w:r w:rsidR="005E0466">
        <w:t xml:space="preserve">Writing </w:t>
      </w:r>
      <w:r w:rsidR="00334094">
        <w:t>survey questions is more of an art than a science, but three steps help th</w:t>
      </w:r>
      <w:r w:rsidR="00D1495C">
        <w:t>e</w:t>
      </w:r>
      <w:r w:rsidR="00334094">
        <w:t xml:space="preserve"> process.</w:t>
      </w:r>
    </w:p>
    <w:p w14:paraId="69DC8C8C" w14:textId="4CFFC124" w:rsidR="00701189" w:rsidRDefault="00E14B75" w:rsidP="00701189">
      <w:r>
        <w:rPr>
          <w:noProof/>
        </w:rPr>
        <w:drawing>
          <wp:anchor distT="0" distB="0" distL="114300" distR="114300" simplePos="0" relativeHeight="251904084" behindDoc="0" locked="0" layoutInCell="1" allowOverlap="1" wp14:anchorId="2825169D" wp14:editId="238B831A">
            <wp:simplePos x="0" y="0"/>
            <wp:positionH relativeFrom="margin">
              <wp:align>right</wp:align>
            </wp:positionH>
            <wp:positionV relativeFrom="paragraph">
              <wp:posOffset>0</wp:posOffset>
            </wp:positionV>
            <wp:extent cx="914400" cy="914400"/>
            <wp:effectExtent l="0" t="0" r="0" b="0"/>
            <wp:wrapSquare wrapText="bothSides"/>
            <wp:docPr id="80" name="Graphic 80" descr="Bullsey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phic 80" descr="Bullseye with solid fill"/>
                    <pic:cNvPicPr/>
                  </pic:nvPicPr>
                  <pic:blipFill>
                    <a:blip r:embed="rId241">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914400" cy="914400"/>
                    </a:xfrm>
                    <a:prstGeom prst="rect">
                      <a:avLst/>
                    </a:prstGeom>
                  </pic:spPr>
                </pic:pic>
              </a:graphicData>
            </a:graphic>
          </wp:anchor>
        </w:drawing>
      </w:r>
      <w:r w:rsidR="001C4DB3" w:rsidRPr="001C4DB3">
        <w:rPr>
          <w:b/>
          <w:bCs/>
        </w:rPr>
        <w:t>Identify Goals</w:t>
      </w:r>
      <w:r w:rsidR="001C4DB3">
        <w:t xml:space="preserve">. </w:t>
      </w:r>
      <w:r w:rsidR="00701189">
        <w:t>When designing a survey, the first crucial step is to identify the specific information being sought. While this may seem obvious, researchers often overlook essential questions, which can undermine the effectiveness of the survey. For example, if researchers want to understand the factors contributing to students' successful transition from high school to college, they must include questions that address all possible factors.</w:t>
      </w:r>
    </w:p>
    <w:p w14:paraId="65DC21BE" w14:textId="77777777" w:rsidR="00701189" w:rsidRDefault="00701189" w:rsidP="00701189">
      <w:r>
        <w:t>To ensure a comprehensive set of questions, researchers should consult the existing literature on the topic and brainstorm with colleagues and relevant stakeholders, such as high school students. While it may not be feasible to include every single factor in the survey, as it could make the questionnaire excessively long, careful consideration should be given to identifying the most critical factors.</w:t>
      </w:r>
    </w:p>
    <w:p w14:paraId="3C60F6FD" w14:textId="77777777" w:rsidR="00701189" w:rsidRDefault="00701189" w:rsidP="00701189">
      <w:r>
        <w:lastRenderedPageBreak/>
        <w:t>However, it is equally important to avoid an "everything-but-the-kitchen-sink" approach, which can unnecessarily burden respondents. Since respondents are volunteering their time and attention, researchers should respect their efforts by only asking necessary and relevant questions.</w:t>
      </w:r>
    </w:p>
    <w:p w14:paraId="0A37F7DC" w14:textId="76E66254" w:rsidR="00701189" w:rsidRDefault="00B52ABA" w:rsidP="00701189">
      <w:r>
        <w:rPr>
          <w:noProof/>
        </w:rPr>
        <w:drawing>
          <wp:anchor distT="0" distB="0" distL="114300" distR="114300" simplePos="0" relativeHeight="251906132" behindDoc="0" locked="0" layoutInCell="1" allowOverlap="1" wp14:anchorId="7F5721E1" wp14:editId="687C9E80">
            <wp:simplePos x="0" y="0"/>
            <wp:positionH relativeFrom="column">
              <wp:align>right</wp:align>
            </wp:positionH>
            <wp:positionV relativeFrom="paragraph">
              <wp:posOffset>0</wp:posOffset>
            </wp:positionV>
            <wp:extent cx="914400" cy="914400"/>
            <wp:effectExtent l="0" t="0" r="0" b="0"/>
            <wp:wrapSquare wrapText="bothSides"/>
            <wp:docPr id="79" name="Graphic 79" descr="Signa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Signature with solid fill"/>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a:off x="0" y="0"/>
                      <a:ext cx="914400" cy="914400"/>
                    </a:xfrm>
                    <a:prstGeom prst="rect">
                      <a:avLst/>
                    </a:prstGeom>
                  </pic:spPr>
                </pic:pic>
              </a:graphicData>
            </a:graphic>
          </wp:anchor>
        </w:drawing>
      </w:r>
      <w:r w:rsidR="00716C6B" w:rsidRPr="00716C6B">
        <w:rPr>
          <w:b/>
          <w:bCs/>
        </w:rPr>
        <w:t>Draft Questions</w:t>
      </w:r>
      <w:r w:rsidR="00716C6B">
        <w:t xml:space="preserve">. </w:t>
      </w:r>
      <w:r w:rsidR="00701189">
        <w:t>Once the topics have been identified, the next step is to draft the questions. Questions should be clear, concise, and to the point. Writing survey questions is not an opportunity for researchers to showcase their creative writing skills; instead, a survey should be treated as a technical instrument, with questions written in a direct and succinct manner. Each question should be relevant to every respondent, meaning that they have both knowledge about the topic and experience with the events, behaviors, or feelings being investigated.</w:t>
      </w:r>
    </w:p>
    <w:p w14:paraId="64CE0CCA" w14:textId="2D7CD852" w:rsidR="00701189" w:rsidRDefault="00701189" w:rsidP="00701189">
      <w:r>
        <w:t>For example, it would be inappropriate to ask a sample of 18-year-olds how they would have advised President Bill Clinton during his impeachment, as most of them would not have the necessary knowledge or experience to provide meaningful responses. Similarly, in the college transition survey</w:t>
      </w:r>
      <w:r w:rsidR="00896D8B">
        <w:t xml:space="preserve"> mentioned above</w:t>
      </w:r>
      <w:r>
        <w:t>, respondents must understand the concept of "transition to college" and have personally experienced that transition.</w:t>
      </w:r>
    </w:p>
    <w:p w14:paraId="1D809764" w14:textId="4880581B" w:rsidR="00701189" w:rsidRDefault="0067362E" w:rsidP="00701189">
      <w:r>
        <w:rPr>
          <w:noProof/>
        </w:rPr>
        <w:drawing>
          <wp:anchor distT="0" distB="0" distL="114300" distR="114300" simplePos="0" relativeHeight="251908180" behindDoc="0" locked="0" layoutInCell="1" allowOverlap="1" wp14:anchorId="7EC0E7D6" wp14:editId="1577F15C">
            <wp:simplePos x="0" y="0"/>
            <wp:positionH relativeFrom="column">
              <wp:align>right</wp:align>
            </wp:positionH>
            <wp:positionV relativeFrom="paragraph">
              <wp:posOffset>0</wp:posOffset>
            </wp:positionV>
            <wp:extent cx="914400" cy="914400"/>
            <wp:effectExtent l="0" t="0" r="0" b="0"/>
            <wp:wrapSquare wrapText="bothSides"/>
            <wp:docPr id="81" name="Graphic 81" descr="Filt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Filter outline"/>
                    <pic:cNvPicPr/>
                  </pic:nvPicPr>
                  <pic:blipFill>
                    <a:blip r:embed="rId245">
                      <a:extLst>
                        <a:ext uri="{28A0092B-C50C-407E-A947-70E740481C1C}">
                          <a14:useLocalDpi xmlns:a14="http://schemas.microsoft.com/office/drawing/2010/main" val="0"/>
                        </a:ext>
                        <a:ext uri="{96DAC541-7B7A-43D3-8B79-37D633B846F1}">
                          <asvg:svgBlip xmlns:asvg="http://schemas.microsoft.com/office/drawing/2016/SVG/main" r:embed="rId246"/>
                        </a:ext>
                      </a:extLst>
                    </a:blip>
                    <a:stretch>
                      <a:fillRect/>
                    </a:stretch>
                  </pic:blipFill>
                  <pic:spPr>
                    <a:xfrm>
                      <a:off x="0" y="0"/>
                      <a:ext cx="914400" cy="914400"/>
                    </a:xfrm>
                    <a:prstGeom prst="rect">
                      <a:avLst/>
                    </a:prstGeom>
                  </pic:spPr>
                </pic:pic>
              </a:graphicData>
            </a:graphic>
          </wp:anchor>
        </w:drawing>
      </w:r>
      <w:r w:rsidR="001C4DB3" w:rsidRPr="001C4DB3">
        <w:rPr>
          <w:b/>
          <w:bCs/>
        </w:rPr>
        <w:t>Include Filters</w:t>
      </w:r>
      <w:r w:rsidR="001C4DB3">
        <w:t xml:space="preserve">. </w:t>
      </w:r>
      <w:r w:rsidR="00701189">
        <w:t>If a survey includes questions that are only relevant to a subset of respondents, it should incorporate "filter questions." A filter question is designed to identify respondents who should be asked additional questions that are not applicable to the entire sample. In the college transition survey, if alcohol use is considered relevant to college success, a filter question could be used to identify respondents who drank alcohol during their first semester. For example, "If you drank alcohol during your first semester of college, please answer questions 13 and 14; otherwise, skip to question 15." Online surveys often automate filter questions, displaying or hiding additional questions based on the respondent's answer to the filter question.</w:t>
      </w:r>
    </w:p>
    <w:p w14:paraId="047FF2D3" w14:textId="73B2ED9B" w:rsidR="00E03A04" w:rsidRDefault="00701189" w:rsidP="00701189">
      <w:r>
        <w:t xml:space="preserve">It is crucial to recognize that the responses obtained in survey research are highly sensitive to the types of questions asked. Poorly framed or ambiguous questions will likely result in meaningless responses with little value. </w:t>
      </w:r>
      <w:r w:rsidR="00E4588B">
        <w:t xml:space="preserve">There are </w:t>
      </w:r>
      <w:r>
        <w:t>guidelines for creating effective survey questions, which researchers should carefully consider when designing their surveys</w:t>
      </w:r>
      <w:r w:rsidR="00C8192B">
        <w:t xml:space="preserve"> </w:t>
      </w:r>
      <w:r w:rsidR="00C8192B">
        <w:fldChar w:fldCharType="begin"/>
      </w:r>
      <w:r w:rsidR="007C07B4">
        <w:instrText xml:space="preserve"> ADDIN ZOTERO_ITEM CSL_CITATION {"citationID":"a1p8i4a3476","properties":{"formattedCitation":"[84]","plainCitation":"[84]","noteIndex":0},"citationItems":[{"id":179,"uris":["http://zotero.org/users/5015692/items/SGFPQA7C"],"itemData":{"id":179,"type":"book","publisher":"John Wiley &amp; Sons","title":"Mail and Internet surveys: The tailored design method–2007 Update with new Internet, visual, and mixed-mode guide","author":[{"family":"Dillman","given":"Don A"}],"issued":{"date-parts":[["2011"]]}}}],"schema":"https://github.com/citation-style-language/schema/raw/master/csl-citation.json"} </w:instrText>
      </w:r>
      <w:r w:rsidR="00C8192B">
        <w:fldChar w:fldCharType="separate"/>
      </w:r>
      <w:r w:rsidR="007C07B4" w:rsidRPr="007C07B4">
        <w:t>[84]</w:t>
      </w:r>
      <w:r w:rsidR="00C8192B">
        <w:fldChar w:fldCharType="end"/>
      </w:r>
      <w:r>
        <w:t>.</w:t>
      </w:r>
    </w:p>
    <w:p w14:paraId="5D5DFCF4" w14:textId="13132580" w:rsidR="0033067C" w:rsidRDefault="00FA28B0" w:rsidP="00563119">
      <w:pPr>
        <w:pStyle w:val="Heading5"/>
      </w:pPr>
      <w:r>
        <w:t>Best Practices</w:t>
      </w:r>
      <w:r w:rsidR="003F271F">
        <w:t xml:space="preserve"> for Designing Questions</w:t>
      </w:r>
    </w:p>
    <w:p w14:paraId="541015D0" w14:textId="51A90CD4" w:rsidR="0033067C" w:rsidRDefault="0033067C" w:rsidP="0033067C">
      <w:r>
        <w:t>When crafting survey questions, it's important to keep the following guidelines in mind to ensure you get reliable, accurate responses:</w:t>
      </w:r>
    </w:p>
    <w:p w14:paraId="5262D1D8" w14:textId="77777777" w:rsidR="003F271F" w:rsidRDefault="0033067C" w:rsidP="0033067C">
      <w:pPr>
        <w:pStyle w:val="ListParagraph"/>
        <w:numPr>
          <w:ilvl w:val="0"/>
          <w:numId w:val="272"/>
        </w:numPr>
      </w:pPr>
      <w:r>
        <w:t>Keep questions clear and understandable. Use straightforward language and an active voice. Avoid complicated words or jargon, unless your survey is for a specialized group like doctors or lawyers who regularly use that terminology. Aim for consistent wording across all questions to make the survey easy for respondents to complete.</w:t>
      </w:r>
    </w:p>
    <w:p w14:paraId="660197F8" w14:textId="77777777" w:rsidR="003F271F" w:rsidRDefault="0033067C" w:rsidP="0033067C">
      <w:pPr>
        <w:pStyle w:val="ListParagraph"/>
        <w:numPr>
          <w:ilvl w:val="0"/>
          <w:numId w:val="272"/>
        </w:numPr>
      </w:pPr>
      <w:r>
        <w:lastRenderedPageBreak/>
        <w:t>Avoid negative wording. Questions phrased negatively, like "Should your local government not raise taxes?", can confuse respondents and lead to unreliable data. Double negatives are especially problematic and should always be avoided.</w:t>
      </w:r>
    </w:p>
    <w:p w14:paraId="06B4642F" w14:textId="418C85C3" w:rsidR="003F271F" w:rsidRDefault="0033067C" w:rsidP="0033067C">
      <w:pPr>
        <w:pStyle w:val="ListParagraph"/>
        <w:numPr>
          <w:ilvl w:val="0"/>
          <w:numId w:val="272"/>
        </w:numPr>
      </w:pPr>
      <w:r>
        <w:t xml:space="preserve">Watch out for ambiguity. Make sure questions can't be interpreted differently by different people. For example, if you </w:t>
      </w:r>
      <w:r w:rsidR="003F271F">
        <w:t>ask,</w:t>
      </w:r>
      <w:r>
        <w:t xml:space="preserve"> "What is your annual income?", clarify whether you mean only wages or if you want them to include dividends, rental income, etc. too. Ambiguous questions lead to responses that can't be properly compared.</w:t>
      </w:r>
    </w:p>
    <w:p w14:paraId="527EE03E" w14:textId="77777777" w:rsidR="003F271F" w:rsidRDefault="0033067C" w:rsidP="0033067C">
      <w:pPr>
        <w:pStyle w:val="ListParagraph"/>
        <w:numPr>
          <w:ilvl w:val="0"/>
          <w:numId w:val="272"/>
        </w:numPr>
      </w:pPr>
      <w:r>
        <w:t>Keep an eye out for bias. Scrutinize questions carefully and remove any words that could encourage respondents to answer a certain way, skewing your data. It can be tricky to spot biased language, but it's an important step.</w:t>
      </w:r>
    </w:p>
    <w:p w14:paraId="119639C3" w14:textId="10099AD9" w:rsidR="00DD4512" w:rsidRDefault="0033067C" w:rsidP="0033067C">
      <w:pPr>
        <w:pStyle w:val="ListParagraph"/>
        <w:numPr>
          <w:ilvl w:val="0"/>
          <w:numId w:val="272"/>
        </w:numPr>
      </w:pPr>
      <w:r>
        <w:t>Avoid double-barreled questions. These are questions that touch on more than one issue but only allow for one answer. For instance, "Are you satisfied with the hardware and software provided for your job?" should be split into two questions, since someone might be satisfied with the hardware but not the software, or vice versa. Always aim for questions that</w:t>
      </w:r>
      <w:r w:rsidR="001517A4">
        <w:t xml:space="preserve"> clearly</w:t>
      </w:r>
      <w:r>
        <w:t xml:space="preserve"> focus on </w:t>
      </w:r>
      <w:r w:rsidR="001517A4">
        <w:t xml:space="preserve">only </w:t>
      </w:r>
      <w:r>
        <w:t>one topic.</w:t>
      </w:r>
    </w:p>
    <w:p w14:paraId="560082AD" w14:textId="31D4E0F9" w:rsidR="0090279E" w:rsidRDefault="0033067C" w:rsidP="0033067C">
      <w:pPr>
        <w:pStyle w:val="ListParagraph"/>
        <w:numPr>
          <w:ilvl w:val="0"/>
          <w:numId w:val="272"/>
        </w:numPr>
      </w:pPr>
      <w:r>
        <w:t xml:space="preserve">Find the right level of detail. Questions that are too general, like "How big is your firm?", may not get you accurate data - different respondents will interpret "big" differently. But avoid swinging too far in the other direction with unnecessary detail. For example, if you just need to know how many children are in a household, don't ask for each child's age. In general, erring on the side of gathering a bit too much detail is better than not having enough </w:t>
      </w:r>
      <w:r w:rsidR="00DD4512">
        <w:t>if</w:t>
      </w:r>
      <w:r>
        <w:t xml:space="preserve"> the extra detail could be useful in your analysis.</w:t>
      </w:r>
    </w:p>
    <w:p w14:paraId="6E8AFC92" w14:textId="77777777" w:rsidR="0090279E" w:rsidRDefault="0033067C" w:rsidP="0033067C">
      <w:pPr>
        <w:pStyle w:val="ListParagraph"/>
        <w:numPr>
          <w:ilvl w:val="0"/>
          <w:numId w:val="272"/>
        </w:numPr>
      </w:pPr>
      <w:r>
        <w:t xml:space="preserve">Don't include presumptions. If you </w:t>
      </w:r>
      <w:r w:rsidR="0090279E">
        <w:t>ask,</w:t>
      </w:r>
      <w:r>
        <w:t xml:space="preserve"> "What are the benefits of a tax cut?", you're presuming the respondent thinks tax cuts are beneficial. But many people may not </w:t>
      </w:r>
      <w:r w:rsidR="0090279E">
        <w:t>agree since</w:t>
      </w:r>
      <w:r>
        <w:t xml:space="preserve"> they can lead to reduced funding for public services. Keep questions neutral.</w:t>
      </w:r>
    </w:p>
    <w:p w14:paraId="7D8A9332" w14:textId="77777777" w:rsidR="0090279E" w:rsidRDefault="0033067C" w:rsidP="0033067C">
      <w:pPr>
        <w:pStyle w:val="ListParagraph"/>
        <w:numPr>
          <w:ilvl w:val="0"/>
          <w:numId w:val="272"/>
        </w:numPr>
      </w:pPr>
      <w:r>
        <w:t xml:space="preserve">Avoid imaginary scenarios. Just like on game shows where they ask contestants how they'd spend a million </w:t>
      </w:r>
      <w:r w:rsidR="0090279E">
        <w:t>dollars;</w:t>
      </w:r>
      <w:r>
        <w:t xml:space="preserve"> imaginary questions lead to imaginary answers that aren't useful for drawing research conclusions. Keep your questions </w:t>
      </w:r>
      <w:r w:rsidR="0090279E">
        <w:t>grounded</w:t>
      </w:r>
      <w:r>
        <w:t>.</w:t>
      </w:r>
    </w:p>
    <w:p w14:paraId="5563EBB1" w14:textId="77777777" w:rsidR="0090279E" w:rsidRDefault="0033067C" w:rsidP="0033067C">
      <w:pPr>
        <w:pStyle w:val="ListParagraph"/>
        <w:numPr>
          <w:ilvl w:val="0"/>
          <w:numId w:val="272"/>
        </w:numPr>
      </w:pPr>
      <w:r>
        <w:t xml:space="preserve">Only ask about what respondents </w:t>
      </w:r>
      <w:r w:rsidR="0090279E">
        <w:t>know</w:t>
      </w:r>
      <w:r>
        <w:t>. Don't assume respondents have all the information needed to answer - for instance, don't expect a CEO to know day-to-day operational details.</w:t>
      </w:r>
    </w:p>
    <w:p w14:paraId="74937B93" w14:textId="2989756C" w:rsidR="0033067C" w:rsidRDefault="0033067C" w:rsidP="0033067C">
      <w:pPr>
        <w:pStyle w:val="ListParagraph"/>
        <w:numPr>
          <w:ilvl w:val="0"/>
          <w:numId w:val="272"/>
        </w:numPr>
      </w:pPr>
      <w:r>
        <w:t xml:space="preserve">Watch for social desirability bias. Respondents often answer in a way that they think will be viewed favorably by others. </w:t>
      </w:r>
      <w:r w:rsidR="0090279E">
        <w:t>So,</w:t>
      </w:r>
      <w:r>
        <w:t xml:space="preserve"> if you ask students whether they cheat on exams, chances are good that they won't admit to it even if they do, since cheating is frowned upon. Be aware of this tendency when crafting questions and interpreting results.</w:t>
      </w:r>
    </w:p>
    <w:p w14:paraId="5327D52C" w14:textId="4EB9E6FD" w:rsidR="00A626FE" w:rsidRPr="000E309B" w:rsidRDefault="0033067C" w:rsidP="0033067C">
      <w:r>
        <w:t xml:space="preserve">Crafting good survey questions takes some thought and practice, but following these guidelines will help ensure you get reliable, useful data for your research project. Remember, the goal is to make it as easy as possible for respondents to give you accurate information. Keep questions clear, specific, </w:t>
      </w:r>
      <w:r w:rsidR="0000693C">
        <w:t>unbiased,</w:t>
      </w:r>
      <w:r>
        <w:t xml:space="preserve"> and focused on one topic at a time, and you'll be well on your way to an effective survey!</w:t>
      </w:r>
    </w:p>
    <w:p w14:paraId="5327D52D" w14:textId="01869740" w:rsidR="00A626FE" w:rsidRPr="000E309B" w:rsidRDefault="00D14B33" w:rsidP="00563119">
      <w:pPr>
        <w:pStyle w:val="Heading5"/>
      </w:pPr>
      <w:r w:rsidRPr="000E309B">
        <w:lastRenderedPageBreak/>
        <w:t>Response Options</w:t>
      </w:r>
    </w:p>
    <w:p w14:paraId="76530FAC" w14:textId="6A40DD75" w:rsidR="00C4306D" w:rsidRDefault="00C4306D" w:rsidP="00C4306D">
      <w:r>
        <w:t>When you're crafting a survey, clear and understandable questions are only half the battle - you also need to provide unambiguous response options for closed-ended questions. Closed-ended questions are ones where respondents must choose from a set of predefined options, rather than coming up with their own answers. This puts the onus on the researcher to ensure a complete and appropriate set of choices. Here are some key things to keep in mind:</w:t>
      </w:r>
    </w:p>
    <w:p w14:paraId="1E02B090" w14:textId="77777777" w:rsidR="0046104E" w:rsidRDefault="00C4306D" w:rsidP="00C4306D">
      <w:pPr>
        <w:pStyle w:val="ListParagraph"/>
        <w:numPr>
          <w:ilvl w:val="0"/>
          <w:numId w:val="273"/>
        </w:numPr>
      </w:pPr>
      <w:r>
        <w:t xml:space="preserve">Make sure response options are mutually exclusive. This means that each possible answer should fit into one, and only </w:t>
      </w:r>
      <w:r w:rsidR="0046104E">
        <w:t>one</w:t>
      </w:r>
      <w:r>
        <w:t xml:space="preserve"> of the provided options. It seems straightforward, but it's easy to overlook. For example, if you ask respondents to choose an age group from "less than 20," "20−30," "30−40," "40−50," and "above 50," which option should someone who is exactly 30 years old choose? They fall into both the "20-30" and "30-40" categories. To fix this, you could change the options to "less than 20," "20-29," "30-39," and so on.</w:t>
      </w:r>
    </w:p>
    <w:p w14:paraId="71531813" w14:textId="77777777" w:rsidR="00CE1F7B" w:rsidRDefault="00C4306D" w:rsidP="00C4306D">
      <w:pPr>
        <w:pStyle w:val="ListParagraph"/>
        <w:numPr>
          <w:ilvl w:val="0"/>
          <w:numId w:val="273"/>
        </w:numPr>
      </w:pPr>
      <w:r>
        <w:t>Ensure that response options are exhaustive. In other words, every possible answer should be covered by one of the choices you provide. If you're asking about sex, for instance, "male" and "female" may not cover all possibilities. Depending on your research goals, you may want to include additional options like "non-binary," "other," or "prefer not to say." The same applies for many other demographic questions - if you're asking about education level, be sure to include options like "some college" and "trade/technical/vocational training" in addition to specific degree levels. If you're unsure if you've covered all possibilities, including an "other" option can be a good catch-all.</w:t>
      </w:r>
    </w:p>
    <w:p w14:paraId="4C2A6158" w14:textId="1230B316" w:rsidR="00C4306D" w:rsidRDefault="00C4306D" w:rsidP="00C4306D">
      <w:pPr>
        <w:pStyle w:val="ListParagraph"/>
        <w:numPr>
          <w:ilvl w:val="0"/>
          <w:numId w:val="273"/>
        </w:numPr>
      </w:pPr>
      <w:r>
        <w:t>Be sensitive in your response options. When you're asking for personal or potentially sensitive information, it's important to give respondents a way to opt out of answering. Including options like "prefer not to answer" or "none of these apply to me" can help respondents feel more comfortable and avoid skipping the question entirely, which would leave you with missing data. This is especially key for things like income, health conditions, or other topics that people may not want to disclose.</w:t>
      </w:r>
    </w:p>
    <w:p w14:paraId="5E730F82" w14:textId="64F26985" w:rsidR="00696F3A" w:rsidRDefault="00C4306D" w:rsidP="00696F3A">
      <w:r>
        <w:t>By following these guidelines and putting yourself in your respondents' shoes as you develop your response options, you'll be well on your way to collecting high-quality, usable data. Remember, your goal is to make it as easy as possible for every respondent to accurately represent themselves in their answers. Mutually exclusive and exhaustive response options, along with sensitivity to respondents' comfort level, will help ensure that your survey results are reliable and meaningful.</w:t>
      </w:r>
    </w:p>
    <w:p w14:paraId="58E3F6A7" w14:textId="45FD419B" w:rsidR="00FF7ABA" w:rsidRDefault="00FF7ABA" w:rsidP="00563119">
      <w:pPr>
        <w:pStyle w:val="Heading5"/>
      </w:pPr>
      <w:r>
        <w:t>Response Format</w:t>
      </w:r>
      <w:r w:rsidR="005759F5">
        <w:t>s</w:t>
      </w:r>
    </w:p>
    <w:p w14:paraId="1125FFB3" w14:textId="1066F57A" w:rsidR="00696F3A" w:rsidRDefault="00696F3A" w:rsidP="00B82AA4">
      <w:r>
        <w:t>When you're creating closed-ended questions for your survey, there are several common response formats you can choose from, each with its own strengths and appropriate uses:</w:t>
      </w:r>
    </w:p>
    <w:p w14:paraId="28B90D89" w14:textId="70250D27" w:rsidR="00F52EDE" w:rsidRDefault="00696F3A" w:rsidP="00696F3A">
      <w:pPr>
        <w:pStyle w:val="ListParagraph"/>
        <w:numPr>
          <w:ilvl w:val="0"/>
          <w:numId w:val="274"/>
        </w:numPr>
      </w:pPr>
      <w:r>
        <w:t xml:space="preserve">Dichotomous response: This format presents respondents with two mutually exclusive options, such as yes/no, true/false, or agree/disagree. For example: "Do you think the death penalty is justified under some circumstances? Yes / No". This format is best for questions </w:t>
      </w:r>
      <w:r>
        <w:lastRenderedPageBreak/>
        <w:t xml:space="preserve">where there are only two possible </w:t>
      </w:r>
      <w:r w:rsidR="00F52EDE">
        <w:t>answers,</w:t>
      </w:r>
      <w:r>
        <w:t xml:space="preserve"> and you want to force respondents to choose one or the other.</w:t>
      </w:r>
    </w:p>
    <w:p w14:paraId="76D0A5F1" w14:textId="77777777" w:rsidR="00F52EDE" w:rsidRDefault="00696F3A" w:rsidP="00696F3A">
      <w:pPr>
        <w:pStyle w:val="ListParagraph"/>
        <w:numPr>
          <w:ilvl w:val="0"/>
          <w:numId w:val="274"/>
        </w:numPr>
      </w:pPr>
      <w:r>
        <w:t>Nominal response: This format gives respondents more than two unordered options to choose from. The options are categorical and don't represent a scale or continuum. For instance: "What is your employment industry? Manufacturing / Consumer Services / Retail / Education / Health Care / Tourism &amp; Hospitality / Other". Nominal response formats are appropriate when you want to collect data about categories like demographics, preferences, or behaviors.</w:t>
      </w:r>
    </w:p>
    <w:p w14:paraId="71538D8D" w14:textId="77777777" w:rsidR="00F52EDE" w:rsidRDefault="00696F3A" w:rsidP="00696F3A">
      <w:pPr>
        <w:pStyle w:val="ListParagraph"/>
        <w:numPr>
          <w:ilvl w:val="0"/>
          <w:numId w:val="274"/>
        </w:numPr>
      </w:pPr>
      <w:r>
        <w:t>Ordinal response: In this format, respondents have more than two options that are ordered or represent a scale. A common example is education level: "What is your highest level of education? High School / College Degree / Graduate Degree". The options represent increasing levels of a characteristic. Ordinal responses are useful when you want to understand relative positions or degrees of a trait or opinion.</w:t>
      </w:r>
    </w:p>
    <w:p w14:paraId="5D4001BF" w14:textId="77777777" w:rsidR="00F52EDE" w:rsidRDefault="00696F3A" w:rsidP="00696F3A">
      <w:pPr>
        <w:pStyle w:val="ListParagraph"/>
        <w:numPr>
          <w:ilvl w:val="0"/>
          <w:numId w:val="274"/>
        </w:numPr>
      </w:pPr>
      <w:r>
        <w:t>Interval-level response: This format uses rating scales where the intervals between options are equal. Common examples are Likert scales (e.g., Strongly Disagree to Strongly Agree), semantic differential scales (e.g., rating a product on a scale from "high-quality" to "low-quality"), and Guttman scales (where agreement with one item implies agreement with lower-ranked items). Interval-level responses are helpful for assessing degrees of opinion, importance, frequency, or quality.</w:t>
      </w:r>
    </w:p>
    <w:p w14:paraId="5D6E31E0" w14:textId="7BF76739" w:rsidR="00696F3A" w:rsidRDefault="00696F3A" w:rsidP="00696F3A">
      <w:pPr>
        <w:pStyle w:val="ListParagraph"/>
        <w:numPr>
          <w:ilvl w:val="0"/>
          <w:numId w:val="274"/>
        </w:numPr>
      </w:pPr>
      <w:r>
        <w:t>Continuous response: Here, respondents provide a specific numeric value. Age, income, length of employment, and similar questions are often asked in this format. Continuous response questions are essentially fill-in-the-blank and provide ratio-level data that can be mathematically manipulated (e.g., to calculate an average).</w:t>
      </w:r>
    </w:p>
    <w:p w14:paraId="7639F5A6" w14:textId="26E3C0DB" w:rsidR="00965A04" w:rsidRDefault="00696F3A" w:rsidP="00696F3A">
      <w:r>
        <w:t>Each of these response formats has its place in a well-designed survey. By understanding the strengths and appropriate uses of each, you can craft questions that gather the data you need in a format that's easy for respondents to understand and answer accurately. As you develop your survey, consider what format will best serve each question's purpose and provide you with useful, analyzable data.</w:t>
      </w:r>
    </w:p>
    <w:p w14:paraId="476D2CC8" w14:textId="77777777" w:rsidR="00A63BDC" w:rsidRDefault="00A63BDC" w:rsidP="00A63BDC">
      <w:pPr>
        <w:pStyle w:val="Heading5"/>
      </w:pPr>
      <w:r>
        <w:t>Matrix Presentation</w:t>
      </w:r>
    </w:p>
    <w:p w14:paraId="425BD996" w14:textId="77777777" w:rsidR="00A63BDC" w:rsidRDefault="00A63BDC" w:rsidP="00A63BDC">
      <w:r>
        <w:t>When you're designing a survey, a matrix format can be a useful tool for presenting a series of questions that all use the same set of response categories. A matrix displays the questions in rows and the response options in columns (or vice versa), creating a grid-like appearance. This compact format is easy for respondents to understand and can encourage participation by making the survey appear shorter and less daunting. Here's an example of what a matrix might look like for a set of hypothetical election propositions:</w:t>
      </w:r>
    </w:p>
    <w:tbl>
      <w:tblPr>
        <w:tblStyle w:val="TableGrid0"/>
        <w:tblW w:w="93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9"/>
        <w:gridCol w:w="2016"/>
        <w:gridCol w:w="2016"/>
        <w:gridCol w:w="2016"/>
        <w:gridCol w:w="2016"/>
      </w:tblGrid>
      <w:tr w:rsidR="00A63BDC" w14:paraId="03D3A969" w14:textId="77777777" w:rsidTr="003A11D6">
        <w:tc>
          <w:tcPr>
            <w:tcW w:w="9373" w:type="dxa"/>
            <w:gridSpan w:val="5"/>
            <w:tcBorders>
              <w:bottom w:val="single" w:sz="4" w:space="0" w:color="auto"/>
            </w:tcBorders>
          </w:tcPr>
          <w:p w14:paraId="58B71CAB" w14:textId="77777777" w:rsidR="00A63BDC" w:rsidRPr="0065330A" w:rsidRDefault="00A63BDC" w:rsidP="005D410F">
            <w:pPr>
              <w:keepNext/>
              <w:keepLines/>
              <w:jc w:val="center"/>
              <w:rPr>
                <w:b/>
                <w:bCs/>
              </w:rPr>
            </w:pPr>
            <w:r w:rsidRPr="0065330A">
              <w:rPr>
                <w:b/>
                <w:bCs/>
              </w:rPr>
              <w:lastRenderedPageBreak/>
              <w:t>How would you rate your support for these propositions?</w:t>
            </w:r>
          </w:p>
        </w:tc>
      </w:tr>
      <w:tr w:rsidR="00A63BDC" w14:paraId="60DEA45F" w14:textId="77777777" w:rsidTr="003A11D6">
        <w:tc>
          <w:tcPr>
            <w:tcW w:w="1309" w:type="dxa"/>
            <w:tcBorders>
              <w:top w:val="single" w:sz="4" w:space="0" w:color="auto"/>
              <w:bottom w:val="single" w:sz="4" w:space="0" w:color="auto"/>
              <w:right w:val="single" w:sz="4" w:space="0" w:color="auto"/>
            </w:tcBorders>
          </w:tcPr>
          <w:p w14:paraId="6A16DA16" w14:textId="77777777" w:rsidR="00A63BDC" w:rsidRDefault="00A63BDC" w:rsidP="005D410F">
            <w:pPr>
              <w:keepNext/>
              <w:keepLines/>
              <w:jc w:val="center"/>
            </w:pPr>
            <w:r>
              <w:t>Proposition</w:t>
            </w:r>
          </w:p>
        </w:tc>
        <w:tc>
          <w:tcPr>
            <w:tcW w:w="2016" w:type="dxa"/>
            <w:tcBorders>
              <w:top w:val="single" w:sz="4" w:space="0" w:color="auto"/>
              <w:left w:val="single" w:sz="4" w:space="0" w:color="auto"/>
              <w:bottom w:val="single" w:sz="4" w:space="0" w:color="auto"/>
            </w:tcBorders>
          </w:tcPr>
          <w:p w14:paraId="09B97FFF" w14:textId="77777777" w:rsidR="00A63BDC" w:rsidRDefault="00A63BDC" w:rsidP="005D410F">
            <w:pPr>
              <w:keepNext/>
              <w:keepLines/>
              <w:jc w:val="center"/>
            </w:pPr>
            <w:r>
              <w:t>Strongly Support</w:t>
            </w:r>
          </w:p>
        </w:tc>
        <w:tc>
          <w:tcPr>
            <w:tcW w:w="2016" w:type="dxa"/>
            <w:tcBorders>
              <w:top w:val="single" w:sz="4" w:space="0" w:color="auto"/>
              <w:bottom w:val="single" w:sz="4" w:space="0" w:color="auto"/>
            </w:tcBorders>
          </w:tcPr>
          <w:p w14:paraId="2C7012BC" w14:textId="77777777" w:rsidR="00A63BDC" w:rsidRDefault="00A63BDC" w:rsidP="005D410F">
            <w:pPr>
              <w:keepNext/>
              <w:keepLines/>
              <w:jc w:val="center"/>
            </w:pPr>
            <w:r>
              <w:t>Support</w:t>
            </w:r>
          </w:p>
        </w:tc>
        <w:tc>
          <w:tcPr>
            <w:tcW w:w="2016" w:type="dxa"/>
            <w:tcBorders>
              <w:top w:val="single" w:sz="4" w:space="0" w:color="auto"/>
              <w:bottom w:val="single" w:sz="4" w:space="0" w:color="auto"/>
            </w:tcBorders>
          </w:tcPr>
          <w:p w14:paraId="628B7981" w14:textId="77777777" w:rsidR="00A63BDC" w:rsidRDefault="00A63BDC" w:rsidP="005D410F">
            <w:pPr>
              <w:keepNext/>
              <w:keepLines/>
              <w:jc w:val="center"/>
            </w:pPr>
            <w:r>
              <w:t>Oppose</w:t>
            </w:r>
          </w:p>
        </w:tc>
        <w:tc>
          <w:tcPr>
            <w:tcW w:w="2016" w:type="dxa"/>
            <w:tcBorders>
              <w:top w:val="single" w:sz="4" w:space="0" w:color="auto"/>
              <w:bottom w:val="single" w:sz="4" w:space="0" w:color="auto"/>
            </w:tcBorders>
          </w:tcPr>
          <w:p w14:paraId="1BC14772" w14:textId="77777777" w:rsidR="00A63BDC" w:rsidRDefault="00A63BDC" w:rsidP="005D410F">
            <w:pPr>
              <w:keepNext/>
              <w:keepLines/>
              <w:jc w:val="center"/>
            </w:pPr>
            <w:r>
              <w:t>Strongly Oppose</w:t>
            </w:r>
          </w:p>
        </w:tc>
      </w:tr>
      <w:tr w:rsidR="00A63BDC" w14:paraId="4501DB7E" w14:textId="77777777" w:rsidTr="003A11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9" w:type="dxa"/>
            <w:tcBorders>
              <w:top w:val="single" w:sz="4" w:space="0" w:color="auto"/>
              <w:right w:val="single" w:sz="4" w:space="0" w:color="auto"/>
            </w:tcBorders>
          </w:tcPr>
          <w:p w14:paraId="5854C70C" w14:textId="77777777" w:rsidR="00A63BDC" w:rsidRDefault="00A63BDC" w:rsidP="005D410F">
            <w:pPr>
              <w:keepNext/>
              <w:keepLines/>
              <w:jc w:val="center"/>
            </w:pPr>
            <w:r>
              <w:t>100</w:t>
            </w:r>
          </w:p>
        </w:tc>
        <w:tc>
          <w:tcPr>
            <w:tcW w:w="2016" w:type="dxa"/>
            <w:tcBorders>
              <w:top w:val="single" w:sz="4" w:space="0" w:color="auto"/>
              <w:left w:val="single" w:sz="4" w:space="0" w:color="auto"/>
            </w:tcBorders>
          </w:tcPr>
          <w:p w14:paraId="4764FED6" w14:textId="77777777" w:rsidR="00A63BDC" w:rsidRDefault="00A63BDC" w:rsidP="005D410F">
            <w:pPr>
              <w:keepNext/>
              <w:keepLines/>
              <w:jc w:val="center"/>
            </w:pPr>
            <w:r>
              <w:t>O</w:t>
            </w:r>
          </w:p>
        </w:tc>
        <w:tc>
          <w:tcPr>
            <w:tcW w:w="2016" w:type="dxa"/>
            <w:tcBorders>
              <w:top w:val="single" w:sz="4" w:space="0" w:color="auto"/>
            </w:tcBorders>
          </w:tcPr>
          <w:p w14:paraId="08912BAA" w14:textId="77777777" w:rsidR="00A63BDC" w:rsidRDefault="00A63BDC" w:rsidP="005D410F">
            <w:pPr>
              <w:keepNext/>
              <w:keepLines/>
              <w:jc w:val="center"/>
            </w:pPr>
            <w:r>
              <w:t>O</w:t>
            </w:r>
          </w:p>
        </w:tc>
        <w:tc>
          <w:tcPr>
            <w:tcW w:w="2016" w:type="dxa"/>
            <w:tcBorders>
              <w:top w:val="single" w:sz="4" w:space="0" w:color="auto"/>
            </w:tcBorders>
          </w:tcPr>
          <w:p w14:paraId="4444DD04" w14:textId="77777777" w:rsidR="00A63BDC" w:rsidRDefault="00A63BDC" w:rsidP="005D410F">
            <w:pPr>
              <w:keepNext/>
              <w:keepLines/>
              <w:jc w:val="center"/>
            </w:pPr>
            <w:r>
              <w:t>O</w:t>
            </w:r>
          </w:p>
        </w:tc>
        <w:tc>
          <w:tcPr>
            <w:tcW w:w="2016" w:type="dxa"/>
            <w:tcBorders>
              <w:top w:val="single" w:sz="4" w:space="0" w:color="auto"/>
            </w:tcBorders>
          </w:tcPr>
          <w:p w14:paraId="20DFCE80" w14:textId="77777777" w:rsidR="00A63BDC" w:rsidRDefault="00A63BDC" w:rsidP="005D410F">
            <w:pPr>
              <w:keepNext/>
              <w:keepLines/>
              <w:jc w:val="center"/>
            </w:pPr>
            <w:r>
              <w:t>O</w:t>
            </w:r>
          </w:p>
        </w:tc>
      </w:tr>
      <w:tr w:rsidR="00A63BDC" w14:paraId="0318F8D2" w14:textId="77777777" w:rsidTr="003A11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9" w:type="dxa"/>
            <w:tcBorders>
              <w:right w:val="single" w:sz="4" w:space="0" w:color="auto"/>
            </w:tcBorders>
          </w:tcPr>
          <w:p w14:paraId="734E4630" w14:textId="77777777" w:rsidR="00A63BDC" w:rsidRDefault="00A63BDC" w:rsidP="005D410F">
            <w:pPr>
              <w:keepNext/>
              <w:keepLines/>
              <w:jc w:val="center"/>
            </w:pPr>
            <w:r>
              <w:t>115</w:t>
            </w:r>
          </w:p>
        </w:tc>
        <w:tc>
          <w:tcPr>
            <w:tcW w:w="2016" w:type="dxa"/>
            <w:tcBorders>
              <w:left w:val="single" w:sz="4" w:space="0" w:color="auto"/>
            </w:tcBorders>
          </w:tcPr>
          <w:p w14:paraId="1CE7A257" w14:textId="77777777" w:rsidR="00A63BDC" w:rsidRDefault="00A63BDC" w:rsidP="005D410F">
            <w:pPr>
              <w:keepNext/>
              <w:keepLines/>
              <w:jc w:val="center"/>
            </w:pPr>
            <w:r>
              <w:t>O</w:t>
            </w:r>
          </w:p>
        </w:tc>
        <w:tc>
          <w:tcPr>
            <w:tcW w:w="2016" w:type="dxa"/>
          </w:tcPr>
          <w:p w14:paraId="7D4BA3AA" w14:textId="77777777" w:rsidR="00A63BDC" w:rsidRDefault="00A63BDC" w:rsidP="005D410F">
            <w:pPr>
              <w:keepNext/>
              <w:keepLines/>
              <w:jc w:val="center"/>
            </w:pPr>
            <w:r>
              <w:t>O</w:t>
            </w:r>
          </w:p>
        </w:tc>
        <w:tc>
          <w:tcPr>
            <w:tcW w:w="2016" w:type="dxa"/>
          </w:tcPr>
          <w:p w14:paraId="59D2BC93" w14:textId="77777777" w:rsidR="00A63BDC" w:rsidRDefault="00A63BDC" w:rsidP="005D410F">
            <w:pPr>
              <w:keepNext/>
              <w:keepLines/>
              <w:jc w:val="center"/>
            </w:pPr>
            <w:r>
              <w:t>O</w:t>
            </w:r>
          </w:p>
        </w:tc>
        <w:tc>
          <w:tcPr>
            <w:tcW w:w="2016" w:type="dxa"/>
          </w:tcPr>
          <w:p w14:paraId="04992B26" w14:textId="77777777" w:rsidR="00A63BDC" w:rsidRDefault="00A63BDC" w:rsidP="005D410F">
            <w:pPr>
              <w:keepNext/>
              <w:keepLines/>
              <w:jc w:val="center"/>
            </w:pPr>
            <w:r>
              <w:t>O</w:t>
            </w:r>
          </w:p>
        </w:tc>
      </w:tr>
      <w:tr w:rsidR="00A63BDC" w14:paraId="3CD703FD" w14:textId="77777777" w:rsidTr="003A11D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9" w:type="dxa"/>
            <w:tcBorders>
              <w:right w:val="single" w:sz="4" w:space="0" w:color="auto"/>
            </w:tcBorders>
          </w:tcPr>
          <w:p w14:paraId="700E439D" w14:textId="77777777" w:rsidR="00A63BDC" w:rsidRDefault="00A63BDC" w:rsidP="005D410F">
            <w:pPr>
              <w:keepNext/>
              <w:keepLines/>
              <w:jc w:val="center"/>
            </w:pPr>
            <w:r>
              <w:t>220</w:t>
            </w:r>
          </w:p>
        </w:tc>
        <w:tc>
          <w:tcPr>
            <w:tcW w:w="2016" w:type="dxa"/>
            <w:tcBorders>
              <w:left w:val="single" w:sz="4" w:space="0" w:color="auto"/>
            </w:tcBorders>
          </w:tcPr>
          <w:p w14:paraId="6E44C822" w14:textId="77777777" w:rsidR="00A63BDC" w:rsidRDefault="00A63BDC" w:rsidP="005D410F">
            <w:pPr>
              <w:keepNext/>
              <w:keepLines/>
              <w:jc w:val="center"/>
            </w:pPr>
            <w:r>
              <w:t>O</w:t>
            </w:r>
          </w:p>
        </w:tc>
        <w:tc>
          <w:tcPr>
            <w:tcW w:w="2016" w:type="dxa"/>
          </w:tcPr>
          <w:p w14:paraId="5FBEB90F" w14:textId="77777777" w:rsidR="00A63BDC" w:rsidRDefault="00A63BDC" w:rsidP="005D410F">
            <w:pPr>
              <w:keepNext/>
              <w:keepLines/>
              <w:jc w:val="center"/>
            </w:pPr>
            <w:r>
              <w:t>O</w:t>
            </w:r>
          </w:p>
        </w:tc>
        <w:tc>
          <w:tcPr>
            <w:tcW w:w="2016" w:type="dxa"/>
          </w:tcPr>
          <w:p w14:paraId="32CE6644" w14:textId="77777777" w:rsidR="00A63BDC" w:rsidRDefault="00A63BDC" w:rsidP="005D410F">
            <w:pPr>
              <w:keepNext/>
              <w:keepLines/>
              <w:jc w:val="center"/>
            </w:pPr>
            <w:r>
              <w:t>O</w:t>
            </w:r>
          </w:p>
        </w:tc>
        <w:tc>
          <w:tcPr>
            <w:tcW w:w="2016" w:type="dxa"/>
          </w:tcPr>
          <w:p w14:paraId="3336152C" w14:textId="77777777" w:rsidR="00A63BDC" w:rsidRDefault="00A63BDC" w:rsidP="005D410F">
            <w:pPr>
              <w:keepNext/>
              <w:keepLines/>
              <w:jc w:val="center"/>
            </w:pPr>
            <w:r>
              <w:t>O</w:t>
            </w:r>
          </w:p>
        </w:tc>
      </w:tr>
    </w:tbl>
    <w:p w14:paraId="1FC0D3EF" w14:textId="77777777" w:rsidR="00A63BDC" w:rsidRDefault="00A63BDC" w:rsidP="005D410F">
      <w:pPr>
        <w:pStyle w:val="NoSpacing"/>
      </w:pPr>
    </w:p>
    <w:p w14:paraId="75B54D8E" w14:textId="7A1DBB40" w:rsidR="00A63BDC" w:rsidRDefault="00A63BDC" w:rsidP="00696F3A">
      <w:r>
        <w:t>In this example, respondents would indicate their level of support for each proposition by selecting the appropriate cell in the matrix.</w:t>
      </w:r>
    </w:p>
    <w:p w14:paraId="1DCE032A" w14:textId="6C65AD4B" w:rsidR="005624C0" w:rsidRDefault="005624C0" w:rsidP="00563119">
      <w:pPr>
        <w:pStyle w:val="Heading5"/>
      </w:pPr>
      <w:r>
        <w:t>Fence-Sitting</w:t>
      </w:r>
    </w:p>
    <w:p w14:paraId="402E2929" w14:textId="77777777" w:rsidR="00745414" w:rsidRDefault="00745414" w:rsidP="00745414">
      <w:r>
        <w:t>When designing survey questions, it's important to be aware of two respondent behaviors that can impact your data: fence-sitting and floating. Fence-sitting occurs when a respondent chooses a neutral or "no opinion" option rather than taking a clear stance on the issue. Floating, on the other hand, is when a respondent selects an opinion despite not actually having one. These behaviors are particularly common with Likert-type questions that ask respondents to rate their level of agreement or disagreement with a statement.</w:t>
      </w:r>
    </w:p>
    <w:p w14:paraId="4F1BD970" w14:textId="37E4E9AB" w:rsidR="00745414" w:rsidRDefault="00745414" w:rsidP="00745414">
      <w:r>
        <w:t xml:space="preserve">Fence-sitting and floating can be problematic because they introduce ambiguity into your data. When </w:t>
      </w:r>
      <w:r w:rsidR="00A233D0">
        <w:t>many</w:t>
      </w:r>
      <w:r>
        <w:t xml:space="preserve"> respondents select the neutral option, it can be difficult to interpret the results - do they truly not have an opinion, or are they just avoiding taking a stance? Similarly, when respondents float and select an opinion they don't really hold, it can skew your data and lead to inaccurate conclusions.</w:t>
      </w:r>
    </w:p>
    <w:p w14:paraId="6FA13517" w14:textId="77777777" w:rsidR="00745414" w:rsidRDefault="00745414" w:rsidP="00745414">
      <w:r>
        <w:t>As a researcher, you can plan for these behaviors by carefully considering the response options you provide. Let's look at an example. Suppose you're asking respondents about a hypothetical "Proposition 100" with the following question:</w:t>
      </w:r>
    </w:p>
    <w:p w14:paraId="12FDE641" w14:textId="77777777" w:rsidR="00745414" w:rsidRPr="000661D9" w:rsidRDefault="00745414" w:rsidP="00745414">
      <w:pPr>
        <w:rPr>
          <w:i/>
          <w:iCs/>
        </w:rPr>
      </w:pPr>
      <w:r w:rsidRPr="000661D9">
        <w:rPr>
          <w:i/>
          <w:iCs/>
        </w:rPr>
        <w:t>Do you agree with this statement: If Proposition 100 is passed, my taxes will increase?</w:t>
      </w:r>
    </w:p>
    <w:p w14:paraId="3F556DCF" w14:textId="77777777" w:rsidR="00745414" w:rsidRDefault="00745414" w:rsidP="00745414">
      <w:r>
        <w:t>You could offer two different sets of response options:</w:t>
      </w:r>
    </w:p>
    <w:p w14:paraId="1BE04697" w14:textId="77777777" w:rsidR="00745414" w:rsidRDefault="00745414" w:rsidP="000661D9">
      <w:pPr>
        <w:pStyle w:val="ListParagraph"/>
        <w:numPr>
          <w:ilvl w:val="0"/>
          <w:numId w:val="275"/>
        </w:numPr>
      </w:pPr>
      <w:r>
        <w:t>Strongly disagree─disagree─neither agree nor disagree─agree─strongly agree</w:t>
      </w:r>
    </w:p>
    <w:p w14:paraId="0600DE6F" w14:textId="77777777" w:rsidR="00745414" w:rsidRDefault="00745414" w:rsidP="000661D9">
      <w:pPr>
        <w:pStyle w:val="ListParagraph"/>
        <w:numPr>
          <w:ilvl w:val="0"/>
          <w:numId w:val="275"/>
        </w:numPr>
      </w:pPr>
      <w:r>
        <w:t>Strongly disagree─disagree─agree─strongly agree</w:t>
      </w:r>
    </w:p>
    <w:p w14:paraId="6A61F80D" w14:textId="77777777" w:rsidR="00745414" w:rsidRDefault="00745414" w:rsidP="00745414">
      <w:r>
        <w:t>The first set of responses includes a neutral "neither agree nor disagree" option, allowing respondents to fence-sit. The second set forces respondents to indicate some level of agreement or disagreement, preventing fence-sitting but potentially encouraging floating.</w:t>
      </w:r>
    </w:p>
    <w:p w14:paraId="08DBEB4D" w14:textId="77777777" w:rsidR="00745414" w:rsidRDefault="00745414" w:rsidP="00745414">
      <w:r>
        <w:t>Which approach you choose depends on the goals of your research. In some cases, particularly when dealing with sensitive or socially undesirable topics, it may be appropriate to give respondents a neutral option. For example, if you're asking about cheating on exams, some respondents may be uncomfortable admitting to this behavior and would appreciate a way to avoid answering directly.</w:t>
      </w:r>
    </w:p>
    <w:p w14:paraId="33584B9D" w14:textId="77777777" w:rsidR="00745414" w:rsidRDefault="00745414" w:rsidP="00745414">
      <w:r>
        <w:lastRenderedPageBreak/>
        <w:t>In other cases, you may want to force respondents to take a stance to get a clearer picture of their opinions. This can be especially useful when you're trying to gauge support or opposition for a particular policy or initiative. By eliminating the neutral option, you can get a more definitive measure of public sentiment.</w:t>
      </w:r>
    </w:p>
    <w:p w14:paraId="4F71876A" w14:textId="77777777" w:rsidR="00745414" w:rsidRDefault="00745414" w:rsidP="00745414">
      <w:r>
        <w:t>Ultimately, the key is to think carefully about the purpose of each question and what type of data you need to collect. If you're primarily interested in the direction of opinion (i.e., whether respondents tend to agree or disagree), a forced-choice format may be best. If you want to allow for uncertainty or ambivalence, including a neutral option can be appropriate. In some cases, you may even want to use a mix of both approaches within a single survey.</w:t>
      </w:r>
    </w:p>
    <w:p w14:paraId="5327D548" w14:textId="7F058A55" w:rsidR="00A626FE" w:rsidRPr="000E309B" w:rsidRDefault="00745414" w:rsidP="00F96AEB">
      <w:r>
        <w:t>By being aware of fence-sitting and floating, and strategically designing your response options to account for these behaviors, you can collect more accurate and meaningful data. As with all aspects of survey design, the key is to keep your research goals front and center and make sure each design choice serves those goals.</w:t>
      </w:r>
    </w:p>
    <w:p w14:paraId="5327D549" w14:textId="23651EC2" w:rsidR="00A626FE" w:rsidRPr="000E309B" w:rsidRDefault="00D14B33" w:rsidP="0097744D">
      <w:pPr>
        <w:pStyle w:val="Heading4"/>
      </w:pPr>
      <w:r w:rsidRPr="000E309B">
        <w:t>Designing Questionnaires</w:t>
      </w:r>
    </w:p>
    <w:p w14:paraId="3BDFBD0C" w14:textId="246D7397" w:rsidR="00A902AC" w:rsidRDefault="00A902AC" w:rsidP="00BC6171">
      <w:r>
        <w:t xml:space="preserve">Crafting high-quality questions and clear response options is crucial for a successful survey, but it's only part of the equation. Equally important is the design of the questionnaire itself - the document that contains those carefully constructed questions and response options. A well-designed questionnaire can engage respondents and encourage them to provide accurate, thoughtful answers, while a poorly designed one can </w:t>
      </w:r>
      <w:r w:rsidR="00724419">
        <w:t>create</w:t>
      </w:r>
      <w:r>
        <w:t xml:space="preserve"> confusion, frustration, and low response rates.</w:t>
      </w:r>
    </w:p>
    <w:p w14:paraId="4FDAA4BA" w14:textId="77777777" w:rsidR="00A902AC" w:rsidRDefault="00A902AC" w:rsidP="00A902AC">
      <w:r>
        <w:t>One of the first steps in questionnaire design is to group related questions thematically. For example, in a survey about the transition from high school to college, you might have a group of questions about study habits, another about social relationships, and a third about health behaviors like diet and exercise. Alternatively, you could use a temporal arrangement, starting with questions about life before college and then progressing to the college experience. The key is to create a logical flow that will make sense to respondents and keep them engaged.</w:t>
      </w:r>
    </w:p>
    <w:p w14:paraId="010DA4F0" w14:textId="47DF79D2" w:rsidR="00A902AC" w:rsidRDefault="00A902AC" w:rsidP="00A902AC">
      <w:r>
        <w:t>Once you've grouped your questions, you need to decide on the order in which to present those groups. While there's no hard and fast rule, many researchers recommend starting with questions that will pique respondents' interest and encourage them to continue</w:t>
      </w:r>
      <w:r w:rsidR="00C8192B">
        <w:t xml:space="preserve"> </w:t>
      </w:r>
      <w:r w:rsidR="00C8192B">
        <w:fldChar w:fldCharType="begin"/>
      </w:r>
      <w:r w:rsidR="007C07B4">
        <w:instrText xml:space="preserve"> ADDIN ZOTERO_ITEM CSL_CITATION {"citationID":"a1co6vt2l2j","properties":{"formattedCitation":"[84]","plainCitation":"[84]","noteIndex":0},"citationItems":[{"id":179,"uris":["http://zotero.org/users/5015692/items/SGFPQA7C"],"itemData":{"id":179,"type":"book","publisher":"John Wiley &amp; Sons","title":"Mail and Internet surveys: The tailored design method–2007 Update with new Internet, visual, and mixed-mode guide","author":[{"family":"Dillman","given":"Don A"}],"issued":{"date-parts":[["2011"]]}}}],"schema":"https://github.com/citation-style-language/schema/raw/master/csl-citation.json"} </w:instrText>
      </w:r>
      <w:r w:rsidR="00C8192B">
        <w:fldChar w:fldCharType="separate"/>
      </w:r>
      <w:r w:rsidR="007C07B4" w:rsidRPr="007C07B4">
        <w:t>[84]</w:t>
      </w:r>
      <w:r w:rsidR="00C8192B">
        <w:fldChar w:fldCharType="end"/>
      </w:r>
      <w:r>
        <w:t>. This could mean leading with the most relevant or compelling questions, or starting with easy, non-threatening items to build rapport.</w:t>
      </w:r>
    </w:p>
    <w:p w14:paraId="75F3DBC6" w14:textId="77777777" w:rsidR="00A902AC" w:rsidRDefault="00A902AC" w:rsidP="00A902AC">
      <w:r>
        <w:t>The placement of demographic questions like age, gender, and race is a topic of some debate. Some argue that putting these questions at the beginning can make the survey feel dull or irrelevant, leading to early dropouts. Others point out that beginning with simple demographic items can be a way to ease into more sensitive or complex topics. Ultimately, the best approach depends on the specific nature of your survey and your target population.</w:t>
      </w:r>
    </w:p>
    <w:p w14:paraId="589242F4" w14:textId="02E27C2F" w:rsidR="00A902AC" w:rsidRDefault="00A902AC" w:rsidP="00A902AC">
      <w:r>
        <w:lastRenderedPageBreak/>
        <w:t xml:space="preserve">Survey length is another critical consideration. A questionnaire that feels too long or includes irrelevant questions can quickly lead to respondent fatigue and abandonment. </w:t>
      </w:r>
      <w:r w:rsidR="00023947">
        <w:t>Generally</w:t>
      </w:r>
      <w:r>
        <w:t>, aim to keep your survey as concise as possible while still gathering the information you need. Research suggests that 15-20 minutes is a reasonable upper limit for most populations, but this can vary depending on the level of investment or interest respondents have in the topic.</w:t>
      </w:r>
    </w:p>
    <w:p w14:paraId="16B4A4F8" w14:textId="1C827379" w:rsidR="00A902AC" w:rsidRDefault="00A902AC" w:rsidP="00A902AC">
      <w:r>
        <w:t xml:space="preserve">One of the best ways to gauge the appropriate length and flow of your questionnaire is through pretesting. By having a small group of people </w:t>
      </w:r>
      <w:r w:rsidR="00023947">
        <w:t>like</w:t>
      </w:r>
      <w:r>
        <w:t xml:space="preserve"> your target population complete the survey, you can get invaluable feedback on everything from question clarity and ordering to overall length and respondent experience. While large-scale pretests can be time- and resource-intensive, even a small-scale pretest with easily accessible participants can yield important insights.</w:t>
      </w:r>
    </w:p>
    <w:p w14:paraId="71277200" w14:textId="77777777" w:rsidR="00A902AC" w:rsidRDefault="00A902AC" w:rsidP="00A902AC">
      <w:r>
        <w:t>Finally, don't underestimate the importance of aesthetic appeal in questionnaire design. A cluttered, visually confusing survey can frustrate respondents and lead to lower-quality data. Aim for a clean, professional look with ample white space, an easy-to-read font (12-point is a good standard), and clear instructions. Drawing inspiration from well-designed print or web documents can help you create a survey that is both visually appealing and user-friendly.</w:t>
      </w:r>
    </w:p>
    <w:p w14:paraId="314A8C52" w14:textId="60AF022F" w:rsidR="00C078DC" w:rsidRPr="00866D70" w:rsidRDefault="00A902AC" w:rsidP="0051469E">
      <w:r>
        <w:t>Designing a high-quality questionnaire is both an art and a science. By keeping your research goals and target population at the forefront, and attending carefully to question grouping, order, length, pretesting, and visual appeal, you can create a survey instrument that engages respondents and yields rich, meaningful data. Remember, every design choice you make should serve the ultimate purpose of your research and the needs of your respondents. With thoughtful planning and attention to detail, you can craft a questionnaire that does just that.</w:t>
      </w:r>
    </w:p>
    <w:p w14:paraId="5327D555" w14:textId="7959CE44" w:rsidR="00A626FE" w:rsidRPr="000E309B" w:rsidRDefault="00D14B33" w:rsidP="00732614">
      <w:pPr>
        <w:pStyle w:val="Heading5"/>
      </w:pPr>
      <w:r w:rsidRPr="000E309B">
        <w:t>Question Sequencing</w:t>
      </w:r>
    </w:p>
    <w:p w14:paraId="71916D0B" w14:textId="77777777" w:rsidR="009E156B" w:rsidRDefault="009E156B" w:rsidP="009E156B">
      <w:r>
        <w:t>When it comes to crafting an effective survey, the sequence in which you present your questions can be just as important as the questions themselves. A logical, well-organized flow can help keep respondents engaged and encourage them to provide accurate, thoughtful answers. On the other hand, a haphazard or jarring question sequence can lead to confusion, frustration, and even premature abandonment of the survey.</w:t>
      </w:r>
    </w:p>
    <w:p w14:paraId="76F1C1DC" w14:textId="6F1FB3CA" w:rsidR="009E156B" w:rsidRDefault="00003795" w:rsidP="009E156B">
      <w:r>
        <w:t>Generally</w:t>
      </w:r>
      <w:r w:rsidR="009E156B">
        <w:t>, questions should progress from least sensitive to most sensitive, from factual and behavioral to attitudinal, and from more general to more specific. This approach allows respondents to warm up with easier questions and build a sense of rapport before diving into more complex or personal topics. Of course, the overarching goal and subject matter of your survey should always guide your question sequencing, but here are a few best practices to keep in mind:</w:t>
      </w:r>
    </w:p>
    <w:p w14:paraId="00F1537D" w14:textId="77777777" w:rsidR="00003795" w:rsidRDefault="009E156B" w:rsidP="009E156B">
      <w:pPr>
        <w:pStyle w:val="ListParagraph"/>
        <w:numPr>
          <w:ilvl w:val="0"/>
          <w:numId w:val="276"/>
        </w:numPr>
      </w:pPr>
      <w:r>
        <w:t>Begin with non-threatening, easy-to-answer questions. For surveys about individuals, demographic items like age, gender, and education level are often good starting points. For surveys about organizations, "firmographic" questions about characteristics like employee count, annual revenues, and industry can serve a similar purpose. These questions help ease respondents into the survey and provide valuable context for analyzing results.</w:t>
      </w:r>
    </w:p>
    <w:p w14:paraId="5BECE0D7" w14:textId="77777777" w:rsidR="00003795" w:rsidRDefault="009E156B" w:rsidP="009E156B">
      <w:pPr>
        <w:pStyle w:val="ListParagraph"/>
        <w:numPr>
          <w:ilvl w:val="0"/>
          <w:numId w:val="276"/>
        </w:numPr>
      </w:pPr>
      <w:r>
        <w:lastRenderedPageBreak/>
        <w:t>Place open-ended questions, which require more thought and effort to answer, near the end of the survey. This allows respondents to get comfortable with the survey format and topic before tackling these more demanding questions. It also helps ensure that you capture the essential closed-ended data even if respondents drop out before completing the open-ended items.</w:t>
      </w:r>
    </w:p>
    <w:p w14:paraId="3BEB5E83" w14:textId="77777777" w:rsidR="0095279A" w:rsidRDefault="009E156B" w:rsidP="009E156B">
      <w:pPr>
        <w:pStyle w:val="ListParagraph"/>
        <w:numPr>
          <w:ilvl w:val="0"/>
          <w:numId w:val="276"/>
        </w:numPr>
      </w:pPr>
      <w:r>
        <w:t>If your survey deals with events that occurred over time, consider using a chronological sequence. For example, in a survey about the college experience, you might start with questions about high school, then move on to the first year of college, and finally ask about later college years and post-graduation plans. This helps respondents organize their thoughts and recall information more easily.</w:t>
      </w:r>
    </w:p>
    <w:p w14:paraId="4C0D7572" w14:textId="77777777" w:rsidR="0095279A" w:rsidRDefault="009E156B" w:rsidP="009E156B">
      <w:pPr>
        <w:pStyle w:val="ListParagraph"/>
        <w:numPr>
          <w:ilvl w:val="0"/>
          <w:numId w:val="276"/>
        </w:numPr>
      </w:pPr>
      <w:r>
        <w:t xml:space="preserve">Focus on one topic at a </w:t>
      </w:r>
      <w:r w:rsidR="0095279A">
        <w:t>time and</w:t>
      </w:r>
      <w:r>
        <w:t xml:space="preserve"> use clear transitions when switching to a new theme. For instance, if you're moving from a section on study habits to one on extracurricular activities, you might say something like, "The next set of questions will ask about your involvement in campus organizations and events." These signposts help respondents shift gears mentally and maintain a sense of continuity throughout the survey.</w:t>
      </w:r>
    </w:p>
    <w:p w14:paraId="556F5303" w14:textId="3C1350BF" w:rsidR="009E156B" w:rsidRDefault="009E156B" w:rsidP="009E156B">
      <w:pPr>
        <w:pStyle w:val="ListParagraph"/>
        <w:numPr>
          <w:ilvl w:val="0"/>
          <w:numId w:val="276"/>
        </w:numPr>
      </w:pPr>
      <w:r>
        <w:t>Employ filter or contingency questions as needed to direct respondents to relevant sections based on their previous answers. For example: "If you answered 'yes' to question 5, please proceed to Section 2. If you answered 'no,' go to Section 6." This helps tailor the survey experience to each respondent and avoids asking irrelevant or confusing questions.</w:t>
      </w:r>
    </w:p>
    <w:p w14:paraId="5327D55B" w14:textId="7E0A81EE" w:rsidR="00A626FE" w:rsidRPr="000E309B" w:rsidRDefault="009E156B" w:rsidP="00A44AFE">
      <w:r>
        <w:t>By following these best practices and keeping your survey's unique goals and audience in mind, you can craft a question sequence that feels logical, engaging, and purposeful to respondents. A well-organized survey not only makes the experience more pleasant for those taking it but also yields higher-quality, more comprehensive data for your research. As you design your survey, take the time to carefully consider the most effective question sequence - it can make a world of difference in the success of your project.</w:t>
      </w:r>
    </w:p>
    <w:p w14:paraId="224B0039" w14:textId="7EA2E4BF" w:rsidR="00C46EAA" w:rsidRDefault="00C46EAA" w:rsidP="00EE2C4F">
      <w:pPr>
        <w:pStyle w:val="Heading5"/>
      </w:pPr>
      <w:r w:rsidRPr="00C46EAA">
        <w:t>Putting Respondents First: Best Practices for Respectful Survey Research</w:t>
      </w:r>
    </w:p>
    <w:p w14:paraId="673A4E8B" w14:textId="6F581C85" w:rsidR="00650C9B" w:rsidRDefault="00650C9B" w:rsidP="00650C9B">
      <w:r>
        <w:t>As a survey researcher, it's crucial to remember that your respondents are not just data points - they're human beings who are generously giving their time, attention, and often personal information to help you achieve your research goals. To ensure a positive, mutually beneficial survey experience, it's essential to treat your respondents with the same respect and appreciation you would hope to receive in their position. Here are some key strategies to keep in mind:</w:t>
      </w:r>
    </w:p>
    <w:p w14:paraId="6ED3B4AA" w14:textId="77777777" w:rsidR="00650C9B" w:rsidRDefault="00650C9B" w:rsidP="00650C9B">
      <w:pPr>
        <w:pStyle w:val="ListParagraph"/>
        <w:numPr>
          <w:ilvl w:val="0"/>
          <w:numId w:val="277"/>
        </w:numPr>
      </w:pPr>
      <w:r>
        <w:t>Be mindful of respondents' time. In today's fast-paced world, time is a precious commodity. Aim to keep your survey as concise as possible, focusing only on the questions that are truly necessary to achieve your research objectives. As a rule, try to limit the survey to no more than 15 minutes, as longer surveys tend to result in lower response rates and higher levels of participant fatigue.</w:t>
      </w:r>
    </w:p>
    <w:p w14:paraId="74459786" w14:textId="77777777" w:rsidR="00650C9B" w:rsidRDefault="00650C9B" w:rsidP="00650C9B">
      <w:pPr>
        <w:pStyle w:val="ListParagraph"/>
        <w:numPr>
          <w:ilvl w:val="0"/>
          <w:numId w:val="277"/>
        </w:numPr>
      </w:pPr>
      <w:r>
        <w:t xml:space="preserve">Prioritize respondent confidentiality. Many surveys deal with sensitive or personal information, and respondents need to feel confident that their responses will be kept </w:t>
      </w:r>
      <w:r>
        <w:lastRenderedPageBreak/>
        <w:t>secure and anonymous. Always provide clear assurances about how the data will be used (e.g., for academic research), protected (e.g., stored on encrypted servers), and reported (typically in aggregate form, without identifying individual respondents). Be sure to follow through on these promises and adhere to all relevant ethical and legal guidelines for data protection.</w:t>
      </w:r>
    </w:p>
    <w:p w14:paraId="3F4E839B" w14:textId="77777777" w:rsidR="00650C9B" w:rsidRDefault="00650C9B" w:rsidP="00650C9B">
      <w:pPr>
        <w:pStyle w:val="ListParagraph"/>
        <w:numPr>
          <w:ilvl w:val="0"/>
          <w:numId w:val="277"/>
        </w:numPr>
      </w:pPr>
      <w:r>
        <w:t>Share results with participants. In organizational surveys, respondents often appreciate receiving a summary of the key findings once the study is complete. This helps them feel like their participation was valued and allows them to learn from the collective insights of their peers. Be sure to communicate upfront that you will share results and then follow through on that commitment.</w:t>
      </w:r>
    </w:p>
    <w:p w14:paraId="3579D8CB" w14:textId="77777777" w:rsidR="00650C9B" w:rsidRDefault="00650C9B" w:rsidP="00650C9B">
      <w:pPr>
        <w:pStyle w:val="ListParagraph"/>
        <w:numPr>
          <w:ilvl w:val="0"/>
          <w:numId w:val="277"/>
        </w:numPr>
      </w:pPr>
      <w:r>
        <w:t>Express gratitude. Taking the time to complete a survey is a favor, and it's important to acknowledge that with a sincere expression of thanks. This could be as simple as including a brief thank-you message at the end of the survey or sending a follow-up email to express your appreciation. Small gestures of gratitude can go a long way in making respondents feel valued and encouraging future participation.</w:t>
      </w:r>
    </w:p>
    <w:p w14:paraId="750BB221" w14:textId="1F55B127" w:rsidR="00650C9B" w:rsidRDefault="00650C9B" w:rsidP="00650C9B">
      <w:pPr>
        <w:pStyle w:val="ListParagraph"/>
        <w:numPr>
          <w:ilvl w:val="0"/>
          <w:numId w:val="277"/>
        </w:numPr>
      </w:pPr>
      <w:r>
        <w:t>Pretest your questionnaire. Before launching your survey to the full sample, always conduct a pretest with a small group of representative participants. This allows you to identify any ambiguities, confusing questions, or potential biases that could undermine the quality of your data or the respondent experience. Based on the pretest feedback, refine your questionnaire to ensure it is clear, concise, and user-friendly.</w:t>
      </w:r>
    </w:p>
    <w:p w14:paraId="5327D563" w14:textId="3302ABF6" w:rsidR="00A626FE" w:rsidRDefault="00650C9B" w:rsidP="00DA0FB6">
      <w:r>
        <w:t>By following these strategies and always keeping the respondent experience top of mind, you can foster a survey process that is respectful, ethical, and mutually beneficial. Remember, your respondents are the lifeblood of your research - without their willing participation and honest feedback, your study would not be possible. By treating them with the same care and consideration you would hope to receive, you not only ensure a more positive experience for participants but also improve the overall quality and integrity of your research.</w:t>
      </w:r>
    </w:p>
    <w:p w14:paraId="42E41BCA" w14:textId="6A946BAE" w:rsidR="001D4A8C" w:rsidRDefault="001D4A8C" w:rsidP="001D4A8C">
      <w:pPr>
        <w:pStyle w:val="Heading3"/>
      </w:pPr>
      <w:bookmarkStart w:id="119" w:name="_Toc169156747"/>
      <w:r>
        <w:t>Survey Pre-Testing</w:t>
      </w:r>
      <w:bookmarkEnd w:id="119"/>
    </w:p>
    <w:p w14:paraId="76616CA0" w14:textId="77777777" w:rsidR="00353688" w:rsidRDefault="00353688" w:rsidP="00353688">
      <w:r>
        <w:t>Before launching a full-scale survey, it is crucial to conduct a pretest to ensure that the questionnaire is well-designed, clear, and effective in collecting the desired data. Survey pretesting involves administering the survey to a small sample of respondents who are representative of the target population. This process helps researchers identify potential issues with the survey instrument, such as ambiguous questions, confusing instructions, or inadequate response options. By addressing these problems before the main study, researchers can improve the quality of the data collected and avoid costly mistakes.</w:t>
      </w:r>
    </w:p>
    <w:p w14:paraId="6939D689" w14:textId="77777777" w:rsidR="00353688" w:rsidRDefault="00353688" w:rsidP="00353688">
      <w:pPr>
        <w:pStyle w:val="Heading4"/>
      </w:pPr>
      <w:r>
        <w:t>Pretesting Methods</w:t>
      </w:r>
    </w:p>
    <w:p w14:paraId="6BC2D3C6" w14:textId="77777777" w:rsidR="00353688" w:rsidRDefault="00353688" w:rsidP="00353688">
      <w:r>
        <w:t xml:space="preserve">There are several methods for pretesting a survey, each with its own advantages and limitations. One common approach is cognitive interviewing, where respondents are asked to "think aloud" as they complete the survey, verbally expressing their thought processes and any difficulties they </w:t>
      </w:r>
      <w:r>
        <w:lastRenderedPageBreak/>
        <w:t>encounter. This method allows researchers to gain insight into how respondents interpret and answer the questions, helping to identify areas that may need clarification or rewording.</w:t>
      </w:r>
    </w:p>
    <w:p w14:paraId="2B217066" w14:textId="7E1785A1" w:rsidR="00353688" w:rsidRDefault="00353688" w:rsidP="00353688">
      <w:r>
        <w:t>Another pretesting method is the pilot study, which involves administering the survey to a small subset of the target population under conditions like those of the main study. Pilot studies provide an opportunity to assess the survey's overall flow, the time required for completion, and the suitability of the data collection mode (e.g., online, phone, or in-person). Researchers can also use pilot study data to conduct preliminary analyses and ensure that the survey items are reliable and valid.</w:t>
      </w:r>
    </w:p>
    <w:p w14:paraId="39990416" w14:textId="77777777" w:rsidR="00353688" w:rsidRDefault="00353688" w:rsidP="00353688">
      <w:pPr>
        <w:pStyle w:val="Heading4"/>
      </w:pPr>
      <w:r>
        <w:t>Benefits of Pretesting</w:t>
      </w:r>
    </w:p>
    <w:p w14:paraId="69646417" w14:textId="23065134" w:rsidR="00353688" w:rsidRDefault="00353688" w:rsidP="00353688">
      <w:r>
        <w:t>Pretesting offers numerous benefits that can enhance the quality and effectiveness of survey research. By identifying and correcting problems with the questionnaire before the main study, researchers can:</w:t>
      </w:r>
    </w:p>
    <w:p w14:paraId="4B60C5F6" w14:textId="59103946" w:rsidR="00353688" w:rsidRDefault="00353688" w:rsidP="00353688">
      <w:pPr>
        <w:pStyle w:val="ListParagraph"/>
        <w:numPr>
          <w:ilvl w:val="0"/>
          <w:numId w:val="289"/>
        </w:numPr>
      </w:pPr>
      <w:r>
        <w:t>Improve question clarity: Pretesting helps ensure that questions are easily understood by respondents and interpreted as intended by the researchers. This reduces the risk of gathering inaccurate or misleading data due to respondent confusion.</w:t>
      </w:r>
    </w:p>
    <w:p w14:paraId="78582F52" w14:textId="28EE4849" w:rsidR="00353688" w:rsidRDefault="00353688" w:rsidP="00353688">
      <w:pPr>
        <w:pStyle w:val="ListParagraph"/>
        <w:numPr>
          <w:ilvl w:val="0"/>
          <w:numId w:val="289"/>
        </w:numPr>
      </w:pPr>
      <w:r>
        <w:t>Refine response options: Through pretesting, researchers can determine whether the provided response options are comprehensive, mutually exclusive, and relevant to the target population. This feedback allows for the refinement of response categories, ensuring that respondents can easily find an appropriate option that reflects their true answer.</w:t>
      </w:r>
    </w:p>
    <w:p w14:paraId="5B1765D1" w14:textId="5C1BBBEF" w:rsidR="00353688" w:rsidRDefault="00353688" w:rsidP="00353688">
      <w:pPr>
        <w:pStyle w:val="ListParagraph"/>
        <w:numPr>
          <w:ilvl w:val="0"/>
          <w:numId w:val="289"/>
        </w:numPr>
      </w:pPr>
      <w:r>
        <w:t>Optimize survey length: Pretesting provides insights into the time required for respondents to complete the survey. If the questionnaire is too lengthy, respondents may experience fatigue or lose interest, leading to incomplete or low-quality responses. By gauging the survey length during the pretest, researchers can make necessary adjustments to strike a balance between gathering sufficient data and minimizing respondent burden.</w:t>
      </w:r>
    </w:p>
    <w:p w14:paraId="2E284125" w14:textId="5DF137A4" w:rsidR="00353688" w:rsidRDefault="00353688" w:rsidP="00353688">
      <w:pPr>
        <w:pStyle w:val="ListParagraph"/>
        <w:numPr>
          <w:ilvl w:val="0"/>
          <w:numId w:val="289"/>
        </w:numPr>
      </w:pPr>
      <w:r>
        <w:t>Assess data quality: Pretesting allows researchers to examine the quality of the data collected, including item response rates, variance in answers, and the presence of outliers or inconsistencies. This information can help researchers identify problematic questions or areas that may require additional clarification or restructuring.</w:t>
      </w:r>
    </w:p>
    <w:p w14:paraId="1DAD54BD" w14:textId="77777777" w:rsidR="00353688" w:rsidRDefault="00353688" w:rsidP="004D56C7">
      <w:pPr>
        <w:pStyle w:val="Heading4"/>
      </w:pPr>
      <w:r>
        <w:t>Examples of Survey Pretesting</w:t>
      </w:r>
    </w:p>
    <w:p w14:paraId="03C6A68D" w14:textId="67716B32" w:rsidR="00353688" w:rsidRDefault="00353688" w:rsidP="00353688">
      <w:r>
        <w:t>A classic example of the importance of survey pretesting comes from the 1936 U.S. presidential election</w:t>
      </w:r>
      <w:r w:rsidR="00C8192B">
        <w:t xml:space="preserve"> </w:t>
      </w:r>
      <w:r w:rsidR="00AC1D87">
        <w:fldChar w:fldCharType="begin"/>
      </w:r>
      <w:r w:rsidR="007C07B4">
        <w:instrText xml:space="preserve"> ADDIN ZOTERO_ITEM CSL_CITATION {"citationID":"a32oluhae3","properties":{"formattedCitation":"[85]","plainCitation":"[85]","noteIndex":0},"citationItems":[{"id":391,"uris":["http://zotero.org/users/5015692/items/YG4U2IYZ"],"itemData":{"id":391,"type":"article-journal","container-title":"Public Opinion Quarterly","ISSN":"1537-5331","issue":"1","journalAbbreviation":"Public Opinion Quarterly","note":"publisher: Oxford University Press","page":"125-133","title":"Why the 1936 Literary Digest poll failed","volume":"52","author":[{"family":"Squire","given":"Peverill"}],"issued":{"date-parts":[["1988"]]}}}],"schema":"https://github.com/citation-style-language/schema/raw/master/csl-citation.json"} </w:instrText>
      </w:r>
      <w:r w:rsidR="00AC1D87">
        <w:fldChar w:fldCharType="separate"/>
      </w:r>
      <w:r w:rsidR="007C07B4" w:rsidRPr="007C07B4">
        <w:t>[85]</w:t>
      </w:r>
      <w:r w:rsidR="00AC1D87">
        <w:fldChar w:fldCharType="end"/>
      </w:r>
      <w:r>
        <w:t>. The Literary Digest, a popular magazine at the time, conducted a large-scale mail survey to predict the election outcome. The magazine sent out millions of postcards and received over 2 million responses, predicting a landslide victory for Republican candidate Alf Landon. However, the actual election results showed a significant win for the incumbent, President Franklin D. Roosevelt. The failure of the Literary Digest's survey was largely attributed to sampling bias and a lack of pretesting, which could have revealed the shortcomings of their methodology.</w:t>
      </w:r>
    </w:p>
    <w:p w14:paraId="72FA7B05" w14:textId="0060027C" w:rsidR="00353688" w:rsidRDefault="00353688" w:rsidP="00353688">
      <w:r>
        <w:lastRenderedPageBreak/>
        <w:t>In a more recent example, a team of researchers conducted a pretest to assess the feasibility and acceptability of a web-based survey on sensitive topics, such as sexual behavior and substance use, among adolescents</w:t>
      </w:r>
      <w:r w:rsidR="0096673F">
        <w:t xml:space="preserve"> </w:t>
      </w:r>
      <w:r w:rsidR="00114C1A">
        <w:fldChar w:fldCharType="begin"/>
      </w:r>
      <w:r w:rsidR="007C07B4">
        <w:instrText xml:space="preserve"> ADDIN ZOTERO_ITEM CSL_CITATION {"citationID":"adog78bm79","properties":{"formattedCitation":"[86]","plainCitation":"[86]","noteIndex":0},"citationItems":[{"id":392,"uris":["http://zotero.org/users/5015692/items/4SESF2CH"],"itemData":{"id":392,"type":"article-journal","container-title":"Psychology &amp; Health","ISSN":"0887-0446","issue":"11","journalAbbreviation":"Psychology &amp; Health","note":"publisher: Taylor &amp; Francis","page":"1347-1357","title":"Why and how we should care about the General Data Protection Regulation","volume":"34","author":[{"family":"Crutzen","given":"Rik"},{"family":"Ygram Peters","given":"Gjalt-Jorn"},{"family":"Mondschein","given":"Christopher"}],"issued":{"date-parts":[["2019"]]}}}],"schema":"https://github.com/citation-style-language/schema/raw/master/csl-citation.json"} </w:instrText>
      </w:r>
      <w:r w:rsidR="00114C1A">
        <w:fldChar w:fldCharType="separate"/>
      </w:r>
      <w:r w:rsidR="007C07B4" w:rsidRPr="007C07B4">
        <w:t>[86]</w:t>
      </w:r>
      <w:r w:rsidR="00114C1A">
        <w:fldChar w:fldCharType="end"/>
      </w:r>
      <w:r>
        <w:t>. The pretest involved cognitive interviews with 15 adolescents aged 16-17 years, focusing on their understanding of the questions, the clarity of the instructions, and their overall experience with the survey. The feedback from the pretest led to several improvements in the survey design, including the rewording of questions, the addition of definitions for technical terms, and the inclusion of a progress bar to indicate the remaining length of the survey.</w:t>
      </w:r>
    </w:p>
    <w:p w14:paraId="14A03440" w14:textId="52E570DF" w:rsidR="0089554D" w:rsidRDefault="00353688" w:rsidP="00353688">
      <w:r>
        <w:t xml:space="preserve">Pretesting is a vital step in the survey research process that should not be overlooked. By dedicating time and resources to pretesting, researchers can identify and address potential issues with the survey instrument, ultimately improving the quality and reliability of the data collected. </w:t>
      </w:r>
      <w:r w:rsidR="00534D72">
        <w:t>With</w:t>
      </w:r>
      <w:r>
        <w:t xml:space="preserve"> cognitive interviews, pilot studies, and other pretesting methods, researchers can refine their questionnaires and ensure that they are well-suited to the needs and characteristics of the target population.</w:t>
      </w:r>
    </w:p>
    <w:p w14:paraId="574E6DAE" w14:textId="3BA49DAB" w:rsidR="00774526" w:rsidRDefault="00774526" w:rsidP="00774526">
      <w:pPr>
        <w:pStyle w:val="Heading3"/>
      </w:pPr>
      <w:bookmarkStart w:id="120" w:name="_Toc169156748"/>
      <w:r>
        <w:t>Survey Translation</w:t>
      </w:r>
      <w:bookmarkEnd w:id="120"/>
    </w:p>
    <w:p w14:paraId="57D2E698" w14:textId="77777777" w:rsidR="00C7206B" w:rsidRDefault="00C7206B" w:rsidP="00C7206B">
      <w:r>
        <w:t>In an increasingly globalized world, researchers often need to conduct surveys across different linguistic and cultural contexts. To ensure that a survey is accessible and meaningful to respondents from diverse backgrounds, it may be necessary to translate the questionnaire into multiple languages. Survey translation involves converting the original survey content into a target language while maintaining the intended meaning, clarity, and cultural appropriateness of the questions and response options.</w:t>
      </w:r>
    </w:p>
    <w:p w14:paraId="046A9731" w14:textId="77777777" w:rsidR="00C7206B" w:rsidRDefault="00C7206B" w:rsidP="00C7206B">
      <w:pPr>
        <w:pStyle w:val="Heading4"/>
      </w:pPr>
      <w:r>
        <w:t>Challenges in Survey Translation</w:t>
      </w:r>
    </w:p>
    <w:p w14:paraId="3E97332C" w14:textId="77777777" w:rsidR="00C7206B" w:rsidRDefault="00C7206B" w:rsidP="00C7206B">
      <w:r>
        <w:t>Translation is not a straightforward process of replacing words from one language with their equivalents in another. Translators must consider the cultural context, idiomatic expressions, and subtle nuances of meaning that may vary across languages. Some of the key challenges in survey translation include:</w:t>
      </w:r>
    </w:p>
    <w:p w14:paraId="233BAC8A" w14:textId="54DC2080" w:rsidR="00C7206B" w:rsidRDefault="00C7206B" w:rsidP="00C7206B">
      <w:pPr>
        <w:pStyle w:val="ListParagraph"/>
        <w:numPr>
          <w:ilvl w:val="0"/>
          <w:numId w:val="290"/>
        </w:numPr>
      </w:pPr>
      <w:r>
        <w:t>Conceptual equivalence: Ensuring that the translated concepts and constructs hold the same meaning and relevance in the target culture as they do in the original survey. This may require adapting or replacing certain terms or examples to better resonate with the target audience.</w:t>
      </w:r>
      <w:r w:rsidR="00FE2A2C">
        <w:t xml:space="preserve"> </w:t>
      </w:r>
    </w:p>
    <w:p w14:paraId="76E236F2" w14:textId="77777777" w:rsidR="00C7206B" w:rsidRDefault="00C7206B" w:rsidP="00C7206B">
      <w:pPr>
        <w:pStyle w:val="ListParagraph"/>
        <w:numPr>
          <w:ilvl w:val="0"/>
          <w:numId w:val="290"/>
        </w:numPr>
      </w:pPr>
      <w:r>
        <w:t>Linguistic equivalence: Achieving a translated survey that is grammatically correct, clear, and easily understandable to respondents in the target language. This involves considering factors such as sentence structure, reading level, and the use of colloquial or formal language.</w:t>
      </w:r>
    </w:p>
    <w:p w14:paraId="6BB8169D" w14:textId="77777777" w:rsidR="00C7206B" w:rsidRDefault="00C7206B" w:rsidP="00C7206B">
      <w:pPr>
        <w:pStyle w:val="ListParagraph"/>
        <w:numPr>
          <w:ilvl w:val="0"/>
          <w:numId w:val="290"/>
        </w:numPr>
      </w:pPr>
      <w:r>
        <w:t>Measurement equivalence: Maintaining the psychometric properties of the original survey, such as reliability and validity, in the translated version. This requires careful attention to the wording and scaling of questions to ensure that they elicit comparable responses across languages.</w:t>
      </w:r>
    </w:p>
    <w:p w14:paraId="4768FB49" w14:textId="77777777" w:rsidR="00C7206B" w:rsidRDefault="00C7206B" w:rsidP="00C7206B">
      <w:pPr>
        <w:pStyle w:val="ListParagraph"/>
        <w:numPr>
          <w:ilvl w:val="0"/>
          <w:numId w:val="290"/>
        </w:numPr>
      </w:pPr>
      <w:r>
        <w:lastRenderedPageBreak/>
        <w:t>Cultural appropriateness: Adapting the survey content to respect the cultural norms, values, and sensitivities of the target population. This may involve modifying or removing questions that may be considered offensive, taboo, or irrelevant in the target culture.</w:t>
      </w:r>
    </w:p>
    <w:p w14:paraId="53B621BD" w14:textId="77777777" w:rsidR="00C7206B" w:rsidRDefault="00C7206B" w:rsidP="009B027E">
      <w:pPr>
        <w:pStyle w:val="Heading4"/>
      </w:pPr>
      <w:r>
        <w:t>Best Practices in Survey Translation</w:t>
      </w:r>
    </w:p>
    <w:p w14:paraId="6558C0E7" w14:textId="77777777" w:rsidR="00C7206B" w:rsidRDefault="00C7206B" w:rsidP="00C7206B">
      <w:r>
        <w:t>To address these challenges and ensure the quality of translated surveys, researchers should adhere to best practices in survey translation. These include:</w:t>
      </w:r>
    </w:p>
    <w:p w14:paraId="620D61CA" w14:textId="3AA70BAF" w:rsidR="00C7206B" w:rsidRDefault="00C7206B" w:rsidP="009B027E">
      <w:pPr>
        <w:pStyle w:val="ListParagraph"/>
        <w:numPr>
          <w:ilvl w:val="0"/>
          <w:numId w:val="291"/>
        </w:numPr>
      </w:pPr>
      <w:r>
        <w:t>Using qualified translators: Engage professional translators who are native speakers of the target language and have expertise in the subject matter of the survey. Translators should be familiar with the cultural context and have experience in translating survey instruments.</w:t>
      </w:r>
      <w:r w:rsidR="001C77EB">
        <w:t xml:space="preserve"> </w:t>
      </w:r>
      <w:r w:rsidR="001C77EB" w:rsidRPr="00C87E29">
        <w:t>Keep in mind that Google Translate</w:t>
      </w:r>
      <w:r w:rsidR="001C77EB">
        <w:t>, and similar tools,</w:t>
      </w:r>
      <w:r w:rsidR="001C77EB" w:rsidRPr="00C87E29">
        <w:t xml:space="preserve"> falls short when it comes to capturing subtleties in a second language; therefore, human translators are essential.</w:t>
      </w:r>
    </w:p>
    <w:p w14:paraId="1FF0006B" w14:textId="77777777" w:rsidR="00C7206B" w:rsidRDefault="00C7206B" w:rsidP="009B027E">
      <w:pPr>
        <w:pStyle w:val="ListParagraph"/>
        <w:numPr>
          <w:ilvl w:val="0"/>
          <w:numId w:val="291"/>
        </w:numPr>
      </w:pPr>
      <w:r>
        <w:t>Employing multiple translators: Use a team of translators to independently translate the survey, then compare and reconcile the different versions to produce a final, optimized translation. This helps to minimize individual biases and ensures a more accurate and comprehensive translation.</w:t>
      </w:r>
    </w:p>
    <w:p w14:paraId="00745F5F" w14:textId="77777777" w:rsidR="00C7206B" w:rsidRDefault="00C7206B" w:rsidP="009B027E">
      <w:pPr>
        <w:pStyle w:val="ListParagraph"/>
        <w:numPr>
          <w:ilvl w:val="0"/>
          <w:numId w:val="291"/>
        </w:numPr>
      </w:pPr>
      <w:r>
        <w:t>Conducting back-translation: Have a separate translator convert the translated survey back into the original language, then compare this back-translation with the original survey to identify any discrepancies or misinterpretations. This process helps to verify the accuracy and equivalence of the translation.</w:t>
      </w:r>
    </w:p>
    <w:p w14:paraId="1B80F3DE" w14:textId="77777777" w:rsidR="00C7206B" w:rsidRDefault="00C7206B" w:rsidP="009B027E">
      <w:pPr>
        <w:pStyle w:val="ListParagraph"/>
        <w:numPr>
          <w:ilvl w:val="0"/>
          <w:numId w:val="291"/>
        </w:numPr>
      </w:pPr>
      <w:r>
        <w:t>Pretesting the translated survey: Conduct cognitive interviews or pilot tests with a sample of respondents from the target population to assess the clarity, comprehensibility, and cultural appropriateness of the translated survey. Use the feedback to refine the translation and ensure that it effectively communicates the intended meaning.</w:t>
      </w:r>
    </w:p>
    <w:p w14:paraId="69834A78" w14:textId="77777777" w:rsidR="00C7206B" w:rsidRDefault="00C7206B" w:rsidP="001C77EB">
      <w:pPr>
        <w:pStyle w:val="Heading4"/>
      </w:pPr>
      <w:r>
        <w:t>Examples of Survey Translation</w:t>
      </w:r>
    </w:p>
    <w:p w14:paraId="050A8A79" w14:textId="454E0670" w:rsidR="00C7206B" w:rsidRDefault="00C7206B" w:rsidP="00C7206B">
      <w:r>
        <w:t>One example of survey translation in practice is the International Tobacco Control (ITC) Policy Evaluation Project, a multi-country study that examines the impact of tobacco control policies on smoking behavior</w:t>
      </w:r>
      <w:r w:rsidR="00023AE7">
        <w:t xml:space="preserve"> </w:t>
      </w:r>
      <w:r w:rsidR="00023AE7">
        <w:fldChar w:fldCharType="begin"/>
      </w:r>
      <w:r w:rsidR="007C07B4">
        <w:instrText xml:space="preserve"> ADDIN ZOTERO_ITEM CSL_CITATION {"citationID":"a4bch6o8ql","properties":{"formattedCitation":"[87]","plainCitation":"[87]","noteIndex":0},"citationItems":[{"id":393,"uris":["http://zotero.org/users/5015692/items/RXZACUJ8"],"itemData":{"id":393,"type":"article-journal","container-title":"Tobacco control","ISSN":"0964-4563","issue":"suppl 3","journalAbbreviation":"Tobacco control","note":"publisher: BMJ Publishing Group Ltd","page":"iii12-iii18","title":"Methods of the International Tobacco Control (ITC) four country survey","volume":"15","author":[{"family":"Thompson","given":"Mary E"},{"family":"Fong","given":"Geoffrey T"},{"family":"Hammond","given":"David"},{"family":"Boudreau","given":"Christian"},{"family":"Driezen","given":"Pete"},{"family":"Hyland","given":"Andrew"},{"family":"Borland","given":"Ron"},{"family":"Cummings","given":"K Michael"},{"family":"Hastings","given":"Gerard B"},{"family":"Siahpush","given":"Mohammad"}],"issued":{"date-parts":[["2006"]]}}}],"schema":"https://github.com/citation-style-language/schema/raw/master/csl-citation.json"} </w:instrText>
      </w:r>
      <w:r w:rsidR="00023AE7">
        <w:fldChar w:fldCharType="separate"/>
      </w:r>
      <w:r w:rsidR="007C07B4" w:rsidRPr="007C07B4">
        <w:t>[87]</w:t>
      </w:r>
      <w:r w:rsidR="00023AE7">
        <w:fldChar w:fldCharType="end"/>
      </w:r>
      <w:r>
        <w:t>. The ITC surveys were originally developed in English and then translated into multiple languages, including French, Spanish, Chinese, and Arabic, to allow for data collection in over 20 countries. The translation process involved a combination of forward translation, back-translation, and expert panel review to ensure the conceptual, linguistic, and measurement equivalence of the surveys across different cultural contexts.</w:t>
      </w:r>
    </w:p>
    <w:p w14:paraId="3D6A5FBC" w14:textId="0414DCCC" w:rsidR="00C7206B" w:rsidRDefault="00C7206B" w:rsidP="00C7206B">
      <w:r>
        <w:t>Another example comes from a study by Lee</w:t>
      </w:r>
      <w:r w:rsidR="00E773B3">
        <w:t>, et al</w:t>
      </w:r>
      <w:r>
        <w:t>, which investigated the challenges of translating a mental health survey from English to Korean</w:t>
      </w:r>
      <w:r w:rsidR="000F22EF">
        <w:t xml:space="preserve"> </w:t>
      </w:r>
      <w:r w:rsidR="000F22EF">
        <w:fldChar w:fldCharType="begin"/>
      </w:r>
      <w:r w:rsidR="007C07B4">
        <w:instrText xml:space="preserve"> ADDIN ZOTERO_ITEM CSL_CITATION {"citationID":"aj9qchujau","properties":{"formattedCitation":"[88]","plainCitation":"[88]","noteIndex":0},"citationItems":[{"id":394,"uris":["http://zotero.org/users/5015692/items/YFN8HBS5"],"itemData":{"id":394,"type":"article-journal","container-title":"Asia T'aep'yongyang sangdam yon'gu","issue":"1","journalAbbreviation":"Asia T'aep'yongyang sangdam yon'gu","note":"publisher: NIH Public Access","page":"49","title":"A review of the Korean cultural syndrome Hwa-Byung: Suggestions for theory and intervention","volume":"4","author":[{"family":"Lee","given":"Jieun"},{"family":"Wachholtz","given":"Amy"},{"family":"Choi","given":"Keum-Hyeong"}],"issued":{"date-parts":[["2014"]]}}}],"schema":"https://github.com/citation-style-language/schema/raw/master/csl-citation.json"} </w:instrText>
      </w:r>
      <w:r w:rsidR="000F22EF">
        <w:fldChar w:fldCharType="separate"/>
      </w:r>
      <w:r w:rsidR="007C07B4" w:rsidRPr="007C07B4">
        <w:t>[88]</w:t>
      </w:r>
      <w:r w:rsidR="000F22EF">
        <w:fldChar w:fldCharType="end"/>
      </w:r>
      <w:r>
        <w:t xml:space="preserve">. The researchers used a committee-based approach, involving a team of bilingual mental health professionals and survey methodologists, to translate and adapt the survey items. The process included multiple rounds of translation, back-translation, and group discussion to resolve discrepancies and ensure the cultural relevance of the translated survey. The study highlighted the importance of considering cultural nuances, such as </w:t>
      </w:r>
      <w:r>
        <w:lastRenderedPageBreak/>
        <w:t>the stigma associated with mental illness in Korean society, when adapting survey content for a different linguistic and cultural context.</w:t>
      </w:r>
    </w:p>
    <w:p w14:paraId="3350CC29" w14:textId="1BE317ED" w:rsidR="00C7206B" w:rsidRDefault="00C7206B" w:rsidP="00C7206B">
      <w:r>
        <w:t xml:space="preserve">Survey translation is a complex but essential process for conducting research in diverse populations. By following best practices and attending to the challenges of conceptual, linguistic, and cultural equivalence, researchers can develop translated surveys that accurately and effectively capture the experiences and perspectives of respondents from different language backgrounds. </w:t>
      </w:r>
      <w:r w:rsidR="00B1077B">
        <w:t>Using</w:t>
      </w:r>
      <w:r>
        <w:t xml:space="preserve"> qualified translators, multiple translation methods, and pretesting, researchers can ensure that their translated surveys are reliable, valid, and culturally appropriate for the target population.</w:t>
      </w:r>
    </w:p>
    <w:p w14:paraId="6063B39D" w14:textId="62439334" w:rsidR="00625873" w:rsidRDefault="00625873" w:rsidP="00625873">
      <w:pPr>
        <w:pStyle w:val="Heading3"/>
      </w:pPr>
      <w:bookmarkStart w:id="121" w:name="_Toc169156749"/>
      <w:r>
        <w:t>Survey Incentives</w:t>
      </w:r>
      <w:bookmarkEnd w:id="121"/>
    </w:p>
    <w:p w14:paraId="536073FC" w14:textId="77777777" w:rsidR="004E2DFA" w:rsidRDefault="004E2DFA" w:rsidP="004E2DFA">
      <w:r>
        <w:t>Incentives are rewards or compensation offered to survey respondents to encourage participation and increase response rates. In many cases, incentives can be an effective way to motivate individuals to complete a survey, particularly when the survey is lengthy, complex, or covers sensitive topics. However, the use of incentives also raises important ethical and methodological considerations that researchers must navigate to ensure the integrity of their data collection process.</w:t>
      </w:r>
    </w:p>
    <w:p w14:paraId="7BE9138B" w14:textId="77777777" w:rsidR="004E2DFA" w:rsidRDefault="004E2DFA" w:rsidP="002410FD">
      <w:pPr>
        <w:pStyle w:val="Heading4"/>
      </w:pPr>
      <w:r>
        <w:t>Types of Survey Incentives</w:t>
      </w:r>
    </w:p>
    <w:p w14:paraId="0424A878" w14:textId="77777777" w:rsidR="004E2DFA" w:rsidRDefault="004E2DFA" w:rsidP="004E2DFA">
      <w:r>
        <w:t>Survey incentives can take various forms, depending on the nature of the study, the target population, and the available resources. Some common types of incentives include:</w:t>
      </w:r>
    </w:p>
    <w:p w14:paraId="2E0D078C" w14:textId="77777777" w:rsidR="004E2DFA" w:rsidRDefault="004E2DFA" w:rsidP="002410FD">
      <w:pPr>
        <w:pStyle w:val="ListParagraph"/>
        <w:numPr>
          <w:ilvl w:val="0"/>
          <w:numId w:val="292"/>
        </w:numPr>
      </w:pPr>
      <w:r>
        <w:t>Monetary incentives: Cash payments or gift cards are often used to compensate respondents for their time and effort. Monetary incentives can be provided as prepaid or promised rewards, depending on when they are distributed in the survey process.</w:t>
      </w:r>
    </w:p>
    <w:p w14:paraId="7775340E" w14:textId="77777777" w:rsidR="004E2DFA" w:rsidRDefault="004E2DFA" w:rsidP="002410FD">
      <w:pPr>
        <w:pStyle w:val="ListParagraph"/>
        <w:numPr>
          <w:ilvl w:val="0"/>
          <w:numId w:val="292"/>
        </w:numPr>
      </w:pPr>
      <w:r>
        <w:t>Non-monetary incentives: These may include tangible items such as pens, t-shirts, or mugs, or intangible rewards like access to exclusive content, services, or events. Non-monetary incentives are often less expensive than monetary incentives but may be less effective in motivating participation.</w:t>
      </w:r>
    </w:p>
    <w:p w14:paraId="4ABF7CB2" w14:textId="77777777" w:rsidR="004E2DFA" w:rsidRDefault="004E2DFA" w:rsidP="002410FD">
      <w:pPr>
        <w:pStyle w:val="ListParagraph"/>
        <w:numPr>
          <w:ilvl w:val="0"/>
          <w:numId w:val="292"/>
        </w:numPr>
      </w:pPr>
      <w:r>
        <w:t>Lottery or prize drawings: In this approach, respondents are entered into a drawing for a chance to win a larger prize, such as a gift card or a trip. Lottery incentives can be cost-effective for researchers but may be less appealing to respondents who prefer guaranteed rewards.</w:t>
      </w:r>
    </w:p>
    <w:p w14:paraId="6C0A3097" w14:textId="3198D230" w:rsidR="004E2DFA" w:rsidRDefault="004E2DFA" w:rsidP="002410FD">
      <w:pPr>
        <w:pStyle w:val="ListParagraph"/>
        <w:numPr>
          <w:ilvl w:val="0"/>
          <w:numId w:val="292"/>
        </w:numPr>
      </w:pPr>
      <w:r>
        <w:t xml:space="preserve">Charitable donations: Some surveys offer to </w:t>
      </w:r>
      <w:r w:rsidR="00B84583">
        <w:t>donate</w:t>
      </w:r>
      <w:r>
        <w:t xml:space="preserve"> to a charitable cause on behalf of the respondent. This type of incentive can be particularly effective when the target population has a strong affinity for a particular social or environmental issue.</w:t>
      </w:r>
    </w:p>
    <w:p w14:paraId="67344233" w14:textId="77777777" w:rsidR="004E2DFA" w:rsidRDefault="004E2DFA" w:rsidP="00B84583">
      <w:pPr>
        <w:pStyle w:val="Heading4"/>
      </w:pPr>
      <w:r>
        <w:t>Effectiveness of Survey Incentives</w:t>
      </w:r>
    </w:p>
    <w:p w14:paraId="5C85E052" w14:textId="5CEA655F" w:rsidR="004E2DFA" w:rsidRDefault="004E2DFA" w:rsidP="004E2DFA">
      <w:r>
        <w:t xml:space="preserve">The effectiveness of survey incentives in boosting response rates has been widely studied, with mixed results. A meta-analysis found that monetary incentives tend to have a stronger effect on response rates than non-monetary incentives, and that prepaid incentives are more effective than </w:t>
      </w:r>
      <w:r>
        <w:lastRenderedPageBreak/>
        <w:t>promised incentives</w:t>
      </w:r>
      <w:r w:rsidR="0048374B">
        <w:t xml:space="preserve"> </w:t>
      </w:r>
      <w:r w:rsidR="0048374B">
        <w:fldChar w:fldCharType="begin"/>
      </w:r>
      <w:r w:rsidR="007C07B4">
        <w:instrText xml:space="preserve"> ADDIN ZOTERO_ITEM CSL_CITATION {"citationID":"aaguo9u9kf","properties":{"formattedCitation":"[89]","plainCitation":"[89]","noteIndex":0},"citationItems":[{"id":395,"uris":["http://zotero.org/users/5015692/items/Y4HM46A7"],"itemData":{"id":395,"type":"article-journal","container-title":"The ANNALS of the American Academy of Political and Social Science","ISSN":"0002-7162","issue":"1","journalAbbreviation":"The ANNALS of the American Academy of Political and Social Science","note":"publisher: Sage Publications Sage CA: Los Angeles, CA","page":"112-141","title":"The use and effects of incentives in surveys","volume":"645","author":[{"family":"Singer","given":"Eleanor"},{"family":"Ye","given":"Cong"}],"issued":{"date-parts":[["2013"]]}}}],"schema":"https://github.com/citation-style-language/schema/raw/master/csl-citation.json"} </w:instrText>
      </w:r>
      <w:r w:rsidR="0048374B">
        <w:fldChar w:fldCharType="separate"/>
      </w:r>
      <w:r w:rsidR="007C07B4" w:rsidRPr="007C07B4">
        <w:t>[89]</w:t>
      </w:r>
      <w:r w:rsidR="0048374B">
        <w:fldChar w:fldCharType="end"/>
      </w:r>
      <w:r>
        <w:t>. However, the authors also noted that the impact of incentives varies depending on factors such as the survey mode, the target population, and the survey topic.</w:t>
      </w:r>
    </w:p>
    <w:p w14:paraId="4B5CD8FE" w14:textId="06D99A2C" w:rsidR="004E2DFA" w:rsidRDefault="004E2DFA" w:rsidP="004E2DFA">
      <w:r>
        <w:t>For example, a study compared the effects of different incentive types on response rates in a web-based survey of college students</w:t>
      </w:r>
      <w:r w:rsidR="009C4AF4">
        <w:t xml:space="preserve"> </w:t>
      </w:r>
      <w:r w:rsidR="009C4AF4">
        <w:fldChar w:fldCharType="begin"/>
      </w:r>
      <w:r w:rsidR="007C07B4">
        <w:instrText xml:space="preserve"> ADDIN ZOTERO_ITEM CSL_CITATION {"citationID":"apil9blc45","properties":{"formattedCitation":"[90]","plainCitation":"[90]","noteIndex":0},"citationItems":[{"id":396,"uris":["http://zotero.org/users/5015692/items/8QGG6MZS"],"itemData":{"id":396,"type":"article-journal","container-title":"Social Science Computer Review","ISSN":"0894-4393","issue":"3","journalAbbreviation":"Social Science Computer Review","note":"publisher: Sage Publications Sage CA: Los Angeles, CA","page":"359-370","title":"Effects of e-mailed versus mailed invitations and incentives on response rates, data quality, and costs in a web survey of university faculty","volume":"31","author":[{"family":"Dykema","given":"Jennifer"},{"family":"Stevenson","given":"John"},{"family":"Klein","given":"Lisa"},{"family":"Kim","given":"Yujin"},{"family":"Day","given":"Brendan"}],"issued":{"date-parts":[["2013"]]}}}],"schema":"https://github.com/citation-style-language/schema/raw/master/csl-citation.json"} </w:instrText>
      </w:r>
      <w:r w:rsidR="009C4AF4">
        <w:fldChar w:fldCharType="separate"/>
      </w:r>
      <w:r w:rsidR="007C07B4" w:rsidRPr="007C07B4">
        <w:t>[90]</w:t>
      </w:r>
      <w:r w:rsidR="009C4AF4">
        <w:fldChar w:fldCharType="end"/>
      </w:r>
      <w:r>
        <w:t>. The researchers found that a $10 prepaid cash incentive yielded the highest response rate (55%), followed by a $10 promised cash incentive (44%), and a $10 promised gift card (41%). The control group, which received no incentive, had a response rate of only 29%.</w:t>
      </w:r>
    </w:p>
    <w:p w14:paraId="6DE2BF17" w14:textId="77777777" w:rsidR="004E2DFA" w:rsidRDefault="004E2DFA" w:rsidP="00222D1E">
      <w:pPr>
        <w:pStyle w:val="Heading4"/>
      </w:pPr>
      <w:r>
        <w:t>Ethical Considerations</w:t>
      </w:r>
    </w:p>
    <w:p w14:paraId="0B3BB85D" w14:textId="55774113" w:rsidR="004E2DFA" w:rsidRDefault="004E2DFA" w:rsidP="004E2DFA">
      <w:r>
        <w:t xml:space="preserve">While incentives can be a useful tool for increasing survey participation, they also raise important ethical questions. One concern is the potential for incentives to coerce or unduly influence respondents, particularly when the incentives are large or when the target population is vulnerable or </w:t>
      </w:r>
      <w:r w:rsidR="002C72EB">
        <w:t>poor</w:t>
      </w:r>
      <w:r>
        <w:t>. Researchers must ensure that incentives are appropriate and proportional to the time and effort required to complete the survey and that respondents are fully informed about the terms and conditions of the incentives.</w:t>
      </w:r>
    </w:p>
    <w:p w14:paraId="1A581801" w14:textId="6065C24D" w:rsidR="004E2DFA" w:rsidRDefault="004E2DFA" w:rsidP="004E2DFA">
      <w:r>
        <w:t>Another ethical consideration is the impact of incentives on data quality. Some researchers argue that incentives may attract respondents who are primarily motivated by the reward rather than a genuine interest in the survey topic, leading to less thoughtful or accurate responses. However, evidence on this issue is mixed, with some studies finding no significant difference in data quality between incentivized and non-incentivized surveys</w:t>
      </w:r>
      <w:r w:rsidR="002C68D3">
        <w:t xml:space="preserve"> </w:t>
      </w:r>
      <w:r w:rsidR="00425605">
        <w:fldChar w:fldCharType="begin"/>
      </w:r>
      <w:r w:rsidR="007C07B4">
        <w:instrText xml:space="preserve"> ADDIN ZOTERO_ITEM CSL_CITATION {"citationID":"as5uf3lmto","properties":{"formattedCitation":"[89]","plainCitation":"[89]","noteIndex":0},"citationItems":[{"id":395,"uris":["http://zotero.org/users/5015692/items/Y4HM46A7"],"itemData":{"id":395,"type":"article-journal","container-title":"The ANNALS of the American Academy of Political and Social Science","ISSN":"0002-7162","issue":"1","journalAbbreviation":"The ANNALS of the American Academy of Political and Social Science","note":"publisher: Sage Publications Sage CA: Los Angeles, CA","page":"112-141","title":"The use and effects of incentives in surveys","volume":"645","author":[{"family":"Singer","given":"Eleanor"},{"family":"Ye","given":"Cong"}],"issued":{"date-parts":[["2013"]]}}}],"schema":"https://github.com/citation-style-language/schema/raw/master/csl-citation.json"} </w:instrText>
      </w:r>
      <w:r w:rsidR="00425605">
        <w:fldChar w:fldCharType="separate"/>
      </w:r>
      <w:r w:rsidR="007C07B4" w:rsidRPr="007C07B4">
        <w:t>[89]</w:t>
      </w:r>
      <w:r w:rsidR="00425605">
        <w:fldChar w:fldCharType="end"/>
      </w:r>
      <w:r>
        <w:t>.</w:t>
      </w:r>
    </w:p>
    <w:p w14:paraId="791309B6" w14:textId="77777777" w:rsidR="004E2DFA" w:rsidRDefault="004E2DFA" w:rsidP="002C72EB">
      <w:pPr>
        <w:pStyle w:val="Heading4"/>
      </w:pPr>
      <w:r>
        <w:t>Best Practices for Survey Incentives</w:t>
      </w:r>
    </w:p>
    <w:p w14:paraId="4881B16E" w14:textId="77777777" w:rsidR="004E2DFA" w:rsidRDefault="004E2DFA" w:rsidP="004E2DFA">
      <w:r>
        <w:t>To maximize the benefits and minimize the risks of survey incentives, researchers should follow best practices such as:</w:t>
      </w:r>
    </w:p>
    <w:p w14:paraId="0A5D1662" w14:textId="77777777" w:rsidR="004E2DFA" w:rsidRDefault="004E2DFA" w:rsidP="00582209">
      <w:pPr>
        <w:pStyle w:val="ListParagraph"/>
        <w:numPr>
          <w:ilvl w:val="0"/>
          <w:numId w:val="293"/>
        </w:numPr>
      </w:pPr>
      <w:r>
        <w:t>Choosing incentives that are appropriate for the target population and survey topic, considering factors such as cultural norms, economic status, and respondent preferences.</w:t>
      </w:r>
    </w:p>
    <w:p w14:paraId="4BCF6503" w14:textId="77777777" w:rsidR="004E2DFA" w:rsidRDefault="004E2DFA" w:rsidP="00582209">
      <w:pPr>
        <w:pStyle w:val="ListParagraph"/>
        <w:numPr>
          <w:ilvl w:val="0"/>
          <w:numId w:val="293"/>
        </w:numPr>
      </w:pPr>
      <w:r>
        <w:t>Providing clear and transparent information about the incentives, including the value, distribution method, and any associated terms or conditions.</w:t>
      </w:r>
    </w:p>
    <w:p w14:paraId="6A045EFB" w14:textId="77777777" w:rsidR="004E2DFA" w:rsidRDefault="004E2DFA" w:rsidP="00582209">
      <w:pPr>
        <w:pStyle w:val="ListParagraph"/>
        <w:numPr>
          <w:ilvl w:val="0"/>
          <w:numId w:val="293"/>
        </w:numPr>
      </w:pPr>
      <w:r>
        <w:t>Ensuring that incentives are fairly and equitably distributed to all eligible respondents, without discrimination or favoritism.</w:t>
      </w:r>
    </w:p>
    <w:p w14:paraId="149B6CF0" w14:textId="1B988656" w:rsidR="004E2DFA" w:rsidRDefault="004E2DFA" w:rsidP="00582209">
      <w:pPr>
        <w:pStyle w:val="ListParagraph"/>
        <w:numPr>
          <w:ilvl w:val="0"/>
          <w:numId w:val="293"/>
        </w:numPr>
      </w:pPr>
      <w:r>
        <w:t xml:space="preserve">Monitoring response rates and data quality throughout the survey </w:t>
      </w:r>
      <w:r w:rsidR="00297FDD">
        <w:t>process and</w:t>
      </w:r>
      <w:r>
        <w:t xml:space="preserve"> adjusting incentive strategies as needed to optimize participation and minimize bias.</w:t>
      </w:r>
    </w:p>
    <w:p w14:paraId="38633BF2" w14:textId="77777777" w:rsidR="004E2DFA" w:rsidRDefault="004E2DFA" w:rsidP="00582209">
      <w:pPr>
        <w:pStyle w:val="ListParagraph"/>
        <w:numPr>
          <w:ilvl w:val="0"/>
          <w:numId w:val="293"/>
        </w:numPr>
      </w:pPr>
      <w:r>
        <w:t>Adhering to ethical guidelines and regulations governing the use of incentives in research, such as obtaining informed consent and protecting respondent privacy and confidentiality.</w:t>
      </w:r>
    </w:p>
    <w:p w14:paraId="5327D564" w14:textId="5FDA380E" w:rsidR="00A626FE" w:rsidRPr="000E309B" w:rsidRDefault="00FF5B0A" w:rsidP="00FF5B0A">
      <w:pPr>
        <w:pStyle w:val="Heading3"/>
      </w:pPr>
      <w:bookmarkStart w:id="122" w:name="_Ref71615167"/>
      <w:bookmarkStart w:id="123" w:name="_Ref71615194"/>
      <w:bookmarkStart w:id="124" w:name="_Toc169156750"/>
      <w:r>
        <w:lastRenderedPageBreak/>
        <w:t>A</w:t>
      </w:r>
      <w:r w:rsidR="00D14B33" w:rsidRPr="000E309B">
        <w:t xml:space="preserve">nalysis of </w:t>
      </w:r>
      <w:r>
        <w:t>S</w:t>
      </w:r>
      <w:r w:rsidR="00D14B33" w:rsidRPr="000E309B">
        <w:t xml:space="preserve">urvey </w:t>
      </w:r>
      <w:r>
        <w:t>D</w:t>
      </w:r>
      <w:r w:rsidR="00D14B33" w:rsidRPr="000E309B">
        <w:t>ata</w:t>
      </w:r>
      <w:bookmarkEnd w:id="122"/>
      <w:bookmarkEnd w:id="123"/>
      <w:bookmarkEnd w:id="124"/>
    </w:p>
    <w:p w14:paraId="5327D565" w14:textId="5E92B293" w:rsidR="00A626FE" w:rsidRPr="000E309B" w:rsidRDefault="00D14B33" w:rsidP="00856675">
      <w:pPr>
        <w:pStyle w:val="Heading4"/>
      </w:pPr>
      <w:r w:rsidRPr="000E309B">
        <w:t>From Completed Questionnaires to Data</w:t>
      </w:r>
    </w:p>
    <w:p w14:paraId="160EED30" w14:textId="1F03DF45" w:rsidR="00390485" w:rsidRDefault="00390485" w:rsidP="00390485">
      <w:r>
        <w:t>Survey research can generate a wealth of raw data, but the real value lies in transforming th</w:t>
      </w:r>
      <w:r w:rsidR="00C25DE4">
        <w:t>at</w:t>
      </w:r>
      <w:r>
        <w:t xml:space="preserve"> data into meaningful, actionable insights. This process of survey data analysis involves several key steps, from calculating response rates to coding responses and conducting statistical tests.</w:t>
      </w:r>
    </w:p>
    <w:p w14:paraId="13091C9C" w14:textId="77777777" w:rsidR="00390485" w:rsidRDefault="00390485" w:rsidP="00390485">
      <w:r>
        <w:t>One of the first things researchers look at is the survey response rate - the number of completed questionnaires received divided by the total number distributed. For example, if 100 surveys were sent out and 75 were returned complete, the response rate would be 75%. While there is no hard and fast rule for what constitutes an acceptable response rate, rates in the 20-40% range are not uncommon in many fields.</w:t>
      </w:r>
    </w:p>
    <w:p w14:paraId="61520AFA" w14:textId="49C6F1F7" w:rsidR="00390485" w:rsidRDefault="00390485" w:rsidP="00390485">
      <w:r>
        <w:t>The primary concern with low response rates is the potential for nonresponse bias, where those who choose to respond differ in meaningful ways from those who do not. For example, if only people with strong positive or negative opinions about the survey topic respond, the results may not accurately represent the broader population. However, recent research suggests that even surveys with relatively low response rates can still yield representative samples and valid findings</w:t>
      </w:r>
      <w:r w:rsidR="003D1BDD">
        <w:t xml:space="preserve"> </w:t>
      </w:r>
      <w:r w:rsidR="0017409C">
        <w:fldChar w:fldCharType="begin"/>
      </w:r>
      <w:r w:rsidR="007C07B4">
        <w:instrText xml:space="preserve"> ADDIN ZOTERO_ITEM CSL_CITATION {"citationID":"a1du0dsrbub","properties":{"formattedCitation":"[91]","plainCitation":"[91]","noteIndex":0},"citationItems":[{"id":397,"uris":["http://zotero.org/users/5015692/items/VDNXFA6V"],"itemData":{"id":397,"type":"article-journal","container-title":"Demographic research","ISSN":"1435-9871","journalAbbreviation":"Demographic research","note":"publisher: JSTOR","page":"797-828","title":"Do low survey response rates bias results? Evidence from Japan","volume":"32","author":[{"family":"Rindfuss","given":"Ronald R"},{"family":"Choe","given":"Minja K"},{"family":"Tsuya","given":"Noriko O"},{"family":"Bumpass","given":"Larry L"},{"family":"Tamaki","given":"Emi"}],"issued":{"date-parts":[["2015"]]}}}],"schema":"https://github.com/citation-style-language/schema/raw/master/csl-citation.json"} </w:instrText>
      </w:r>
      <w:r w:rsidR="0017409C">
        <w:fldChar w:fldCharType="separate"/>
      </w:r>
      <w:r w:rsidR="007C07B4" w:rsidRPr="007C07B4">
        <w:t>[91]</w:t>
      </w:r>
      <w:r w:rsidR="0017409C">
        <w:fldChar w:fldCharType="end"/>
      </w:r>
      <w:r w:rsidR="0017409C">
        <w:t xml:space="preserve"> </w:t>
      </w:r>
      <w:r w:rsidR="0017409C">
        <w:fldChar w:fldCharType="begin"/>
      </w:r>
      <w:r w:rsidR="007C07B4">
        <w:instrText xml:space="preserve"> ADDIN ZOTERO_ITEM CSL_CITATION {"citationID":"a2019dfbkjn","properties":{"formattedCitation":"[92]","plainCitation":"[92]","noteIndex":0},"citationItems":[{"id":178,"uris":["http://zotero.org/users/5015692/items/VI3HGM4N"],"itemData":{"id":178,"type":"article-journal","container-title":"Statistical Journal of the IAOS","issue":"2","page":"305–315","title":"An empirical examination of the relationship between nonresponse rate and nonresponse bias","volume":"31","author":[{"family":"Wright","given":"Graham"}],"issued":{"date-parts":[["2015"]]}}}],"schema":"https://github.com/citation-style-language/schema/raw/master/csl-citation.json"} </w:instrText>
      </w:r>
      <w:r w:rsidR="0017409C">
        <w:fldChar w:fldCharType="separate"/>
      </w:r>
      <w:r w:rsidR="007C07B4" w:rsidRPr="007C07B4">
        <w:t>[92]</w:t>
      </w:r>
      <w:r w:rsidR="0017409C">
        <w:fldChar w:fldCharType="end"/>
      </w:r>
      <w:r>
        <w:t>. Still, researchers should strive for the highest response rate possible through careful survey design and follow-up.</w:t>
      </w:r>
    </w:p>
    <w:p w14:paraId="665B0094" w14:textId="17192672" w:rsidR="00390485" w:rsidRDefault="00390485" w:rsidP="00390485">
      <w:r>
        <w:t xml:space="preserve">Once the completed questionnaires are in hand, the next step is to process and code the data. For surveys conducted digitally, the responses may already be in a structured, analyzable format. However, data from paper-based surveys or open-ended questions will need to be manually entered and coded. This involves creating a codebook that defines how responses will be translated into numerical values for analysis. </w:t>
      </w:r>
      <w:r w:rsidR="003D1BDD">
        <w:t>The following figure</w:t>
      </w:r>
      <w:r>
        <w:t xml:space="preserve"> shows an example of a codebook excerpt from a qualitative study on physical education teachers</w:t>
      </w:r>
      <w:r w:rsidR="00E30F41">
        <w:t xml:space="preserve"> </w:t>
      </w:r>
      <w:r w:rsidR="00E30F41">
        <w:fldChar w:fldCharType="begin"/>
      </w:r>
      <w:r w:rsidR="007C07B4">
        <w:instrText xml:space="preserve"> ADDIN ZOTERO_ITEM CSL_CITATION {"citationID":"a25k1mch7pt","properties":{"formattedCitation":"[93]","plainCitation":"[93]","noteIndex":0},"citationItems":[{"id":172,"uris":["http://zotero.org/users/5015692/items/S8H8Y3BS"],"itemData":{"id":172,"type":"article-journal","container-title":"Journal of Teaching in Physical Education","issue":"2","page":"225–231","title":"A practical guide to collaborative qualitative data analysis","volume":"37","author":[{"family":"Richards","given":"K Andrew R"},{"family":"Hemphill","given":"Michael A"}],"issued":{"date-parts":[["2018"]]}}}],"schema":"https://github.com/citation-style-language/schema/raw/master/csl-citation.json"} </w:instrText>
      </w:r>
      <w:r w:rsidR="00E30F41">
        <w:fldChar w:fldCharType="separate"/>
      </w:r>
      <w:r w:rsidR="007C07B4" w:rsidRPr="007C07B4">
        <w:t>[93]</w:t>
      </w:r>
      <w:r w:rsidR="00E30F41">
        <w:fldChar w:fldCharType="end"/>
      </w:r>
      <w:r>
        <w:t>.</w:t>
      </w:r>
    </w:p>
    <w:p w14:paraId="16B6B39D" w14:textId="77777777" w:rsidR="00BF345E" w:rsidRDefault="003D1BDD" w:rsidP="00BF345E">
      <w:pPr>
        <w:keepNext/>
      </w:pPr>
      <w:r>
        <w:rPr>
          <w:noProof/>
        </w:rPr>
        <w:lastRenderedPageBreak/>
        <w:drawing>
          <wp:inline distT="0" distB="0" distL="0" distR="0" wp14:anchorId="10F57F10" wp14:editId="35183F70">
            <wp:extent cx="5934075" cy="3352800"/>
            <wp:effectExtent l="0" t="0" r="9525" b="0"/>
            <wp:docPr id="76" name="Picture 76" descr="A white rectangular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white rectangular box with black text&#10;&#10;Description automatically generated"/>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4075" cy="3352800"/>
                    </a:xfrm>
                    <a:prstGeom prst="rect">
                      <a:avLst/>
                    </a:prstGeom>
                    <a:noFill/>
                    <a:ln>
                      <a:noFill/>
                    </a:ln>
                  </pic:spPr>
                </pic:pic>
              </a:graphicData>
            </a:graphic>
          </wp:inline>
        </w:drawing>
      </w:r>
    </w:p>
    <w:p w14:paraId="1AEDDC6F" w14:textId="1E66650F" w:rsidR="003D1BDD" w:rsidRDefault="00BF345E" w:rsidP="00BF345E">
      <w:pPr>
        <w:pStyle w:val="Caption"/>
        <w:jc w:val="center"/>
      </w:pPr>
      <w:r>
        <w:t xml:space="preserve">Figure </w:t>
      </w:r>
      <w:r>
        <w:fldChar w:fldCharType="begin"/>
      </w:r>
      <w:r>
        <w:instrText xml:space="preserve"> SEQ Figure \* ARABIC </w:instrText>
      </w:r>
      <w:r>
        <w:fldChar w:fldCharType="separate"/>
      </w:r>
      <w:r w:rsidR="00980002">
        <w:rPr>
          <w:noProof/>
        </w:rPr>
        <w:t>31</w:t>
      </w:r>
      <w:r>
        <w:fldChar w:fldCharType="end"/>
      </w:r>
      <w:r>
        <w:t>: Example of a Codebook Excerpt</w:t>
      </w:r>
    </w:p>
    <w:p w14:paraId="3BDB179D" w14:textId="23FAB475" w:rsidR="00390485" w:rsidRDefault="00390485" w:rsidP="00390485">
      <w:r>
        <w:t>With the data entered and coded, the real fun begins</w:t>
      </w:r>
      <w:r w:rsidR="001B5B00">
        <w:t>—</w:t>
      </w:r>
      <w:r w:rsidR="00BC5A58">
        <w:t>s</w:t>
      </w:r>
      <w:r>
        <w:t>tatistical analysis. The specific methods used will depend on the research questions and data types, but some common techniques include:</w:t>
      </w:r>
    </w:p>
    <w:p w14:paraId="41EAFCFC" w14:textId="77777777" w:rsidR="00390485" w:rsidRDefault="00390485" w:rsidP="00563CCC">
      <w:pPr>
        <w:pStyle w:val="ListParagraph"/>
        <w:numPr>
          <w:ilvl w:val="0"/>
          <w:numId w:val="278"/>
        </w:numPr>
      </w:pPr>
      <w:r>
        <w:t>Univariate analysis: Examining patterns within a single variable, such as the distribution of responses to a particular question. Tools include central tendency measures, histograms, and bar plots.</w:t>
      </w:r>
    </w:p>
    <w:p w14:paraId="3F58E3A8" w14:textId="77777777" w:rsidR="00390485" w:rsidRDefault="00390485" w:rsidP="00563CCC">
      <w:pPr>
        <w:pStyle w:val="ListParagraph"/>
        <w:numPr>
          <w:ilvl w:val="0"/>
          <w:numId w:val="278"/>
        </w:numPr>
      </w:pPr>
      <w:r>
        <w:t>Bivariate analysis: Exploring relationships between two variables, such as whether survey responses differ by respondent age or gender. Tools include cross-tabulations, correlations, and scatterplots.</w:t>
      </w:r>
    </w:p>
    <w:p w14:paraId="56E49E71" w14:textId="77777777" w:rsidR="00390485" w:rsidRDefault="00390485" w:rsidP="00563CCC">
      <w:pPr>
        <w:pStyle w:val="ListParagraph"/>
        <w:numPr>
          <w:ilvl w:val="0"/>
          <w:numId w:val="278"/>
        </w:numPr>
      </w:pPr>
      <w:r>
        <w:t>Multivariate analysis: Investigating relationships among three or more variables simultaneously, such as how the interaction of age, gender, and education level relates to survey responses. Tools include multiple regression, ANOVA, and factor analysis.</w:t>
      </w:r>
    </w:p>
    <w:p w14:paraId="44AE7450" w14:textId="77777777" w:rsidR="00390485" w:rsidRDefault="00390485" w:rsidP="00390485">
      <w:r>
        <w:t>Another common approach is hypothesis testing, where researchers start with a specific prediction (e.g., "respondents over 50 will be more likely to support Policy X") and use statistical tests to determine whether the data support or refute that hypothesis. T-tests, ANOVA, and chi-square tests are often used for this purpose.</w:t>
      </w:r>
    </w:p>
    <w:p w14:paraId="64AAE336" w14:textId="77777777" w:rsidR="00390485" w:rsidRDefault="00390485" w:rsidP="00390485">
      <w:r>
        <w:t>Regardless of the specific methods used, the goal of survey data analysis is always to condense the raw data into clear, meaningful findings that answer the research questions at hand. This requires not only technical skill in using statistical tools but also the ability to interpret and communicate the results effectively.</w:t>
      </w:r>
    </w:p>
    <w:p w14:paraId="5327D572" w14:textId="68657991" w:rsidR="00A626FE" w:rsidRPr="000E309B" w:rsidRDefault="00390485" w:rsidP="00267D67">
      <w:r>
        <w:lastRenderedPageBreak/>
        <w:t xml:space="preserve">With the proliferation of digital survey platforms and powerful statistical software like </w:t>
      </w:r>
      <w:r w:rsidRPr="00375D57">
        <w:rPr>
          <w:i/>
          <w:iCs/>
        </w:rPr>
        <w:t>SPSS</w:t>
      </w:r>
      <w:r>
        <w:t xml:space="preserve"> and </w:t>
      </w:r>
      <w:r w:rsidRPr="00375D57">
        <w:rPr>
          <w:i/>
          <w:iCs/>
        </w:rPr>
        <w:t>R</w:t>
      </w:r>
      <w:r>
        <w:t>, it has never been easier to collect and analyze survey data. However, it is important to remember that these tools are only as good as the research design and interpretation behind them. By following best practices in survey design, data preparation, and statistical analysis, researchers can transform a mass of raw survey responses into valuable insights that inform decision-making and drive positive change.</w:t>
      </w:r>
    </w:p>
    <w:p w14:paraId="5327D573" w14:textId="3174F282" w:rsidR="00A626FE" w:rsidRPr="000E309B" w:rsidRDefault="00D14B33" w:rsidP="00856675">
      <w:pPr>
        <w:pStyle w:val="Heading4"/>
      </w:pPr>
      <w:r w:rsidRPr="000E309B">
        <w:t>Biases in Survey Research</w:t>
      </w:r>
    </w:p>
    <w:p w14:paraId="5327D574" w14:textId="06D1B4F9" w:rsidR="00A626FE" w:rsidRDefault="008774B7" w:rsidP="009B76C9">
      <w:r w:rsidRPr="009B76C9">
        <w:t>Despite</w:t>
      </w:r>
      <w:r w:rsidR="009B76C9" w:rsidRPr="009B76C9">
        <w:t xml:space="preserve"> its many benefits, survey research is frequently plagued by the following five systematic biases, which can render some of the conclusions drawn from surveys useless.</w:t>
      </w:r>
      <w:r w:rsidR="00D14B33" w:rsidRPr="000E309B">
        <w:t xml:space="preserve"> </w:t>
      </w:r>
    </w:p>
    <w:p w14:paraId="3820A0C0" w14:textId="2424A3D7" w:rsidR="008774B7" w:rsidRDefault="00713DF2" w:rsidP="00713DF2">
      <w:pPr>
        <w:pStyle w:val="Heading5"/>
      </w:pPr>
      <w:r w:rsidRPr="00713DF2">
        <w:t>Non-Response Bias</w:t>
      </w:r>
    </w:p>
    <w:p w14:paraId="6336394B" w14:textId="77777777" w:rsidR="0096697B" w:rsidRDefault="0096697B" w:rsidP="0096697B">
      <w:r>
        <w:t>Non-response bias is a major concern in survey research, where low response rates can lead to questions about the validity and generalizability of the findings. When a significant proportion of the target population fails to respond, there is a risk that this non-response is due to systematic reasons that could skew the results. For example, dissatisfied customers may be more motivated to respond to a survey than satisfied ones, leading to an overrepresentation of negative experiences in the data.</w:t>
      </w:r>
    </w:p>
    <w:p w14:paraId="7C29EAEB" w14:textId="77777777" w:rsidR="0096697B" w:rsidRDefault="0096697B" w:rsidP="0096697B">
      <w:r>
        <w:t>To mitigate non-response bias and improve the quality of survey data, researchers can employ several strategies to boost response rates:</w:t>
      </w:r>
    </w:p>
    <w:p w14:paraId="27001F39" w14:textId="2F82AB72" w:rsidR="0096697B" w:rsidRPr="00250E71" w:rsidRDefault="0096697B" w:rsidP="0096697B">
      <w:pPr>
        <w:rPr>
          <w:b/>
          <w:bCs/>
        </w:rPr>
      </w:pPr>
      <w:r w:rsidRPr="00250E71">
        <w:rPr>
          <w:b/>
          <w:bCs/>
        </w:rPr>
        <w:t>Presurvey Communication</w:t>
      </w:r>
    </w:p>
    <w:p w14:paraId="4ABA8EAB" w14:textId="00A788E7" w:rsidR="0096697B" w:rsidRDefault="0096697B" w:rsidP="00250E71">
      <w:pPr>
        <w:pStyle w:val="ListParagraph"/>
        <w:numPr>
          <w:ilvl w:val="0"/>
          <w:numId w:val="279"/>
        </w:numPr>
      </w:pPr>
      <w:r>
        <w:t>Advance notification: Send a short letter to potential respondents beforehand, explaining the purpose and importance of the study, the data collection method, and expressing appreciation for their participation.</w:t>
      </w:r>
    </w:p>
    <w:p w14:paraId="72002277" w14:textId="2CC5838C" w:rsidR="0096697B" w:rsidRDefault="0096697B" w:rsidP="00250E71">
      <w:pPr>
        <w:pStyle w:val="ListParagraph"/>
        <w:numPr>
          <w:ilvl w:val="0"/>
          <w:numId w:val="279"/>
        </w:numPr>
      </w:pPr>
      <w:r>
        <w:t>Endorsement: For organizational surveys, include an endorsement from a senior executive emphasizing the significance of the study.</w:t>
      </w:r>
    </w:p>
    <w:p w14:paraId="0023DE18" w14:textId="42F7F142" w:rsidR="0096697B" w:rsidRPr="00250E71" w:rsidRDefault="0096697B" w:rsidP="0096697B">
      <w:pPr>
        <w:rPr>
          <w:b/>
          <w:bCs/>
        </w:rPr>
      </w:pPr>
      <w:r w:rsidRPr="00250E71">
        <w:rPr>
          <w:b/>
          <w:bCs/>
        </w:rPr>
        <w:t>Questionnaire Design</w:t>
      </w:r>
    </w:p>
    <w:p w14:paraId="7B0BFD5B" w14:textId="08F621DA" w:rsidR="0096697B" w:rsidRDefault="0096697B" w:rsidP="00250E71">
      <w:pPr>
        <w:pStyle w:val="ListParagraph"/>
        <w:numPr>
          <w:ilvl w:val="0"/>
          <w:numId w:val="280"/>
        </w:numPr>
      </w:pPr>
      <w:r>
        <w:t>Relevance of content: Ensure that the survey topic is relevant and important to the target audience.</w:t>
      </w:r>
    </w:p>
    <w:p w14:paraId="16038692" w14:textId="1115725F" w:rsidR="0096697B" w:rsidRDefault="0096697B" w:rsidP="00250E71">
      <w:pPr>
        <w:pStyle w:val="ListParagraph"/>
        <w:numPr>
          <w:ilvl w:val="0"/>
          <w:numId w:val="280"/>
        </w:numPr>
      </w:pPr>
      <w:r>
        <w:t xml:space="preserve">Respondent-friendly questionnaire: Keep the survey concise, straightforward, and easy to understand, with </w:t>
      </w:r>
      <w:r w:rsidR="00A63DDC">
        <w:t>no offensive</w:t>
      </w:r>
      <w:r>
        <w:t xml:space="preserve"> questions.</w:t>
      </w:r>
    </w:p>
    <w:p w14:paraId="776B7BD3" w14:textId="5CDB4CCC" w:rsidR="0096697B" w:rsidRPr="00142F71" w:rsidRDefault="0096697B" w:rsidP="0096697B">
      <w:pPr>
        <w:rPr>
          <w:b/>
          <w:bCs/>
        </w:rPr>
      </w:pPr>
      <w:r w:rsidRPr="00142F71">
        <w:rPr>
          <w:b/>
          <w:bCs/>
        </w:rPr>
        <w:t>Follow-up and Incentives</w:t>
      </w:r>
    </w:p>
    <w:p w14:paraId="717A5665" w14:textId="72400320" w:rsidR="0096697B" w:rsidRDefault="0096697B" w:rsidP="00142F71">
      <w:pPr>
        <w:pStyle w:val="ListParagraph"/>
        <w:numPr>
          <w:ilvl w:val="0"/>
          <w:numId w:val="281"/>
        </w:numPr>
      </w:pPr>
      <w:r>
        <w:t>Follow-up requests: Send multiple reminders to non-respondents to encourage participation, even if their responses are late.</w:t>
      </w:r>
    </w:p>
    <w:p w14:paraId="7D514D8F" w14:textId="43D503AA" w:rsidR="0096697B" w:rsidRDefault="0096697B" w:rsidP="00142F71">
      <w:pPr>
        <w:pStyle w:val="ListParagraph"/>
        <w:numPr>
          <w:ilvl w:val="0"/>
          <w:numId w:val="281"/>
        </w:numPr>
      </w:pPr>
      <w:r>
        <w:t>Incentives: Consider offering incentives such as cash, gift cards, giveaways, lottery entries, discount coupons, charitable contributions, or other prizes.</w:t>
      </w:r>
    </w:p>
    <w:p w14:paraId="3319644E" w14:textId="685CFDD5" w:rsidR="0096697B" w:rsidRDefault="0096697B" w:rsidP="00142F71">
      <w:pPr>
        <w:pStyle w:val="ListParagraph"/>
        <w:numPr>
          <w:ilvl w:val="0"/>
          <w:numId w:val="281"/>
        </w:numPr>
      </w:pPr>
      <w:r>
        <w:lastRenderedPageBreak/>
        <w:t>Non-monetary incentives: For business surveys, provide non-monetary incentives like benchmarking reports comparing the respondent's answers to aggregate data.</w:t>
      </w:r>
    </w:p>
    <w:p w14:paraId="10967D86" w14:textId="48454CBB" w:rsidR="0096697B" w:rsidRPr="00142F71" w:rsidRDefault="0096697B" w:rsidP="0096697B">
      <w:pPr>
        <w:rPr>
          <w:b/>
          <w:bCs/>
        </w:rPr>
      </w:pPr>
      <w:r w:rsidRPr="00142F71">
        <w:rPr>
          <w:b/>
          <w:bCs/>
        </w:rPr>
        <w:t>Data Collection and Privacy</w:t>
      </w:r>
    </w:p>
    <w:p w14:paraId="785A398B" w14:textId="2703BCB2" w:rsidR="0096697B" w:rsidRDefault="0096697B" w:rsidP="00142F71">
      <w:pPr>
        <w:pStyle w:val="ListParagraph"/>
        <w:numPr>
          <w:ilvl w:val="0"/>
          <w:numId w:val="282"/>
        </w:numPr>
      </w:pPr>
      <w:r>
        <w:t>Interviewer training: For interview-based surveys, train interviewers and use computerized dialers to enhance response rates.</w:t>
      </w:r>
    </w:p>
    <w:p w14:paraId="385E8EB8" w14:textId="7CCFDF67" w:rsidR="0096697B" w:rsidRDefault="0096697B" w:rsidP="00142F71">
      <w:pPr>
        <w:pStyle w:val="ListParagraph"/>
        <w:numPr>
          <w:ilvl w:val="0"/>
          <w:numId w:val="282"/>
        </w:numPr>
      </w:pPr>
      <w:r>
        <w:t>Confidentiality and privacy: Assure respondents that their data and responses will be kept confidential and secure.</w:t>
      </w:r>
    </w:p>
    <w:p w14:paraId="7BB847D4" w14:textId="77777777" w:rsidR="0096697B" w:rsidRDefault="0096697B" w:rsidP="0096697B">
      <w:r>
        <w:t>By implementing these strategies, researchers can improve response rates and reduce the risk of non-response bias. While achieving a 100% response rate is rarely possible, even modest improvements can enhance the representativeness and validity of the survey data.</w:t>
      </w:r>
    </w:p>
    <w:p w14:paraId="497ABD0A" w14:textId="77777777" w:rsidR="0096697B" w:rsidRDefault="0096697B" w:rsidP="0096697B">
      <w:r>
        <w:t>It is important to note that the effectiveness of these strategies may vary depending on the target population, survey mode, and research context. Researchers should carefully consider which approaches are most appropriate for their specific study and audience.</w:t>
      </w:r>
    </w:p>
    <w:p w14:paraId="2F0CD05B" w14:textId="607024C7" w:rsidR="008774B7" w:rsidRDefault="0096697B" w:rsidP="0096697B">
      <w:r>
        <w:t>Ultimately, addressing non-response bias is a critical aspect of ensuring the quality and credibility of survey research. By making concerted efforts to maximize response rates through thoughtful design and persistent follow-up, researchers can gather more comprehensive and reliable data to inform their findings and recommendations.</w:t>
      </w:r>
    </w:p>
    <w:p w14:paraId="770F79A8" w14:textId="2C84952F" w:rsidR="008774B7" w:rsidRDefault="0052215D" w:rsidP="0052215D">
      <w:pPr>
        <w:pStyle w:val="Heading5"/>
      </w:pPr>
      <w:r>
        <w:t>Sampling Bias</w:t>
      </w:r>
    </w:p>
    <w:p w14:paraId="149827D6" w14:textId="77777777" w:rsidR="000423A8" w:rsidRDefault="000423A8" w:rsidP="000423A8">
      <w:bookmarkStart w:id="125" w:name="Non_response_Bias"/>
      <w:bookmarkEnd w:id="125"/>
      <w:r>
        <w:t>Proper sample selection is critical for ensuring the validity and generalizability of survey research findings. When the sample is not representative of the target population, sampling bias can occur, leading to skewed results and inaccurate conclusions.</w:t>
      </w:r>
    </w:p>
    <w:p w14:paraId="37E13123" w14:textId="77777777" w:rsidR="000423A8" w:rsidRDefault="000423A8" w:rsidP="000423A8">
      <w:r>
        <w:t>One common source of sampling bias is the systematic exclusion of certain groups due to the survey mode or recruitment method. For example:</w:t>
      </w:r>
    </w:p>
    <w:p w14:paraId="59745461" w14:textId="6D6409EF" w:rsidR="000423A8" w:rsidRDefault="000423A8" w:rsidP="000423A8">
      <w:pPr>
        <w:pStyle w:val="ListParagraph"/>
        <w:numPr>
          <w:ilvl w:val="0"/>
          <w:numId w:val="283"/>
        </w:numPr>
      </w:pPr>
      <w:r>
        <w:t xml:space="preserve">Telephone surveys that rely on calling random samples of </w:t>
      </w:r>
      <w:r w:rsidR="009B23F5">
        <w:t>cell</w:t>
      </w:r>
      <w:r>
        <w:t xml:space="preserve"> phone numbers will exclude individuals who do not own a </w:t>
      </w:r>
      <w:r w:rsidR="009B23F5">
        <w:t>cell</w:t>
      </w:r>
      <w:r>
        <w:t xml:space="preserve"> phone.</w:t>
      </w:r>
    </w:p>
    <w:p w14:paraId="48AB82A5" w14:textId="77777777" w:rsidR="000423A8" w:rsidRDefault="000423A8" w:rsidP="000423A8">
      <w:pPr>
        <w:pStyle w:val="ListParagraph"/>
        <w:numPr>
          <w:ilvl w:val="0"/>
          <w:numId w:val="283"/>
        </w:numPr>
      </w:pPr>
      <w:r>
        <w:t>Phone surveys may also overrepresent people who are more likely to be at home during the day, such as the unemployed, disabled, or elderly, while underrepresenting those who are at work or otherwise unavailable.</w:t>
      </w:r>
    </w:p>
    <w:p w14:paraId="3E293A5E" w14:textId="77777777" w:rsidR="000423A8" w:rsidRDefault="000423A8" w:rsidP="000423A8">
      <w:pPr>
        <w:pStyle w:val="ListParagraph"/>
        <w:numPr>
          <w:ilvl w:val="0"/>
          <w:numId w:val="283"/>
        </w:numPr>
      </w:pPr>
      <w:r>
        <w:t>Online surveys tend to attract more students and younger respondents who are frequently on the Internet, while excluding those with limited or no computer or Internet access, such as the poor and elderly.</w:t>
      </w:r>
    </w:p>
    <w:p w14:paraId="1513706F" w14:textId="5E2EA2D2" w:rsidR="000423A8" w:rsidRDefault="000423A8" w:rsidP="000423A8">
      <w:pPr>
        <w:pStyle w:val="ListParagraph"/>
        <w:numPr>
          <w:ilvl w:val="0"/>
          <w:numId w:val="283"/>
        </w:numPr>
      </w:pPr>
      <w:r>
        <w:t>Questionnaire surveys, by their nature, exclude children and individuals with limited literacy who may struggle to read, understand, or provide meaningful responses.</w:t>
      </w:r>
    </w:p>
    <w:p w14:paraId="474FE508" w14:textId="77777777" w:rsidR="000423A8" w:rsidRDefault="000423A8" w:rsidP="000423A8">
      <w:r>
        <w:t xml:space="preserve">Another type of sampling bias occurs when researchers survey the wrong population for the research question at hand. For instance, asking teachers about their students' academic learning </w:t>
      </w:r>
      <w:r>
        <w:lastRenderedPageBreak/>
        <w:t>or parents about their children's experiences may not provide the most accurate or complete picture. Similarly, surveying CEOs about operational details in their company may yield less precise insights than gathering data directly from frontline employees.</w:t>
      </w:r>
    </w:p>
    <w:p w14:paraId="57A71347" w14:textId="77777777" w:rsidR="000423A8" w:rsidRDefault="000423A8" w:rsidP="000423A8">
      <w:r>
        <w:t>Self-selection bias is another concern, where individuals who voluntarily participate in a survey may differ systematically from those who choose not to participate. For example, in a survey about customer satisfaction, highly satisfied or dissatisfied customers may be more motivated to respond, leading to an overrepresentation of extreme views.</w:t>
      </w:r>
    </w:p>
    <w:p w14:paraId="471190CB" w14:textId="6964CCD0" w:rsidR="000423A8" w:rsidRDefault="003A712C" w:rsidP="000423A8">
      <w:r>
        <w:t>T</w:t>
      </w:r>
      <w:r w:rsidR="000423A8">
        <w:t>o minimize sampling bias and ensure representativeness, researchers should:</w:t>
      </w:r>
    </w:p>
    <w:p w14:paraId="17846C13" w14:textId="77777777" w:rsidR="000423A8" w:rsidRDefault="000423A8" w:rsidP="003A712C">
      <w:pPr>
        <w:pStyle w:val="ListParagraph"/>
        <w:numPr>
          <w:ilvl w:val="0"/>
          <w:numId w:val="284"/>
        </w:numPr>
      </w:pPr>
      <w:r>
        <w:t>Carefully define the target population and select a sample that accurately reflects its key characteristics (e.g., age, gender, income, education).</w:t>
      </w:r>
    </w:p>
    <w:p w14:paraId="4E32E1C7" w14:textId="77777777" w:rsidR="000423A8" w:rsidRDefault="000423A8" w:rsidP="003A712C">
      <w:pPr>
        <w:pStyle w:val="ListParagraph"/>
        <w:numPr>
          <w:ilvl w:val="0"/>
          <w:numId w:val="284"/>
        </w:numPr>
      </w:pPr>
      <w:r>
        <w:t>Use random sampling techniques where possible to ensure that every member of the population has an equal chance of being selected.</w:t>
      </w:r>
    </w:p>
    <w:p w14:paraId="110C7712" w14:textId="77777777" w:rsidR="000423A8" w:rsidRDefault="000423A8" w:rsidP="003A712C">
      <w:pPr>
        <w:pStyle w:val="ListParagraph"/>
        <w:numPr>
          <w:ilvl w:val="0"/>
          <w:numId w:val="284"/>
        </w:numPr>
      </w:pPr>
      <w:r>
        <w:t>Employ multiple recruitment methods (e.g., mail, phone, online) to reach a broader cross-section of the population.</w:t>
      </w:r>
    </w:p>
    <w:p w14:paraId="2640B6F8" w14:textId="77777777" w:rsidR="000423A8" w:rsidRDefault="000423A8" w:rsidP="003A712C">
      <w:pPr>
        <w:pStyle w:val="ListParagraph"/>
        <w:numPr>
          <w:ilvl w:val="0"/>
          <w:numId w:val="284"/>
        </w:numPr>
      </w:pPr>
      <w:r>
        <w:t>Monitor response rates and sample composition throughout data collection and adjust the recruitment strategy as needed to improve representativeness.</w:t>
      </w:r>
    </w:p>
    <w:p w14:paraId="1BB8223C" w14:textId="77777777" w:rsidR="000423A8" w:rsidRDefault="000423A8" w:rsidP="003A712C">
      <w:pPr>
        <w:pStyle w:val="ListParagraph"/>
        <w:numPr>
          <w:ilvl w:val="0"/>
          <w:numId w:val="284"/>
        </w:numPr>
      </w:pPr>
      <w:r>
        <w:t>Use weighting techniques during data analysis to adjust for any remaining imbalances in the sample composition.</w:t>
      </w:r>
    </w:p>
    <w:p w14:paraId="5327D57E" w14:textId="02061EFC" w:rsidR="00A626FE" w:rsidRDefault="000423A8" w:rsidP="000423A8">
      <w:r>
        <w:t>By being attentive to potential sources of sampling bias and taking proactive steps to ensure representativeness, researchers can enhance the validity and generalizability of their survey findings. While perfect representativeness may not always be achievable, minimizing sampling bias is essential for drawing accurate conclusions and making sound recommendations based on survey research.</w:t>
      </w:r>
    </w:p>
    <w:p w14:paraId="5DFC8DBD" w14:textId="38BA3FE8" w:rsidR="003A712C" w:rsidRDefault="003A712C" w:rsidP="003A712C">
      <w:pPr>
        <w:pStyle w:val="Heading5"/>
      </w:pPr>
      <w:r>
        <w:t>Social Desirability Bias</w:t>
      </w:r>
    </w:p>
    <w:p w14:paraId="1CDD8D70" w14:textId="77777777" w:rsidR="003B4B86" w:rsidRDefault="003B4B86" w:rsidP="003B4B86">
      <w:r>
        <w:t>Social desirability bias refers to the tendency of survey respondents to provide answers that present themselves in a more favorable or socially acceptable light, rather than responding truthfully. This bias can significantly undermine the validity of survey findings, as it leads to a systematic distortion of responses.</w:t>
      </w:r>
    </w:p>
    <w:p w14:paraId="4600FE1E" w14:textId="77777777" w:rsidR="003B4B86" w:rsidRDefault="003B4B86" w:rsidP="003B4B86">
      <w:r>
        <w:t>For example, when asked a question like "Do you think your project team is dysfunctional?", many respondents may be hesitant to express negative opinions about their colleagues or workplace, even if they privately hold such views. Similarly, questions about sensitive topics like personal health behaviors, political beliefs, or income may elicit responses that conform to perceived social norms rather than reflecting the respondent's true experiences or opinions.</w:t>
      </w:r>
    </w:p>
    <w:p w14:paraId="354FA74D" w14:textId="77777777" w:rsidR="003B4B86" w:rsidRDefault="003B4B86" w:rsidP="003B4B86">
      <w:r>
        <w:t>In a questionnaire survey, mitigating social desirability bias can be particularly challenging, as researchers have limited control over how respondents interpret and answer questions. However, there are some strategies that can help reduce the impact of this bias:</w:t>
      </w:r>
    </w:p>
    <w:p w14:paraId="54D9CFDF" w14:textId="77777777" w:rsidR="003B4B86" w:rsidRDefault="003B4B86" w:rsidP="00114925">
      <w:pPr>
        <w:pStyle w:val="ListParagraph"/>
        <w:numPr>
          <w:ilvl w:val="0"/>
          <w:numId w:val="285"/>
        </w:numPr>
      </w:pPr>
      <w:r>
        <w:lastRenderedPageBreak/>
        <w:t>Careful question wording: Avoid loaded or value-laden terms that may encourage socially desirable responses. Use neutral, objective language whenever possible.</w:t>
      </w:r>
    </w:p>
    <w:p w14:paraId="43087F58" w14:textId="77777777" w:rsidR="003B4B86" w:rsidRDefault="003B4B86" w:rsidP="00114925">
      <w:pPr>
        <w:pStyle w:val="ListParagraph"/>
        <w:numPr>
          <w:ilvl w:val="0"/>
          <w:numId w:val="285"/>
        </w:numPr>
      </w:pPr>
      <w:r>
        <w:t>Response scaling: Offer a range of response options that normalize less socially desirable answers. For example, instead of a simple yes/no question about exercise habits, provide a frequency scale that includes options like "rarely" or "occasionally."</w:t>
      </w:r>
    </w:p>
    <w:p w14:paraId="380A2AEF" w14:textId="77777777" w:rsidR="003B4B86" w:rsidRDefault="003B4B86" w:rsidP="00114925">
      <w:pPr>
        <w:pStyle w:val="ListParagraph"/>
        <w:numPr>
          <w:ilvl w:val="0"/>
          <w:numId w:val="285"/>
        </w:numPr>
      </w:pPr>
      <w:r>
        <w:t>Indirect questioning: Ask about the behavior or opinions of others rather than the respondent directly. For instance, "What percentage of your colleagues would you estimate arrive late to work on a regular basis?" may yield more honest responses than "Do you arrive late to work?"</w:t>
      </w:r>
    </w:p>
    <w:p w14:paraId="791DF61A" w14:textId="77777777" w:rsidR="003B4B86" w:rsidRDefault="003B4B86" w:rsidP="00114925">
      <w:pPr>
        <w:pStyle w:val="ListParagraph"/>
        <w:numPr>
          <w:ilvl w:val="0"/>
          <w:numId w:val="285"/>
        </w:numPr>
      </w:pPr>
      <w:r>
        <w:t>Assurances of confidentiality: Emphasize that responses will be kept strictly confidential and that individual answers will not be shared with employers, family members, or other relevant parties.</w:t>
      </w:r>
    </w:p>
    <w:p w14:paraId="0D773723" w14:textId="77777777" w:rsidR="003B4B86" w:rsidRDefault="003B4B86" w:rsidP="003B4B86">
      <w:r>
        <w:t>In an interview setting, a skilled interviewer may have additional opportunities to detect and mitigate social desirability bias. By establishing rapport, asking probing follow-up questions, and observing nonverbal cues, an interviewer can gather more nuanced and accurate information. However, this approach is more time-consuming and may not be feasible for large-scale surveys.</w:t>
      </w:r>
    </w:p>
    <w:p w14:paraId="3C552478" w14:textId="77777777" w:rsidR="003B4B86" w:rsidRDefault="003B4B86" w:rsidP="003B4B86">
      <w:r>
        <w:t>Ultimately, while it may not be possible to eliminate social desirability bias entirely, researchers should be aware of its potential impact and take steps to minimize its influence on survey results. By carefully designing questions, response options, and data collection procedures, researchers can encourage more honest and valid responses from participants.</w:t>
      </w:r>
    </w:p>
    <w:p w14:paraId="0D05975E" w14:textId="1FBDD49A" w:rsidR="003A712C" w:rsidRDefault="003B4B86" w:rsidP="003B4B86">
      <w:r>
        <w:t>Understanding and addressing social desirability bias is crucial for ensuring the accuracy and credibility of survey research findings. By taking proactive steps to mitigate this bias, researchers can have greater confidence in their results and make more reliable recommendations based on their data.</w:t>
      </w:r>
    </w:p>
    <w:p w14:paraId="1EC4BE74" w14:textId="6038D99D" w:rsidR="00114925" w:rsidRDefault="00114925" w:rsidP="00114925">
      <w:pPr>
        <w:pStyle w:val="Heading5"/>
      </w:pPr>
      <w:r>
        <w:t>Recall Bias</w:t>
      </w:r>
    </w:p>
    <w:p w14:paraId="3397FD4C" w14:textId="77777777" w:rsidR="007737EA" w:rsidRDefault="007737EA" w:rsidP="007737EA">
      <w:r>
        <w:t>Recall bias refers to the systematic error that can occur in survey research when respondents are asked to remember and report on past events, behaviors, or experiences. This bias arises because respondents' ability to accurately recall information may be influenced by factors such as the passage of time, the salience of the event, or subsequent experiences that may have altered their perceptions.</w:t>
      </w:r>
    </w:p>
    <w:p w14:paraId="05C88A96" w14:textId="77777777" w:rsidR="007737EA" w:rsidRDefault="007737EA" w:rsidP="007737EA">
      <w:r>
        <w:t>For example, if a survey asks respondents to describe their utilization of computer technology one year ago, their responses may not be entirely accurate due to difficulties remembering specific details over such a long period. Similarly, when asking about memorable childhood events like birthdays, respondents' recollections may have evolved or become distorted over time, leading to inaccurate or incomplete accounts.</w:t>
      </w:r>
    </w:p>
    <w:p w14:paraId="3B712C20" w14:textId="77777777" w:rsidR="007737EA" w:rsidRDefault="007737EA" w:rsidP="007737EA">
      <w:r>
        <w:t>To mitigate recall bias and enhance response accuracy, researchers can employ several strategies:</w:t>
      </w:r>
    </w:p>
    <w:p w14:paraId="18C54D4A" w14:textId="77777777" w:rsidR="007737EA" w:rsidRDefault="007737EA" w:rsidP="00DC1521">
      <w:pPr>
        <w:pStyle w:val="ListParagraph"/>
        <w:numPr>
          <w:ilvl w:val="0"/>
          <w:numId w:val="286"/>
        </w:numPr>
      </w:pPr>
      <w:r>
        <w:lastRenderedPageBreak/>
        <w:t>Anchoring memories: Rather than asking respondents to recall their perceptions and motivations from memory alone, try to anchor their recollections in specific, concrete events. For instance, instead of asking, "How often did you use social media last month?", you could ask, "Think back to last month. Can you remember any specific times when you used social media, such as during your commute to work or while waiting in line at the grocery store?"</w:t>
      </w:r>
    </w:p>
    <w:p w14:paraId="0C99D9C9" w14:textId="77777777" w:rsidR="007737EA" w:rsidRDefault="007737EA" w:rsidP="00DC1521">
      <w:pPr>
        <w:pStyle w:val="ListParagraph"/>
        <w:numPr>
          <w:ilvl w:val="0"/>
          <w:numId w:val="286"/>
        </w:numPr>
      </w:pPr>
      <w:r>
        <w:t>Using time-bound reference periods: Limit the recall period to a relatively recent and specific timeframe (e.g., the past week or month) to reduce the cognitive burden on respondents and improve the accuracy of their recollections.</w:t>
      </w:r>
    </w:p>
    <w:p w14:paraId="34A9D285" w14:textId="77777777" w:rsidR="007737EA" w:rsidRDefault="007737EA" w:rsidP="00DC1521">
      <w:pPr>
        <w:pStyle w:val="ListParagraph"/>
        <w:numPr>
          <w:ilvl w:val="0"/>
          <w:numId w:val="286"/>
        </w:numPr>
      </w:pPr>
      <w:r>
        <w:t>Providing memory aids: Offer prompts or cues to help respondents remember relevant details. For example, in a survey about household purchases, you could provide a list of common product categories to jog respondents' memories.</w:t>
      </w:r>
    </w:p>
    <w:p w14:paraId="37738397" w14:textId="77777777" w:rsidR="007737EA" w:rsidRDefault="007737EA" w:rsidP="00DC1521">
      <w:pPr>
        <w:pStyle w:val="ListParagraph"/>
        <w:numPr>
          <w:ilvl w:val="0"/>
          <w:numId w:val="286"/>
        </w:numPr>
      </w:pPr>
      <w:r>
        <w:t>Employing prospective study designs: When possible, consider using prospective rather than retrospective designs. For instance, instead of asking respondents to recall their diet from the past year, have them keep a food diary for a week or month to capture their eating habits in real-time.</w:t>
      </w:r>
    </w:p>
    <w:p w14:paraId="45EC553D" w14:textId="77777777" w:rsidR="007737EA" w:rsidRDefault="007737EA" w:rsidP="00DC1521">
      <w:pPr>
        <w:pStyle w:val="ListParagraph"/>
        <w:numPr>
          <w:ilvl w:val="0"/>
          <w:numId w:val="286"/>
        </w:numPr>
      </w:pPr>
      <w:r>
        <w:t>Triangulating data sources: Corroborate survey responses with data from other sources, such as medical records, financial statements, or behavioral observations, to cross-verify the accuracy of respondents' recollections.</w:t>
      </w:r>
    </w:p>
    <w:p w14:paraId="00DD2262" w14:textId="77777777" w:rsidR="007737EA" w:rsidRDefault="007737EA" w:rsidP="007737EA">
      <w:r>
        <w:t>While it may not be possible to eliminate recall bias completely, these strategies can help to minimize its impact and improve the overall validity of survey findings.</w:t>
      </w:r>
    </w:p>
    <w:p w14:paraId="5496611B" w14:textId="77777777" w:rsidR="007737EA" w:rsidRDefault="007737EA" w:rsidP="007737EA">
      <w:r>
        <w:t>It is important for researchers to be aware of the potential for recall bias and to carefully consider how questions are framed and presented to respondents. By using appropriate techniques to enhance response accuracy, researchers can have greater confidence in their survey results and draw more reliable conclusions from their data.</w:t>
      </w:r>
    </w:p>
    <w:p w14:paraId="1B367CCD" w14:textId="44C48023" w:rsidR="00114925" w:rsidRDefault="007737EA" w:rsidP="007737EA">
      <w:r>
        <w:t>Ultimately, addressing recall bias is an essential component of ensuring the quality and credibility of survey research. By taking proactive steps to mitigate this bias, researchers can generate more accurate and meaningful insights to inform decision-making and drive positive change.</w:t>
      </w:r>
    </w:p>
    <w:p w14:paraId="38EFB68D" w14:textId="3222AB03" w:rsidR="00267384" w:rsidRDefault="00267384" w:rsidP="00267384">
      <w:pPr>
        <w:pStyle w:val="Heading5"/>
      </w:pPr>
      <w:r>
        <w:t>Common Method Bias</w:t>
      </w:r>
    </w:p>
    <w:p w14:paraId="4F21B429" w14:textId="77777777" w:rsidR="00AE40ED" w:rsidRDefault="00AE40ED" w:rsidP="00AE40ED">
      <w:r>
        <w:t>Common method bias is a type of systematic error that can arise in survey research when both the independent and dependent variables are measured using the same method, such as a single questionnaire administered at one point in time. This bias occurs due to the spurious covariance that may exist between variables assessed simultaneously, making it challenging to separate the true relationship between the constructs of interest from artifacts of the measurement process.</w:t>
      </w:r>
    </w:p>
    <w:p w14:paraId="116B5FFD" w14:textId="77777777" w:rsidR="00AE40ED" w:rsidRDefault="00AE40ED" w:rsidP="00AE40ED">
      <w:r>
        <w:t xml:space="preserve">For example, consider a cross-sectional survey examining the relationship between job satisfaction and organizational commitment. If both variables are measured using self-report questionnaire items at the same time, the observed correlation between them may be inflated due </w:t>
      </w:r>
      <w:r>
        <w:lastRenderedPageBreak/>
        <w:t>to common method bias. Respondents' momentary mood, response style, or desire to maintain consistency in their answers could contribute to this spurious covariance, obscuring the true nature of the relationship.</w:t>
      </w:r>
    </w:p>
    <w:p w14:paraId="56F79CB3" w14:textId="77777777" w:rsidR="00AE40ED" w:rsidRDefault="00AE40ED" w:rsidP="00AE40ED">
      <w:r>
        <w:t>To mitigate common method bias, researchers can employ several strategies:</w:t>
      </w:r>
    </w:p>
    <w:p w14:paraId="589238DA" w14:textId="77777777" w:rsidR="00AE40ED" w:rsidRDefault="00AE40ED" w:rsidP="00DC0832">
      <w:pPr>
        <w:pStyle w:val="ListParagraph"/>
        <w:numPr>
          <w:ilvl w:val="0"/>
          <w:numId w:val="287"/>
        </w:numPr>
      </w:pPr>
      <w:r>
        <w:t>Longitudinal survey design: Measure the independent and dependent variables at different points in time, allowing for temporal separation between the assessments. This approach can help to reduce the influence of transient factors and provide a more accurate picture of the relationship between variables.</w:t>
      </w:r>
    </w:p>
    <w:p w14:paraId="03616999" w14:textId="77777777" w:rsidR="00AE40ED" w:rsidRDefault="00AE40ED" w:rsidP="00DC0832">
      <w:pPr>
        <w:pStyle w:val="ListParagraph"/>
        <w:numPr>
          <w:ilvl w:val="0"/>
          <w:numId w:val="287"/>
        </w:numPr>
      </w:pPr>
      <w:r>
        <w:t>Multiple measurement methods: Use different methods to assess the independent and dependent variables. For instance, you could measure the dependent variable using objective, computerized recordings while assessing the independent variable through self-report questionnaires. By employing diverse measurement approaches, you can minimize the shared variance attributable to the common method.</w:t>
      </w:r>
    </w:p>
    <w:p w14:paraId="2C3164BD" w14:textId="77777777" w:rsidR="00AE40ED" w:rsidRDefault="00AE40ED" w:rsidP="00DC0832">
      <w:pPr>
        <w:pStyle w:val="ListParagraph"/>
        <w:numPr>
          <w:ilvl w:val="0"/>
          <w:numId w:val="287"/>
        </w:numPr>
      </w:pPr>
      <w:r>
        <w:t>Multiple sources of data: Collect data from different sources or informants to triangulate findings and reduce the reliance on a single measurement method. For example, in a study of leadership effectiveness, you could gather ratings from both supervisors and subordinates to provide a more comprehensive and less biased assessment.</w:t>
      </w:r>
    </w:p>
    <w:p w14:paraId="5BA5BB42" w14:textId="22DB89D8" w:rsidR="00AE40ED" w:rsidRDefault="00AE40ED" w:rsidP="00DC0832">
      <w:pPr>
        <w:pStyle w:val="ListParagraph"/>
        <w:numPr>
          <w:ilvl w:val="0"/>
          <w:numId w:val="287"/>
        </w:numPr>
      </w:pPr>
      <w:r>
        <w:t xml:space="preserve">Statistical control techniques: Use statistical methods to </w:t>
      </w:r>
      <w:r w:rsidR="00DC0832">
        <w:t>control</w:t>
      </w:r>
      <w:r>
        <w:t xml:space="preserve"> the effects of common method bias, such as the single-factor test, the marker variable technique, or the unmeasured latent method factor approach. These techniques can help to isolate and remove the variance attributable to the common method, allowing for a clearer estimation of the true relationships between variables.</w:t>
      </w:r>
    </w:p>
    <w:p w14:paraId="2721A5CF" w14:textId="77777777" w:rsidR="00AE40ED" w:rsidRDefault="00AE40ED" w:rsidP="00DC0832">
      <w:pPr>
        <w:pStyle w:val="ListParagraph"/>
        <w:numPr>
          <w:ilvl w:val="0"/>
          <w:numId w:val="287"/>
        </w:numPr>
      </w:pPr>
      <w:r>
        <w:t>Careful survey design: Design the survey instrument to minimize the potential for common method bias. This may involve using different response formats or scales for the independent and dependent variables, counterbalancing the order of questions, or including reverse-coded items to disrupt response patterns.</w:t>
      </w:r>
    </w:p>
    <w:p w14:paraId="2368E797" w14:textId="77777777" w:rsidR="00AE40ED" w:rsidRDefault="00AE40ED" w:rsidP="00AE40ED">
      <w:r>
        <w:t>By employing a combination of these strategies, researchers can reduce the impact of common method bias and enhance the validity of their survey findings.</w:t>
      </w:r>
    </w:p>
    <w:p w14:paraId="4EDF2B15" w14:textId="77777777" w:rsidR="00AE40ED" w:rsidRDefault="00AE40ED" w:rsidP="00AE40ED">
      <w:r>
        <w:t>It is important for researchers to be aware of the potential for common method bias and to take proactive steps to address it in their study designs. By using appropriate methodological and statistical techniques, researchers can have greater confidence in the accuracy and generalizability of their survey results.</w:t>
      </w:r>
    </w:p>
    <w:p w14:paraId="5327D582" w14:textId="467808D7" w:rsidR="00A626FE" w:rsidRPr="000E309B" w:rsidRDefault="00AE40ED" w:rsidP="00DC0832">
      <w:r>
        <w:t>Ultimately, mitigating common method bias is crucial for ensuring the integrity and credibility of survey research. By taking a rigorous approach to study design and data analysis, researchers can generate more reliable and meaningful insights to inform theory, practice, and policy.</w:t>
      </w:r>
    </w:p>
    <w:p w14:paraId="5327D583" w14:textId="1FCC5FB9" w:rsidR="00A626FE" w:rsidRDefault="00254084" w:rsidP="001D0F8C">
      <w:pPr>
        <w:pStyle w:val="Heading3"/>
      </w:pPr>
      <w:bookmarkStart w:id="126" w:name="_Toc169156751"/>
      <w:r>
        <w:rPr>
          <w:noProof/>
        </w:rPr>
        <w:lastRenderedPageBreak/>
        <w:drawing>
          <wp:anchor distT="0" distB="0" distL="114300" distR="114300" simplePos="0" relativeHeight="251969620" behindDoc="0" locked="0" layoutInCell="1" allowOverlap="1" wp14:anchorId="7E80F4B3" wp14:editId="2A0A5DC5">
            <wp:simplePos x="0" y="0"/>
            <wp:positionH relativeFrom="column">
              <wp:align>right</wp:align>
            </wp:positionH>
            <wp:positionV relativeFrom="paragraph">
              <wp:posOffset>0</wp:posOffset>
            </wp:positionV>
            <wp:extent cx="914400" cy="914400"/>
            <wp:effectExtent l="19050" t="19050" r="19050" b="19050"/>
            <wp:wrapSquare wrapText="bothSides"/>
            <wp:docPr id="1596951122"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8B75F7">
        <w:t>Summary</w:t>
      </w:r>
      <w:r w:rsidR="009D3BA7">
        <w:t xml:space="preserve"> of </w:t>
      </w:r>
      <w:r w:rsidR="008B75F7">
        <w:t>Chapter 8</w:t>
      </w:r>
      <w:r w:rsidR="009D3BA7">
        <w:t>:</w:t>
      </w:r>
      <w:r w:rsidR="008B75F7">
        <w:t xml:space="preserve"> Su</w:t>
      </w:r>
      <w:r w:rsidR="003F4A2D">
        <w:t>rvey Research</w:t>
      </w:r>
      <w:bookmarkEnd w:id="126"/>
    </w:p>
    <w:p w14:paraId="156BC201" w14:textId="77777777" w:rsidR="00770276" w:rsidRDefault="00770276" w:rsidP="00770276">
      <w:r>
        <w:t>In this chapter, you've learned about the fundamental concepts and techniques involved in conducting effective survey research. Surveys are a powerful tool for systematically collecting data about individuals' preferences, thoughts, and behaviors, and they have become a prevalent method for quantitative research in business and social sciences. By understanding the strengths and weaknesses of survey research, as well as the various types of surveys and best practices for designing questionnaires, you'll be well-equipped to employ this method in your own research projects.</w:t>
      </w:r>
    </w:p>
    <w:p w14:paraId="75985FA1" w14:textId="77777777" w:rsidR="00770276" w:rsidRDefault="00770276" w:rsidP="00770276">
      <w:r>
        <w:t>The primary concepts covered in this chapter include:</w:t>
      </w:r>
    </w:p>
    <w:p w14:paraId="2E129015" w14:textId="2421E903" w:rsidR="00770276" w:rsidRDefault="00770276" w:rsidP="00770276">
      <w:pPr>
        <w:pStyle w:val="ListParagraph"/>
        <w:numPr>
          <w:ilvl w:val="0"/>
          <w:numId w:val="294"/>
        </w:numPr>
      </w:pPr>
      <w:r>
        <w:t>Cross-sectional and longitudinal surveys</w:t>
      </w:r>
      <w:r w:rsidR="001C5B5C">
        <w:t>.</w:t>
      </w:r>
    </w:p>
    <w:p w14:paraId="192E50AB" w14:textId="25F51484" w:rsidR="00770276" w:rsidRDefault="00770276" w:rsidP="00770276">
      <w:pPr>
        <w:pStyle w:val="ListParagraph"/>
        <w:numPr>
          <w:ilvl w:val="0"/>
          <w:numId w:val="294"/>
        </w:numPr>
      </w:pPr>
      <w:r>
        <w:t>Types of longitudinal surveys: trend, panel, cohort, and retrospective</w:t>
      </w:r>
      <w:r w:rsidR="001C5B5C">
        <w:t>.</w:t>
      </w:r>
    </w:p>
    <w:p w14:paraId="20D97E33" w14:textId="4620D05D" w:rsidR="00770276" w:rsidRDefault="00770276" w:rsidP="00770276">
      <w:pPr>
        <w:pStyle w:val="ListParagraph"/>
        <w:numPr>
          <w:ilvl w:val="0"/>
          <w:numId w:val="294"/>
        </w:numPr>
      </w:pPr>
      <w:r>
        <w:t>Methods of administering surveys: printed, group-administered, and online questionnaires</w:t>
      </w:r>
      <w:r w:rsidR="001C5B5C">
        <w:t>.</w:t>
      </w:r>
    </w:p>
    <w:p w14:paraId="52CB2858" w14:textId="73E65367" w:rsidR="00770276" w:rsidRDefault="00770276" w:rsidP="00770276">
      <w:pPr>
        <w:pStyle w:val="ListParagraph"/>
        <w:numPr>
          <w:ilvl w:val="0"/>
          <w:numId w:val="294"/>
        </w:numPr>
      </w:pPr>
      <w:r>
        <w:t>Steps for designing effective survey questions</w:t>
      </w:r>
      <w:r w:rsidR="001C5B5C">
        <w:t>.</w:t>
      </w:r>
    </w:p>
    <w:p w14:paraId="56D78C30" w14:textId="661A8B87" w:rsidR="00770276" w:rsidRDefault="00770276" w:rsidP="00770276">
      <w:pPr>
        <w:pStyle w:val="ListParagraph"/>
        <w:numPr>
          <w:ilvl w:val="0"/>
          <w:numId w:val="294"/>
        </w:numPr>
      </w:pPr>
      <w:r>
        <w:t>Best practices for crafting survey questions</w:t>
      </w:r>
      <w:r w:rsidR="001C5B5C">
        <w:t>.</w:t>
      </w:r>
    </w:p>
    <w:p w14:paraId="2629ED93" w14:textId="2367B6A7" w:rsidR="00770276" w:rsidRDefault="00770276" w:rsidP="00770276">
      <w:pPr>
        <w:pStyle w:val="ListParagraph"/>
        <w:numPr>
          <w:ilvl w:val="0"/>
          <w:numId w:val="294"/>
        </w:numPr>
      </w:pPr>
      <w:r>
        <w:t>Response options for closed-ended questions</w:t>
      </w:r>
      <w:r w:rsidR="001C5B5C">
        <w:t>.</w:t>
      </w:r>
    </w:p>
    <w:p w14:paraId="318BD59A" w14:textId="77777777" w:rsidR="00770276" w:rsidRDefault="00770276" w:rsidP="00770276">
      <w:r>
        <w:t>These concepts contribute to a successful research project by helping you select the most appropriate survey design and administration method based on your research goals, target population, and available resources. By following the guidelines for designing clear, concise, and unbiased questions, you'll be able to collect reliable and valid data that accurately captures the phenomena you're interested in studying.</w:t>
      </w:r>
    </w:p>
    <w:p w14:paraId="5A3D8905" w14:textId="68530D18" w:rsidR="00770276" w:rsidRDefault="00770276" w:rsidP="00770276">
      <w:r>
        <w:t>As you continue your journey in research, I encourage you to explore these concepts further and apply them to your own projects. Consider how different survey designs and question types might yield different insights and think critically about the potential biases and limitations inherent in survey research. By engaging with these ideas beyond the scope of this class, you'll develop a deeper understanding of the complexities and nuances of this important research method.</w:t>
      </w:r>
    </w:p>
    <w:p w14:paraId="2D74D8EE" w14:textId="72CF29E0" w:rsidR="008564EE" w:rsidRPr="008564EE" w:rsidRDefault="00770276" w:rsidP="00770276">
      <w:r>
        <w:t>Remember, while survey research can be a powerful tool, it's just one of many approaches available to researchers. As you expand your knowledge and skills, you'll encounter other methods, such as experiments, interviews, and observational studies, each with their own strengths and weaknesses. By building a diverse methodological toolkit, you'll be prepared to tackle a wide range of research questions and contribute meaningful insights to your field of study.</w:t>
      </w:r>
    </w:p>
    <w:p w14:paraId="76F386BF" w14:textId="77777777" w:rsidR="002136B8" w:rsidRDefault="002136B8" w:rsidP="000E309B">
      <w:pPr>
        <w:spacing w:line="360" w:lineRule="auto"/>
      </w:pPr>
    </w:p>
    <w:p w14:paraId="68E931AA" w14:textId="4D325398" w:rsidR="00DF6737" w:rsidRDefault="00DF6737" w:rsidP="000E309B">
      <w:pPr>
        <w:spacing w:line="360" w:lineRule="auto"/>
        <w:sectPr w:rsidR="00DF6737" w:rsidSect="00FD08D0">
          <w:headerReference w:type="default" r:id="rId248"/>
          <w:pgSz w:w="12240" w:h="15840"/>
          <w:pgMar w:top="1440" w:right="1440" w:bottom="1440" w:left="1440" w:header="720" w:footer="720" w:gutter="0"/>
          <w:cols w:space="720"/>
          <w:docGrid w:linePitch="299"/>
        </w:sectPr>
      </w:pPr>
    </w:p>
    <w:p w14:paraId="5327D58D" w14:textId="1618DA1B" w:rsidR="00A626FE" w:rsidRPr="000E309B" w:rsidRDefault="00671066" w:rsidP="00294B9E">
      <w:pPr>
        <w:pStyle w:val="Heading2"/>
      </w:pPr>
      <w:bookmarkStart w:id="127" w:name="_Toc169156752"/>
      <w:r>
        <w:lastRenderedPageBreak/>
        <w:t xml:space="preserve">9: </w:t>
      </w:r>
      <w:r w:rsidR="00294B9E" w:rsidRPr="000E309B">
        <w:t>Experimental Research</w:t>
      </w:r>
      <w:bookmarkEnd w:id="127"/>
    </w:p>
    <w:p w14:paraId="5327D58F" w14:textId="5273F63B" w:rsidR="00A626FE" w:rsidRPr="000E309B" w:rsidRDefault="00F74DD7" w:rsidP="00FF5B0A">
      <w:pPr>
        <w:pStyle w:val="Heading3"/>
      </w:pPr>
      <w:bookmarkStart w:id="128" w:name="_Toc169156753"/>
      <w:r>
        <w:rPr>
          <w:noProof/>
        </w:rPr>
        <w:drawing>
          <wp:anchor distT="0" distB="0" distL="114300" distR="114300" simplePos="0" relativeHeight="251704404" behindDoc="0" locked="0" layoutInCell="1" allowOverlap="1" wp14:anchorId="2E120986" wp14:editId="65D95C50">
            <wp:simplePos x="0" y="0"/>
            <wp:positionH relativeFrom="column">
              <wp:align>right</wp:align>
            </wp:positionH>
            <wp:positionV relativeFrom="paragraph">
              <wp:posOffset>0</wp:posOffset>
            </wp:positionV>
            <wp:extent cx="1527048" cy="1527048"/>
            <wp:effectExtent l="0" t="0" r="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249" cstate="print">
                      <a:extLst>
                        <a:ext uri="{BEBA8EAE-BF5A-486C-A8C5-ECC9F3942E4B}">
                          <a14:imgProps xmlns:a14="http://schemas.microsoft.com/office/drawing/2010/main">
                            <a14:imgLayer r:embed="rId25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27048" cy="1527048"/>
                    </a:xfrm>
                    <a:prstGeom prst="rect">
                      <a:avLst/>
                    </a:prstGeom>
                  </pic:spPr>
                </pic:pic>
              </a:graphicData>
            </a:graphic>
            <wp14:sizeRelH relativeFrom="margin">
              <wp14:pctWidth>0</wp14:pctWidth>
            </wp14:sizeRelH>
            <wp14:sizeRelV relativeFrom="margin">
              <wp14:pctHeight>0</wp14:pctHeight>
            </wp14:sizeRelV>
          </wp:anchor>
        </w:drawing>
      </w:r>
      <w:r w:rsidR="00FF5B0A">
        <w:t>I</w:t>
      </w:r>
      <w:r w:rsidR="00D14B33" w:rsidRPr="000E309B">
        <w:t>ntroduction</w:t>
      </w:r>
      <w:bookmarkEnd w:id="128"/>
    </w:p>
    <w:p w14:paraId="22F095B8" w14:textId="09339B43" w:rsidR="00C66BA7" w:rsidRDefault="00C66BA7" w:rsidP="00C66BA7">
      <w:r>
        <w:t>Imagine a merchant with hundreds or thousands of products to sell. How do they decide what to stock? The answer often lies in experimentation. The merchant might stock a few similar items, track which sells best, and experiment with prices, product placement, and advertising to determine the most profitable approach.</w:t>
      </w:r>
    </w:p>
    <w:p w14:paraId="2EA4FCB1" w14:textId="77777777" w:rsidR="00C66BA7" w:rsidRDefault="00C66BA7" w:rsidP="00C66BA7">
      <w:r>
        <w:t>This scenario illustrates experimental research in action. Considered the "gold standard" by many researchers, especially those with a positivist outlook, experimental research involves deliberately manipulating one or more factors (independent variables) to observe their effect on the outcome of interest (dependent variable). Subjects are randomly assigned to different treatments to isolate the effects.</w:t>
      </w:r>
    </w:p>
    <w:p w14:paraId="3E2298B3" w14:textId="05726E6B" w:rsidR="00C66BA7" w:rsidRDefault="00C66BA7" w:rsidP="00C66BA7">
      <w:r>
        <w:t>The unique strength of experimental research is its internal validity, or ability to establish cause-and-effect relationships. By manipulating variables and controlling extraneous factors, experiments provide robust evidence for causality.</w:t>
      </w:r>
    </w:p>
    <w:p w14:paraId="5327D592" w14:textId="160B3B23" w:rsidR="00A626FE" w:rsidRDefault="00C66BA7" w:rsidP="00C66BA7">
      <w:r>
        <w:t>Experimental research is vital in fields from medicine to psychology to business. As you begin your research journey, understanding its principles and applications is invaluable. This chapter will explore the key components, strengths, and considerations of experimental design, equipping you with the knowledge to critically analyze and potentially conduct experiments of your own.</w:t>
      </w:r>
    </w:p>
    <w:p w14:paraId="2DDFDF53" w14:textId="0AD915F8" w:rsidR="00F16CEE" w:rsidRDefault="00291389" w:rsidP="00A96731">
      <w:pPr>
        <w:pStyle w:val="IntenseQuote"/>
      </w:pPr>
      <w:r>
        <w:rPr>
          <w:noProof/>
        </w:rPr>
        <w:drawing>
          <wp:anchor distT="0" distB="0" distL="114300" distR="114300" simplePos="0" relativeHeight="251952212" behindDoc="0" locked="0" layoutInCell="1" allowOverlap="1" wp14:anchorId="1E750F53" wp14:editId="15BA03F0">
            <wp:simplePos x="0" y="0"/>
            <wp:positionH relativeFrom="column">
              <wp:align>right</wp:align>
            </wp:positionH>
            <wp:positionV relativeFrom="paragraph">
              <wp:posOffset>0</wp:posOffset>
            </wp:positionV>
            <wp:extent cx="914400" cy="914400"/>
            <wp:effectExtent l="19050" t="19050" r="19050" b="19050"/>
            <wp:wrapSquare wrapText="bothSides"/>
            <wp:docPr id="1114150254"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F16CEE">
        <w:t>Object</w:t>
      </w:r>
      <w:r w:rsidR="001C2C5B">
        <w:t>ive</w:t>
      </w:r>
      <w:r w:rsidR="00F16CEE">
        <w:t>s</w:t>
      </w:r>
    </w:p>
    <w:p w14:paraId="3565DE68" w14:textId="77777777" w:rsidR="00F962C9" w:rsidRDefault="00F962C9" w:rsidP="00F962C9">
      <w:pPr>
        <w:pStyle w:val="Quote"/>
      </w:pPr>
      <w:r>
        <w:t>Understand the key features and strengths of experimental research, including its ability to establish cause-and-effect relationships by manipulating variables and controlling for extraneous factors.</w:t>
      </w:r>
    </w:p>
    <w:p w14:paraId="71E83A04" w14:textId="77777777" w:rsidR="00F962C9" w:rsidRDefault="00F962C9" w:rsidP="00F962C9">
      <w:pPr>
        <w:pStyle w:val="Quote"/>
      </w:pPr>
      <w:r>
        <w:t>Differentiate between laboratory and field experiments, recognizing the trade-offs between internal and external validity in each setting.</w:t>
      </w:r>
    </w:p>
    <w:p w14:paraId="1A16F340" w14:textId="77777777" w:rsidR="00F962C9" w:rsidRDefault="00F962C9" w:rsidP="00F962C9">
      <w:pPr>
        <w:pStyle w:val="Quote"/>
      </w:pPr>
      <w:r>
        <w:t>Distinguish between actual experiments, which involve both manipulation of treatments and random assignment of participants, and quasi-experiments, which lack random assignment.</w:t>
      </w:r>
    </w:p>
    <w:p w14:paraId="7BAF1DFB" w14:textId="77777777" w:rsidR="00F962C9" w:rsidRDefault="00F962C9" w:rsidP="00F962C9">
      <w:pPr>
        <w:pStyle w:val="Quote"/>
      </w:pPr>
      <w:r>
        <w:t>Identify and explain the four basic concepts of experimental design: treatment and control groups, manipulation of treatments, random selection and assignment, and mitigation of threats to internal validity.</w:t>
      </w:r>
    </w:p>
    <w:p w14:paraId="066604B8" w14:textId="77777777" w:rsidR="00F962C9" w:rsidRDefault="00F962C9" w:rsidP="00F962C9">
      <w:pPr>
        <w:pStyle w:val="Quote"/>
      </w:pPr>
      <w:r>
        <w:lastRenderedPageBreak/>
        <w:t>Appreciate the importance of replication and reproducibility in experimental research, and understand strategies for promoting these principles, such as preregistration, open science practices, and transparent reporting.</w:t>
      </w:r>
    </w:p>
    <w:p w14:paraId="440C65E7" w14:textId="77777777" w:rsidR="00F962C9" w:rsidRDefault="00F962C9" w:rsidP="00F962C9">
      <w:pPr>
        <w:pStyle w:val="Quote"/>
      </w:pPr>
      <w:r>
        <w:t>Compare and contrast the pretest/post-test control group design and the post-test-only control group design, recognizing their strengths and limitations in addressing different research questions.</w:t>
      </w:r>
    </w:p>
    <w:p w14:paraId="780AB8E0" w14:textId="2FC59A93" w:rsidR="00F962C9" w:rsidRDefault="00F962C9" w:rsidP="00F962C9">
      <w:pPr>
        <w:pStyle w:val="Quote"/>
      </w:pPr>
      <w:r>
        <w:t>Understand the purpose and application of factorial designs, which allow researchers to investigate the effects of multiple independent variables simultaneously and interpret main effects and interaction effects in factorial experiments.</w:t>
      </w:r>
    </w:p>
    <w:p w14:paraId="56BC45C0" w14:textId="77777777" w:rsidR="00F962C9" w:rsidRDefault="00F962C9" w:rsidP="00F962C9">
      <w:pPr>
        <w:pStyle w:val="Quote"/>
      </w:pPr>
      <w:r>
        <w:t>Recognize the utility of hybrid experimental designs, such as randomized block, Solomon four-group, and switched replication designs, in addressing specific research needs and minimizing potential confounds.</w:t>
      </w:r>
    </w:p>
    <w:p w14:paraId="3C73ED73" w14:textId="77777777" w:rsidR="00F962C9" w:rsidRDefault="00F962C9" w:rsidP="00F962C9">
      <w:pPr>
        <w:pStyle w:val="Quote"/>
      </w:pPr>
      <w:r>
        <w:t>Evaluate the strengths and limitations of quasi-experimental designs, which resemble true experiments but lack random assignment, and understand how these designs can be used when random assignment is not feasible.</w:t>
      </w:r>
    </w:p>
    <w:p w14:paraId="521D8C26" w14:textId="492EB79A" w:rsidR="002A616F" w:rsidRDefault="00F962C9" w:rsidP="00F962C9">
      <w:pPr>
        <w:pStyle w:val="Quote"/>
      </w:pPr>
      <w:r>
        <w:t>Apply knowledge of experimental design principles to critically analyze published research studies, identifying strengths, limitations, and potential threats to internal and external validity.</w:t>
      </w:r>
    </w:p>
    <w:p w14:paraId="091431B5" w14:textId="16E6C07A" w:rsidR="00EF0A93" w:rsidRDefault="00EF0A93" w:rsidP="00EF0A93">
      <w:r>
        <w:t>Alcott's study of the Opower program</w:t>
      </w:r>
      <w:r w:rsidR="00E30F41">
        <w:t xml:space="preserve"> </w:t>
      </w:r>
      <w:r w:rsidR="00E30F41">
        <w:fldChar w:fldCharType="begin"/>
      </w:r>
      <w:r w:rsidR="007C07B4">
        <w:instrText xml:space="preserve"> ADDIN ZOTERO_ITEM CSL_CITATION {"citationID":"a5vu0du294","properties":{"formattedCitation":"[94]","plainCitation":"[94]","noteIndex":0},"citationItems":[{"id":169,"uris":["http://zotero.org/users/5015692/items/QAN7GVBF"],"itemData":{"id":169,"type":"article-journal","container-title":"American Economic Review","issue":"10","page":"3003–37","title":"The short-run and long-run effects of behavioral interventions: Experimental evidence from energy conservation","volume":"104","author":[{"family":"Allcott","given":"Hunt"},{"family":"Rogers","given":"Todd"}],"issued":{"date-parts":[["2014"]]}}}],"schema":"https://github.com/citation-style-language/schema/raw/master/csl-citation.json"} </w:instrText>
      </w:r>
      <w:r w:rsidR="00E30F41">
        <w:fldChar w:fldCharType="separate"/>
      </w:r>
      <w:r w:rsidR="007C07B4" w:rsidRPr="007C07B4">
        <w:t>[94]</w:t>
      </w:r>
      <w:r w:rsidR="00E30F41">
        <w:fldChar w:fldCharType="end"/>
      </w:r>
      <w:r w:rsidR="00D477BB">
        <w:t xml:space="preserve"> </w:t>
      </w:r>
      <w:r>
        <w:t>exemplifies experimental research in action. Opower sent "home energy reports" to over six million U.S. households, leveraging social pressure to encourage reduced electricity use. Alcott compared pre- and post-intervention usage data from three sites, revealing intriguing patterns.</w:t>
      </w:r>
    </w:p>
    <w:p w14:paraId="79D869C0" w14:textId="77777777" w:rsidR="00EF0A93" w:rsidRDefault="00EF0A93" w:rsidP="00EF0A93">
      <w:r>
        <w:t>The initial report triggered "action and backsliding" cycles that diminished over time. Interestingly, effects persisted even after reports stopped, suggesting lasting impact. Consumers were slow to habituate, indicating sustained effectiveness.</w:t>
      </w:r>
    </w:p>
    <w:p w14:paraId="5327D59F" w14:textId="7150E3BC" w:rsidR="00A626FE" w:rsidRPr="000E309B" w:rsidRDefault="00EF0A93" w:rsidP="00EF0A93">
      <w:r>
        <w:t>While focused on energy conservation, this study raises questions about similar interventions for health behaviors like dieting or smoking cessation. It demonstrates the power of experiments to uncover strategies for shaping behavior and driving change. By building on such examples, researchers can contribute to evidence-based approaches that positively influence lives and communities. Alcott's work inspires further exploration in this exciting field.</w:t>
      </w:r>
    </w:p>
    <w:p w14:paraId="2C375A17" w14:textId="77777777" w:rsidR="00216404" w:rsidRDefault="00216404" w:rsidP="00216404">
      <w:r>
        <w:t xml:space="preserve">Experimental research is a powerful tool for examining cause-and-effect relationships, making it ideal for explanatory research. It is less suitable for descriptive or exploratory studies. Experiments </w:t>
      </w:r>
      <w:r>
        <w:lastRenderedPageBreak/>
        <w:t>work best when the independent variables are well-defined and can be easily manipulated or controlled.</w:t>
      </w:r>
    </w:p>
    <w:p w14:paraId="14C84601" w14:textId="77777777" w:rsidR="00216404" w:rsidRDefault="00216404" w:rsidP="00216404">
      <w:r>
        <w:t>Experiments can be conducted in two main settings:</w:t>
      </w:r>
    </w:p>
    <w:p w14:paraId="405F193B" w14:textId="7F092AB4" w:rsidR="00216404" w:rsidRDefault="00216404" w:rsidP="00125D4D">
      <w:pPr>
        <w:pStyle w:val="Heading4"/>
      </w:pPr>
      <w:r>
        <w:t>Laboratory Experiments</w:t>
      </w:r>
    </w:p>
    <w:p w14:paraId="1B57CA65" w14:textId="77777777" w:rsidR="00216404" w:rsidRDefault="00216404" w:rsidP="00216404">
      <w:r>
        <w:t>Laboratory experiments take place in artificial, controlled environments. This allows researchers to tightly control variables, leading to high internal validity. However, the artificial setting may not reflect real-world conditions, resulting in low external validity.</w:t>
      </w:r>
    </w:p>
    <w:p w14:paraId="11FC55FE" w14:textId="056C8696" w:rsidR="00216404" w:rsidRDefault="00216404" w:rsidP="00216404">
      <w:r>
        <w:t xml:space="preserve">For example, </w:t>
      </w:r>
      <w:r w:rsidR="00AF55FE">
        <w:t xml:space="preserve">one </w:t>
      </w:r>
      <w:r>
        <w:t>laboratory stud</w:t>
      </w:r>
      <w:r w:rsidR="00AF55FE">
        <w:t>y</w:t>
      </w:r>
      <w:r>
        <w:t xml:space="preserve"> investigate</w:t>
      </w:r>
      <w:r w:rsidR="00AF55FE">
        <w:t>d</w:t>
      </w:r>
      <w:r>
        <w:t xml:space="preserve"> how communication medium (oral vs. written) influences word-of-mouth marketing</w:t>
      </w:r>
      <w:r w:rsidR="00F26F6D">
        <w:t xml:space="preserve"> </w:t>
      </w:r>
      <w:r w:rsidR="00F26F6D">
        <w:fldChar w:fldCharType="begin"/>
      </w:r>
      <w:r w:rsidR="007C07B4">
        <w:instrText xml:space="preserve"> ADDIN ZOTERO_ITEM CSL_CITATION {"citationID":"1GW9Wp3T","properties":{"formattedCitation":"[95]","plainCitation":"[95]","noteIndex":0},"citationItems":[{"id":162,"uris":["http://zotero.org/users/5015692/items/ZHTKSRK4"],"itemData":{"id":162,"type":"article-journal","container-title":"Journal of consumer research","issue":"3","page":"567–579","title":"Communication channels and word of mouth: How the medium shapes the message","volume":"40","author":[{"family":"Berger","given":"Jonah"},{"family":"Iyengar","given":"Raghuram"}],"issued":{"date-parts":[["2013"]]}}}],"schema":"https://github.com/citation-style-language/schema/raw/master/csl-citation.json"} </w:instrText>
      </w:r>
      <w:r w:rsidR="00F26F6D">
        <w:fldChar w:fldCharType="separate"/>
      </w:r>
      <w:r w:rsidR="007C07B4" w:rsidRPr="007C07B4">
        <w:t>[95]</w:t>
      </w:r>
      <w:r w:rsidR="00F26F6D">
        <w:fldChar w:fldCharType="end"/>
      </w:r>
      <w:r w:rsidR="009116DB">
        <w:t>.</w:t>
      </w:r>
      <w:r w:rsidR="00AF55FE">
        <w:t xml:space="preserve"> </w:t>
      </w:r>
      <w:r w:rsidR="00A732DA">
        <w:t>The result was</w:t>
      </w:r>
      <w:r>
        <w:t xml:space="preserve"> that people were more likely to mention exciting products and brands in written communication (e.g., online chat) compared to oral conversations. </w:t>
      </w:r>
    </w:p>
    <w:p w14:paraId="5AE2061E" w14:textId="1DB839CC" w:rsidR="00216404" w:rsidRDefault="00216404" w:rsidP="00A732DA">
      <w:pPr>
        <w:pStyle w:val="Heading4"/>
      </w:pPr>
      <w:r>
        <w:t>Field Experiments</w:t>
      </w:r>
    </w:p>
    <w:p w14:paraId="2C119D24" w14:textId="474B81B6" w:rsidR="00216404" w:rsidRDefault="00216404" w:rsidP="00216404">
      <w:r>
        <w:t xml:space="preserve">Field experiments are conducted in real-world settings, such as within an organization. This enhances external validity, as the findings are more likely to generalize to real-life situations. However, manipulating treatments and </w:t>
      </w:r>
      <w:r w:rsidR="00A732DA">
        <w:t>controlling</w:t>
      </w:r>
      <w:r>
        <w:t xml:space="preserve"> extraneous variables can be challenging in the field, which can compromise internal validity.</w:t>
      </w:r>
    </w:p>
    <w:p w14:paraId="3AC64BAA" w14:textId="3370656C" w:rsidR="00216404" w:rsidRDefault="00216404" w:rsidP="00216404">
      <w:r>
        <w:t>Cai, Chen, and Fang</w:t>
      </w:r>
      <w:r w:rsidR="009C0293">
        <w:t xml:space="preserve"> </w:t>
      </w:r>
      <w:r w:rsidR="009C0293">
        <w:fldChar w:fldCharType="begin"/>
      </w:r>
      <w:r w:rsidR="007C07B4">
        <w:instrText xml:space="preserve"> ADDIN ZOTERO_ITEM CSL_CITATION {"citationID":"ufXi1VGn","properties":{"formattedCitation":"[96]","plainCitation":"[96]","noteIndex":0},"citationItems":[{"id":168,"uris":["http://zotero.org/users/5015692/items/MJLTXBI6"],"itemData":{"id":168,"type":"article-journal","container-title":"American Economic Review","issue":"3","page":"864–82","title":"Observational learning: Evidence from a randomized natural field experiment","volume":"99","author":[{"family":"Cai","given":"Hongbin"},{"family":"Chen","given":"Yuyu"},{"family":"Fang","given":"Hanming"}],"issued":{"date-parts":[["2009"]]}}}],"schema":"https://github.com/citation-style-language/schema/raw/master/csl-citation.json"} </w:instrText>
      </w:r>
      <w:r w:rsidR="009C0293">
        <w:fldChar w:fldCharType="separate"/>
      </w:r>
      <w:r w:rsidR="007C07B4" w:rsidRPr="007C07B4">
        <w:t>[96]</w:t>
      </w:r>
      <w:r w:rsidR="009C0293">
        <w:fldChar w:fldCharType="end"/>
      </w:r>
      <w:r>
        <w:t xml:space="preserve"> provided an example of a field experiment in their study of restaurant diners. They investigated whether knowing the popularity of dishes influenced customers' orders. When popularity ratings were revealed, demand for the top five dishes increased by 13-18%.</w:t>
      </w:r>
    </w:p>
    <w:p w14:paraId="27B131EC" w14:textId="3A3B2B4E" w:rsidR="00216404" w:rsidRDefault="00216404" w:rsidP="00216404">
      <w:r>
        <w:t xml:space="preserve">Researchers often combine laboratory and field experiments to balance internal and external validity. </w:t>
      </w:r>
      <w:r w:rsidR="001D0805">
        <w:t xml:space="preserve">Gainsbury </w:t>
      </w:r>
      <w:r w:rsidR="00402C54">
        <w:t>&amp;</w:t>
      </w:r>
      <w:r w:rsidR="0091263C">
        <w:t xml:space="preserve"> </w:t>
      </w:r>
      <w:r w:rsidR="001D0805">
        <w:t>Blaszc</w:t>
      </w:r>
      <w:r w:rsidR="0091263C">
        <w:t>zynski</w:t>
      </w:r>
      <w:r>
        <w:t xml:space="preserve"> </w:t>
      </w:r>
      <w:r w:rsidR="0044578E">
        <w:fldChar w:fldCharType="begin"/>
      </w:r>
      <w:r w:rsidR="007C07B4">
        <w:instrText xml:space="preserve"> ADDIN ZOTERO_ITEM CSL_CITATION {"citationID":"UnwzDuwR","properties":{"formattedCitation":"[97]","plainCitation":"[97]","noteIndex":0},"citationItems":[{"id":161,"uris":["http://zotero.org/users/5015692/items/X4NY2HC7"],"itemData":{"id":161,"type":"article-journal","container-title":"Journal of Gambling Studies","issue":"1","page":"83–97","title":"The appropriateness of using laboratories and student participants in gambling research","volume":"27","author":[{"family":"Gainsbury","given":"Sally"},{"family":"Blaszczynski","given":"Alex"}],"issued":{"date-parts":[["2011"]]}}}],"schema":"https://github.com/citation-style-language/schema/raw/master/csl-citation.json"} </w:instrText>
      </w:r>
      <w:r w:rsidR="0044578E">
        <w:fldChar w:fldCharType="separate"/>
      </w:r>
      <w:r w:rsidR="007C07B4" w:rsidRPr="007C07B4">
        <w:t>[97]</w:t>
      </w:r>
      <w:r w:rsidR="0044578E">
        <w:fldChar w:fldCharType="end"/>
      </w:r>
      <w:r w:rsidR="0044578E">
        <w:t xml:space="preserve"> </w:t>
      </w:r>
      <w:r>
        <w:t>compared results from a laboratory gambling study with findings from a casino. While both settings yielded valuable insights, they found differences in participant engagement and response quality, highlighting the need for caution when generalizing lab results to the real world.</w:t>
      </w:r>
    </w:p>
    <w:p w14:paraId="296EA301" w14:textId="77777777" w:rsidR="00216404" w:rsidRDefault="00216404" w:rsidP="00216404">
      <w:r>
        <w:t>Experimental designs can be further classified into two categories:</w:t>
      </w:r>
    </w:p>
    <w:p w14:paraId="2EC385EB" w14:textId="77777777" w:rsidR="00216404" w:rsidRDefault="00216404" w:rsidP="00A20763">
      <w:pPr>
        <w:pStyle w:val="ListParagraph"/>
        <w:numPr>
          <w:ilvl w:val="0"/>
          <w:numId w:val="295"/>
        </w:numPr>
      </w:pPr>
      <w:r w:rsidRPr="009C62BF">
        <w:rPr>
          <w:b/>
          <w:bCs/>
        </w:rPr>
        <w:t>Actual Experiments</w:t>
      </w:r>
      <w:r>
        <w:t>: These studies involve both manipulating a treatment and randomly assigning participants to different conditions. Random assignment helps ensure that any differences in outcomes are due to the treatment rather than pre-existing group differences.</w:t>
      </w:r>
    </w:p>
    <w:p w14:paraId="6944291B" w14:textId="77777777" w:rsidR="00216404" w:rsidRDefault="00216404" w:rsidP="00A20763">
      <w:pPr>
        <w:pStyle w:val="ListParagraph"/>
        <w:numPr>
          <w:ilvl w:val="0"/>
          <w:numId w:val="295"/>
        </w:numPr>
      </w:pPr>
      <w:r w:rsidRPr="009C62BF">
        <w:rPr>
          <w:b/>
          <w:bCs/>
        </w:rPr>
        <w:t>Quasi-Experiments</w:t>
      </w:r>
      <w:r>
        <w:t>: In quasi-experimental designs, researchers manipulate a treatment but do not randomly assign participants. This can make it harder to establish causality, as group differences may influence the results.</w:t>
      </w:r>
    </w:p>
    <w:p w14:paraId="06CA3D89" w14:textId="2CA8F969" w:rsidR="00216404" w:rsidRDefault="00216404" w:rsidP="00B56EE2">
      <w:pPr>
        <w:ind w:left="720"/>
      </w:pPr>
      <w:r>
        <w:t xml:space="preserve">McElroy and Morrow </w:t>
      </w:r>
      <w:r w:rsidR="009C43A4">
        <w:fldChar w:fldCharType="begin"/>
      </w:r>
      <w:r w:rsidR="007C07B4">
        <w:instrText xml:space="preserve"> ADDIN ZOTERO_ITEM CSL_CITATION {"citationID":"4CUPwnhY","properties":{"formattedCitation":"[98]","plainCitation":"[98]","noteIndex":0},"citationItems":[{"id":167,"uris":["http://zotero.org/users/5015692/items/ULC3PL6G"],"itemData":{"id":167,"type":"article-journal","container-title":"Human relations","issue":"5","page":"609–636","title":"Employee reactions to office redesign: A naturally occurring quasi-field experiment in a multi-generational setting","volume":"63","author":[{"family":"McElroy","given":"James C"},{"family":"Morrow","given":"Paula C"}],"issued":{"date-parts":[["2010"]]}}}],"schema":"https://github.com/citation-style-language/schema/raw/master/csl-citation.json"} </w:instrText>
      </w:r>
      <w:r w:rsidR="009C43A4">
        <w:fldChar w:fldCharType="separate"/>
      </w:r>
      <w:r w:rsidR="007C07B4" w:rsidRPr="007C07B4">
        <w:t>[98]</w:t>
      </w:r>
      <w:r w:rsidR="009C43A4">
        <w:fldChar w:fldCharType="end"/>
      </w:r>
      <w:r w:rsidR="00344520">
        <w:t xml:space="preserve"> </w:t>
      </w:r>
      <w:r>
        <w:t xml:space="preserve">conducted a quasi-experiment to evaluate the impact of an office redesign. They compared employees who moved to a new office layout with those who did not, surveying their perceptions of the workspace and organizational culture. The </w:t>
      </w:r>
      <w:r>
        <w:lastRenderedPageBreak/>
        <w:t>researchers found that those in the new layout reported less workspace and more distractions, with age moderating some effects. However, the new layout group also had more positive perceptions of the organization's culture and work attitudes. Without random assignment, this study qualified as a quasi-experiment.</w:t>
      </w:r>
    </w:p>
    <w:p w14:paraId="5327D5A7" w14:textId="6A498B8C" w:rsidR="00A626FE" w:rsidRPr="000E309B" w:rsidRDefault="00EE51BD" w:rsidP="00EE51BD">
      <w:pPr>
        <w:pStyle w:val="Heading3"/>
      </w:pPr>
      <w:bookmarkStart w:id="129" w:name="_Toc169156754"/>
      <w:r>
        <w:t>B</w:t>
      </w:r>
      <w:r w:rsidR="00D14B33" w:rsidRPr="000E309B">
        <w:t xml:space="preserve">asic </w:t>
      </w:r>
      <w:r>
        <w:t>C</w:t>
      </w:r>
      <w:r w:rsidR="00D14B33" w:rsidRPr="000E309B">
        <w:t>oncepts</w:t>
      </w:r>
      <w:bookmarkEnd w:id="129"/>
    </w:p>
    <w:p w14:paraId="69188926" w14:textId="25F738CD" w:rsidR="00681B92" w:rsidRDefault="00681B92" w:rsidP="00681B92">
      <w:r>
        <w:t>Experimental designs are characterized by four key features: the use of treatment and control groups, the manipulation of treatments, random selection and assignment of subjects, and the need to mitigate threats to internal validity. This section will explore each of these critical components in detail.</w:t>
      </w:r>
    </w:p>
    <w:p w14:paraId="0ED7A2F9" w14:textId="77777777" w:rsidR="00681B92" w:rsidRDefault="00681B92" w:rsidP="00681B92">
      <w:r>
        <w:t>At the heart of experimental research is the comparison between a treatment group, which receives an experimental stimulus, and a control group, which does not. The treatment group may be exposed to a single stimulus or multiple stimuli, allowing researchers to evaluate the effectiveness of different interventions. For instance, to assess the impact of advertising, researchers could expose one treatment group to print advertisements, another to television commercials, and a control group to no advertising at all. By comparing post-exposure survey results, researchers can determine which form of advertising was most memorable.</w:t>
      </w:r>
    </w:p>
    <w:p w14:paraId="2059EFA3" w14:textId="0164573A" w:rsidR="00681B92" w:rsidRDefault="00681B92" w:rsidP="00681B92">
      <w:r>
        <w:t>A key feature that sets experimental designs apart is the manipulation of treatments. By controlling the "cause" in cause-effect relationships, researchers can more confidently attribute outcomes to the experimental intervention. However, before administering treatments, it is crucial to conduct pilot tests to ensure their validity and reliability. Measurements taken before</w:t>
      </w:r>
      <w:r w:rsidR="005B2AAA">
        <w:t xml:space="preserve"> a</w:t>
      </w:r>
      <w:r>
        <w:t xml:space="preserve"> treatment</w:t>
      </w:r>
      <w:r w:rsidR="00E15A9D">
        <w:t>’s application</w:t>
      </w:r>
      <w:r>
        <w:t xml:space="preserve"> are known as pretest measures, while those conducted afterward are called post-test measures.</w:t>
      </w:r>
    </w:p>
    <w:p w14:paraId="19E64E49" w14:textId="77777777" w:rsidR="00681B92" w:rsidRDefault="00681B92" w:rsidP="00681B92">
      <w:r>
        <w:t>To ensure the treatment and control groups are as equivalent as possible, researchers employ random selection and random assignment. Random selection involves randomly drawing a sample from a population or sampling frame (a list of all units in the population), giving each unit an equal chance of being chosen. This technique, commonly used in survey research, enhances the external validity or generalizability of the findings. In contrast, random assignment specifically refers to the random allocation of subjects to experimental or control groups. By minimizing potential differences between groups before treatment, random assignment strengthens the internal validity of the experiment.</w:t>
      </w:r>
    </w:p>
    <w:p w14:paraId="041E107B" w14:textId="77777777" w:rsidR="00681B92" w:rsidRDefault="00681B92" w:rsidP="00681B92">
      <w:r>
        <w:t>However, even with careful design, experimental research is not immune to threats to internal validity. These threats can undermine the researcher's ability to attribute observed outcomes to the experimental treatment. For example, consider a study evaluating the effectiveness of a new mathematics tutoring program by comparing students' pretest and post-test scores.</w:t>
      </w:r>
    </w:p>
    <w:p w14:paraId="7289A89C" w14:textId="77777777" w:rsidR="00681B92" w:rsidRDefault="00681B92" w:rsidP="00681B92">
      <w:r>
        <w:t>Several internal validity threats could confound the results:</w:t>
      </w:r>
    </w:p>
    <w:p w14:paraId="441442FC" w14:textId="77777777" w:rsidR="00681B92" w:rsidRDefault="00681B92" w:rsidP="002F3FD7">
      <w:pPr>
        <w:pStyle w:val="ListParagraph"/>
        <w:numPr>
          <w:ilvl w:val="0"/>
          <w:numId w:val="296"/>
        </w:numPr>
      </w:pPr>
      <w:r w:rsidRPr="00832DC2">
        <w:rPr>
          <w:b/>
          <w:bCs/>
        </w:rPr>
        <w:lastRenderedPageBreak/>
        <w:t>History threat</w:t>
      </w:r>
      <w:r>
        <w:t>: External events, such as students preparing for a math exam, could influence post-test scores independently of the tutoring.</w:t>
      </w:r>
    </w:p>
    <w:p w14:paraId="585A8E2B" w14:textId="77777777" w:rsidR="00681B92" w:rsidRDefault="00681B92" w:rsidP="002F3FD7">
      <w:pPr>
        <w:pStyle w:val="ListParagraph"/>
        <w:numPr>
          <w:ilvl w:val="0"/>
          <w:numId w:val="296"/>
        </w:numPr>
      </w:pPr>
      <w:r w:rsidRPr="00832DC2">
        <w:rPr>
          <w:b/>
          <w:bCs/>
        </w:rPr>
        <w:t>Maturation threat</w:t>
      </w:r>
      <w:r>
        <w:t>: Natural intellectual development over the course of the study could explain improved post-test performance.</w:t>
      </w:r>
    </w:p>
    <w:p w14:paraId="250CF28C" w14:textId="77777777" w:rsidR="00681B92" w:rsidRDefault="00681B92" w:rsidP="002F3FD7">
      <w:pPr>
        <w:pStyle w:val="ListParagraph"/>
        <w:numPr>
          <w:ilvl w:val="0"/>
          <w:numId w:val="296"/>
        </w:numPr>
      </w:pPr>
      <w:r w:rsidRPr="00832DC2">
        <w:rPr>
          <w:b/>
          <w:bCs/>
        </w:rPr>
        <w:t>Testing threat</w:t>
      </w:r>
      <w:r>
        <w:t>: Students' exposure to the pretest could influence their post-test responses if they remember and repeat their answers.</w:t>
      </w:r>
    </w:p>
    <w:p w14:paraId="7CC1A00D" w14:textId="77777777" w:rsidR="00681B92" w:rsidRDefault="00681B92" w:rsidP="002F3FD7">
      <w:pPr>
        <w:pStyle w:val="ListParagraph"/>
        <w:numPr>
          <w:ilvl w:val="0"/>
          <w:numId w:val="296"/>
        </w:numPr>
      </w:pPr>
      <w:r w:rsidRPr="00832DC2">
        <w:rPr>
          <w:b/>
          <w:bCs/>
        </w:rPr>
        <w:t>Instrumentation threat</w:t>
      </w:r>
      <w:r>
        <w:t>: Differences in the difficulty or content of the pretest and post-test could create illusory changes in scores.</w:t>
      </w:r>
    </w:p>
    <w:p w14:paraId="2B25FF98" w14:textId="502569BB" w:rsidR="00681B92" w:rsidRDefault="00681B92" w:rsidP="002F3FD7">
      <w:pPr>
        <w:pStyle w:val="ListParagraph"/>
        <w:numPr>
          <w:ilvl w:val="0"/>
          <w:numId w:val="296"/>
        </w:numPr>
      </w:pPr>
      <w:r w:rsidRPr="00832DC2">
        <w:rPr>
          <w:b/>
          <w:bCs/>
        </w:rPr>
        <w:t>Mortality threat</w:t>
      </w:r>
      <w:r>
        <w:t xml:space="preserve">: If struggling students drop out, post-test results may be artificially inflated by the remaining </w:t>
      </w:r>
      <w:r w:rsidR="00044139">
        <w:t>high performers</w:t>
      </w:r>
      <w:r>
        <w:t>.</w:t>
      </w:r>
    </w:p>
    <w:p w14:paraId="6BCB4135" w14:textId="77777777" w:rsidR="00681B92" w:rsidRDefault="00681B92" w:rsidP="002F3FD7">
      <w:pPr>
        <w:pStyle w:val="ListParagraph"/>
        <w:numPr>
          <w:ilvl w:val="0"/>
          <w:numId w:val="296"/>
        </w:numPr>
      </w:pPr>
      <w:r w:rsidRPr="00832DC2">
        <w:rPr>
          <w:b/>
          <w:bCs/>
        </w:rPr>
        <w:t>Regression to the mean</w:t>
      </w:r>
      <w:r>
        <w:t>: Students who scored exceptionally high or low on the pretest may naturally drift toward more average scores on the post-test, creating misleading results.</w:t>
      </w:r>
    </w:p>
    <w:p w14:paraId="6F918A08" w14:textId="77777777" w:rsidR="00681B92" w:rsidRDefault="00681B92" w:rsidP="00681B92">
      <w:r>
        <w:t>To produce meaningful and trustworthy findings, experimental researchers must carefully design their studies to minimize these threats. By understanding and proactively addressing potential confounds, researchers can have greater confidence in the internal validity of their conclusions about cause-and-effect relationships.</w:t>
      </w:r>
    </w:p>
    <w:p w14:paraId="7FAEFAFB" w14:textId="77777777" w:rsidR="008F5736" w:rsidRPr="008F5736" w:rsidRDefault="008F5736" w:rsidP="008F5736">
      <w:pPr>
        <w:pStyle w:val="Heading3"/>
      </w:pPr>
      <w:bookmarkStart w:id="130" w:name="_Toc169156755"/>
      <w:r w:rsidRPr="008F5736">
        <w:t>Replication and Reproducibility in Experimental Research</w:t>
      </w:r>
      <w:bookmarkEnd w:id="130"/>
    </w:p>
    <w:p w14:paraId="7952BCBE" w14:textId="77777777" w:rsidR="00A46A73" w:rsidRDefault="00A46A73" w:rsidP="00A46A73">
      <w:r>
        <w:t>Replication and reproducibility are cornerstones of scientific research, particularly in the realm of experimental studies. Replication refers to the process of repeating a study using the same methods to determine whether the original findings can be confirmed. Reproducibility, on the other hand, is the ability of other researchers to reproduce the results of a study using the original data and analysis code. Both replication and reproducibility are essential for establishing the reliability and validity of experimental findings and ensuring the integrity of the scientific process.</w:t>
      </w:r>
    </w:p>
    <w:p w14:paraId="3B84F7C0" w14:textId="01E401DB" w:rsidR="00A46A73" w:rsidRDefault="00A46A73" w:rsidP="00A46A73">
      <w:r>
        <w:t>The importance of replication and reproducibility cannot be overstated. When an experimental finding is successfully replicated, it increases confidence in the original results and suggests that the observed effects are robust and generalizable. This is particularly crucial for studies with significant implications for theory, policy, or practice. For example, in a seminal study,</w:t>
      </w:r>
      <w:r w:rsidR="00AE355A">
        <w:t xml:space="preserve"> Nosek et al.</w:t>
      </w:r>
      <w:r>
        <w:t xml:space="preserve"> </w:t>
      </w:r>
      <w:r w:rsidR="00791278">
        <w:fldChar w:fldCharType="begin"/>
      </w:r>
      <w:r w:rsidR="007C07B4">
        <w:instrText xml:space="preserve"> ADDIN ZOTERO_ITEM CSL_CITATION {"citationID":"WuhCGJZt","properties":{"formattedCitation":"[99]","plainCitation":"[99]","noteIndex":0},"citationItems":[{"id":334,"uris":["http://zotero.org/users/5015692/items/JI5EIY33"],"itemData":{"id":334,"type":"article-journal","abstract":"Author guidelines for journals could help to promote transparency, openness, and reproducibility Transparency, openness, and reproducibility are readily recognized as vital features of science (1, 2). When asked, most scientists embrace these features as disciplinary norms and values (3). Therefore, one might expect that these valued features would be routine in daily practice. Yet, a growing body of evidence suggests that this is not the case (4?6).","container-title":"Science","DOI":"10.1126/science.aab2374","issue":"6242","journalAbbreviation":"Science","note":"publisher: American Association for the Advancement of Science","page":"1422-1425","title":"Promoting an open research culture","volume":"348","author":[{"family":"Nosek","given":"B. A."},{"family":"Alter","given":"G."},{"family":"Banks","given":"G. C."},{"family":"Borsboom","given":"D."},{"family":"Bowman","given":"S. D."},{"family":"Breckler","given":"S. J."},{"family":"Buck","given":"S."},{"family":"Chambers","given":"C. D."},{"family":"Chin","given":"G."},{"family":"Christensen","given":"G."},{"family":"Contestabile","given":"M."},{"family":"Dafoe","given":"A."},{"family":"Eich","given":"E."},{"family":"Freese","given":"J."},{"family":"Glennerster","given":"R."},{"family":"Goroff","given":"D."},{"family":"Green","given":"D. P."},{"family":"Hesse","given":"B."},{"family":"Humphreys","given":"M."},{"family":"Ishiyama","given":"J."},{"family":"Karlan","given":"D."},{"family":"Kraut","given":"A."},{"family":"Lupia","given":"A."},{"family":"Mabry","given":"P."},{"family":"Madon","given":"T."},{"family":"Malhotra","given":"N."},{"family":"Mayo-Wilson","given":"E."},{"family":"McNutt","given":"M."},{"family":"Miguel","given":"E."},{"family":"Paluck","given":"E. Levy"},{"family":"Simonsohn","given":"U."},{"family":"Soderberg","given":"C."},{"family":"Spellman","given":"B. A."},{"family":"Turitto","given":"J."},{"family":"VandenBos","given":"G."},{"family":"Vazire","given":"S."},{"family":"Wagenmakers","given":"E. J."},{"family":"Wilson","given":"R."},{"family":"Yarkoni","given":"T."}],"issued":{"date-parts":[["2015",6,26]]}}}],"schema":"https://github.com/citation-style-language/schema/raw/master/csl-citation.json"} </w:instrText>
      </w:r>
      <w:r w:rsidR="00791278">
        <w:fldChar w:fldCharType="separate"/>
      </w:r>
      <w:r w:rsidR="007C07B4" w:rsidRPr="007C07B4">
        <w:t>[99]</w:t>
      </w:r>
      <w:r w:rsidR="00791278">
        <w:fldChar w:fldCharType="end"/>
      </w:r>
      <w:r w:rsidR="00791278">
        <w:t xml:space="preserve"> </w:t>
      </w:r>
      <w:r>
        <w:t>attempted to replicate 100 experimental and correlational studies from three prominent psychology journals. They found that only 36% of the replications yielded significant results, compared to 97% of the original studies. This large-scale replication effort highlighted the need for greater emphasis on reproducibility in psychological research.</w:t>
      </w:r>
    </w:p>
    <w:p w14:paraId="57748F51" w14:textId="3816C974" w:rsidR="00A46A73" w:rsidRDefault="00A46A73" w:rsidP="00A46A73">
      <w:r>
        <w:t>However, researchers often face challenges in replicating studies, such as lack of access to original data, incomplete reporting of methods, and variations in experimental conditions. To address these issues, researchers have proposed several strategies for improving reproducibility. One approach is to encourage preregistration, where researchers specify their hypotheses, methods, and analysis plans before conducting a study</w:t>
      </w:r>
      <w:r w:rsidR="0012080B">
        <w:t xml:space="preserve"> </w:t>
      </w:r>
      <w:r w:rsidR="0012080B">
        <w:fldChar w:fldCharType="begin"/>
      </w:r>
      <w:r w:rsidR="007C07B4">
        <w:instrText xml:space="preserve"> ADDIN ZOTERO_ITEM CSL_CITATION {"citationID":"T3tHaQXU","properties":{"formattedCitation":"[100]","plainCitation":"[100]","noteIndex":0},"citationItems":[{"id":336,"uris":["http://zotero.org/users/5015692/items/5BIA2CH8"],"itemData":{"id":336,"type":"article-journal","abstract":"Progress in science relies in part on generating hypotheses with existing observations and testing hypotheses with new observations. This distinction between postdiction and prediction is appreciated conceptually but is not respected in practice. Mistaking generation of postdictions with testing of predictions reduces the credibility of research findings. However, ordinary biases in human reasoning, such as hindsight bias, make it hard to avoid this mistake. An effective solution is to define the research questions and analysis plan before observing the research outcomes?a process called preregistration. Preregistration distinguishes analyses and outcomes that result from predictions from those that result from postdictions. A variety of practical strategies are available to make the best possible use of preregistration in circumstances that fall short of the ideal application, such as when the data are preexisting. Services are now available for preregistration across all disciplines, facilitating a rapid increase in the practice. Widespread adoption of preregistration will increase distinctiveness between hypothesis generation and hypothesis testing and will improve the credibility of research findings.","container-title":"Proceedings of the National Academy of Sciences","DOI":"10.1073/pnas.1708274114","issue":"11","journalAbbreviation":"Proceedings of the National Academy of Sciences","note":"publisher: Proceedings of the National Academy of Sciences","page":"2600-2606","title":"The preregistration revolution","volume":"115","author":[{"family":"Nosek","given":"Brian A."},{"family":"Ebersole","given":"Charles R."},{"family":"DeHaven","given":"Alexander C."},{"family":"Mellor","given":"David T."}],"issued":{"date-parts":[["2018",3,13]]}}}],"schema":"https://github.com/citation-style-language/schema/raw/master/csl-citation.json"} </w:instrText>
      </w:r>
      <w:r w:rsidR="0012080B">
        <w:fldChar w:fldCharType="separate"/>
      </w:r>
      <w:r w:rsidR="007C07B4" w:rsidRPr="007C07B4">
        <w:t>[100]</w:t>
      </w:r>
      <w:r w:rsidR="0012080B">
        <w:fldChar w:fldCharType="end"/>
      </w:r>
      <w:r>
        <w:t xml:space="preserve">. Preregistration helps prevent </w:t>
      </w:r>
      <w:r>
        <w:lastRenderedPageBreak/>
        <w:t>questionable research practices, such as selective reporting of results or post hoc hypothesizing, and enhances transparency in the research process.</w:t>
      </w:r>
    </w:p>
    <w:p w14:paraId="13F8198C" w14:textId="77777777" w:rsidR="00A46A73" w:rsidRDefault="00A46A73" w:rsidP="00A46A73">
      <w:r>
        <w:t>Another strategy is to promote open science practices, such as sharing data, materials, and analysis code. By making these resources publicly available, researchers enable others to scrutinize their work, attempt replications, and build upon their findings. Many journals and funding agencies now require or encourage data sharing as a condition of publication or grant support. For instance, the Open Science Framework (OSF) is a popular platform that allows researchers to store, share, and preregister their studies, promoting collaboration and transparency in the scientific community.</w:t>
      </w:r>
    </w:p>
    <w:p w14:paraId="778133DB" w14:textId="5394FCB5" w:rsidR="00A46A73" w:rsidRDefault="00A46A73" w:rsidP="00A46A73">
      <w:r>
        <w:t>Researchers can also improve reproducibility by providing detailed, transparent reporting of their methods and results. This includes specifying the sample size, participant characteristics, experimental procedures, and statistical analyses used. Clear and comprehensive reporting enables other researchers to accurately replicate a study and assess the robustness of the findings. The Transparency and Openness Promotion (TOP) guidelines</w:t>
      </w:r>
      <w:r w:rsidR="00E24459">
        <w:t xml:space="preserve"> </w:t>
      </w:r>
      <w:r w:rsidR="00E24459">
        <w:fldChar w:fldCharType="begin"/>
      </w:r>
      <w:r w:rsidR="007C07B4">
        <w:instrText xml:space="preserve"> ADDIN ZOTERO_ITEM CSL_CITATION {"citationID":"BWisvhSA","properties":{"formattedCitation":"[100]","plainCitation":"[100]","noteIndex":0},"citationItems":[{"id":336,"uris":["http://zotero.org/users/5015692/items/5BIA2CH8"],"itemData":{"id":336,"type":"article-journal","abstract":"Progress in science relies in part on generating hypotheses with existing observations and testing hypotheses with new observations. This distinction between postdiction and prediction is appreciated conceptually but is not respected in practice. Mistaking generation of postdictions with testing of predictions reduces the credibility of research findings. However, ordinary biases in human reasoning, such as hindsight bias, make it hard to avoid this mistake. An effective solution is to define the research questions and analysis plan before observing the research outcomes?a process called preregistration. Preregistration distinguishes analyses and outcomes that result from predictions from those that result from postdictions. A variety of practical strategies are available to make the best possible use of preregistration in circumstances that fall short of the ideal application, such as when the data are preexisting. Services are now available for preregistration across all disciplines, facilitating a rapid increase in the practice. Widespread adoption of preregistration will increase distinctiveness between hypothesis generation and hypothesis testing and will improve the credibility of research findings.","container-title":"Proceedings of the National Academy of Sciences","DOI":"10.1073/pnas.1708274114","issue":"11","journalAbbreviation":"Proceedings of the National Academy of Sciences","note":"publisher: Proceedings of the National Academy of Sciences","page":"2600-2606","title":"The preregistration revolution","volume":"115","author":[{"family":"Nosek","given":"Brian A."},{"family":"Ebersole","given":"Charles R."},{"family":"DeHaven","given":"Alexander C."},{"family":"Mellor","given":"David T."}],"issued":{"date-parts":[["2018",3,13]]}}}],"schema":"https://github.com/citation-style-language/schema/raw/master/csl-citation.json"} </w:instrText>
      </w:r>
      <w:r w:rsidR="00E24459">
        <w:fldChar w:fldCharType="separate"/>
      </w:r>
      <w:r w:rsidR="007C07B4" w:rsidRPr="007C07B4">
        <w:t>[100]</w:t>
      </w:r>
      <w:r w:rsidR="00E24459">
        <w:fldChar w:fldCharType="end"/>
      </w:r>
      <w:r>
        <w:t xml:space="preserve"> provide a set of standards for research transparency, including recommendations for citation standards, data transparency, and replication.</w:t>
      </w:r>
    </w:p>
    <w:p w14:paraId="0BF88213" w14:textId="260BF895" w:rsidR="00A46A73" w:rsidRDefault="00A46A73" w:rsidP="00A46A73">
      <w:r>
        <w:t xml:space="preserve">As an example of the benefits of reproducibility, consider the </w:t>
      </w:r>
      <w:r w:rsidRPr="00BE3DC2">
        <w:rPr>
          <w:i/>
          <w:iCs/>
        </w:rPr>
        <w:t>Reproducibility Project: Cancer Biology</w:t>
      </w:r>
      <w:r>
        <w:t>, a collaborative effort to replicate key findings from high-impact cancer biology papers. In one study, Kandela et al.</w:t>
      </w:r>
      <w:r w:rsidR="000B6B3C">
        <w:t xml:space="preserve"> </w:t>
      </w:r>
      <w:r w:rsidR="000B6B3C">
        <w:fldChar w:fldCharType="begin"/>
      </w:r>
      <w:r w:rsidR="007C07B4">
        <w:instrText xml:space="preserve"> ADDIN ZOTERO_ITEM CSL_CITATION {"citationID":"xRaNoU3U","properties":{"formattedCitation":"[101]","plainCitation":"[101]","noteIndex":0},"citationItems":[{"id":338,"uris":["http://zotero.org/users/5015692/items/LHJDY2QG"],"itemData":{"id":338,"type":"article-journal","abstract":"In 2015, as part of the Reproducibility Project: Cancer Biology, we published a Registered Report (Kandela et al., 2015) that described how we intended to replicate selected experiments from the paper “Discovery and Preclinical Validation of Drug Indications Using Compendia of Public Gene Expression Data“ (Sirota et al., 2011). Here we report the results of those experiments. We found that cimetidine treatment in a xenograft model using A549 lung adenocarcinoma cells resulted in decreased tumor volume compared to vehicle control; however, while the effect was in the same direction as the original study (Figure 4C; Sirota et al., 2011), it was not statistically significant. Cimetidine treatment in a xenograft model using ACHN renal cell carcinoma cells did not differ from vehicle control treatment, similar to the original study (Supplemental Figure 1; Sirota et al., 2011). Doxorubicin treatment in a xenograft model using A549 lung adenocarcinoma cells did not result in a statistically significant difference compared to vehicle control despite tumor volume being reduced to levels similar to those reported in the original study (Figure 4C; Sirota et al., 2011). Finally, we report a random effects meta-analysis for each result. These meta-analyses show that the inhibition of A549 derived tumors by cimetidine resulted in a statistically significant effect, as did the inhibition of A549 derived tumors by doxorubicin. The effect of cimetidine on ACHN derived tumors was not statistically significant, as predicted.","container-title":"eLife","DOI":"10.7554/eLife.17044","ISSN":"2050-084X","note":"publisher: eLife Sciences Publications, Ltd","page":"e17044","title":"Replication Study: Discovery and preclinical validation of drug indications using compendia of public gene expression data","volume":"6","author":[{"family":"Kandela","given":"Irawati"},{"family":"Aird","given":"Fraser"},{"literal":"Reproducibility Project: Cancer Biology"}],"editor":[{"family":"Dang","given":"Chi Van"}],"issued":{"date-parts":[["2017",1,19]]}}}],"schema":"https://github.com/citation-style-language/schema/raw/master/csl-citation.json"} </w:instrText>
      </w:r>
      <w:r w:rsidR="000B6B3C">
        <w:fldChar w:fldCharType="separate"/>
      </w:r>
      <w:r w:rsidR="007C07B4" w:rsidRPr="007C07B4">
        <w:t>[101]</w:t>
      </w:r>
      <w:r w:rsidR="000B6B3C">
        <w:fldChar w:fldCharType="end"/>
      </w:r>
      <w:r w:rsidR="000B6B3C">
        <w:t xml:space="preserve"> </w:t>
      </w:r>
      <w:r>
        <w:t>attempted to replicate a finding that a specific drug combination could inhibit tumor growth in mice. By following the original protocol and conducting additional experiments, the researchers were able to reproduce the main results, increasing confidence in the original findings and their potential clinical relevance.</w:t>
      </w:r>
    </w:p>
    <w:p w14:paraId="5327D5B5" w14:textId="42ABEDFB" w:rsidR="00A626FE" w:rsidRPr="000E309B" w:rsidRDefault="00EE51BD" w:rsidP="00EE51BD">
      <w:pPr>
        <w:pStyle w:val="Heading3"/>
      </w:pPr>
      <w:bookmarkStart w:id="131" w:name="_Toc169156756"/>
      <w:r w:rsidRPr="000E309B">
        <w:t>Two-Group Experimental Designs</w:t>
      </w:r>
      <w:bookmarkEnd w:id="131"/>
    </w:p>
    <w:p w14:paraId="5A9CE697" w14:textId="482A9162" w:rsidR="005F7752" w:rsidRDefault="005F7752" w:rsidP="005F7752">
      <w:r>
        <w:t>The two-group experimental design is a fundamental approach to investigating the impact of a single independent variable, making it a clear and effective method for researching cause-and-effect relationships. By focusing on just one treatment group and one control group, researchers can isolate the effect of the experimental manipulation and draw meaningful conclusions about its consequences.</w:t>
      </w:r>
      <w:r w:rsidR="00590554">
        <w:t xml:space="preserve"> The pretest/post-test control group design and the post-test-only control group design are the two foundational variations of this approach.</w:t>
      </w:r>
    </w:p>
    <w:p w14:paraId="637AD4E5" w14:textId="5E7AEBCF" w:rsidR="00AC7DBC" w:rsidRDefault="00AC7DBC" w:rsidP="00AC7DBC">
      <w:pPr>
        <w:pStyle w:val="Heading4"/>
      </w:pPr>
      <w:r>
        <w:t>P</w:t>
      </w:r>
      <w:r w:rsidR="00D14B33" w:rsidRPr="000E309B">
        <w:t>retest/</w:t>
      </w:r>
      <w:r>
        <w:t>P</w:t>
      </w:r>
      <w:r w:rsidR="00D14B33" w:rsidRPr="000E309B">
        <w:t xml:space="preserve">ost-test </w:t>
      </w:r>
      <w:r>
        <w:t>C</w:t>
      </w:r>
      <w:r w:rsidR="00D14B33" w:rsidRPr="000E309B">
        <w:t xml:space="preserve">ontrol </w:t>
      </w:r>
      <w:r>
        <w:t>G</w:t>
      </w:r>
      <w:r w:rsidR="00D14B33" w:rsidRPr="000E309B">
        <w:t>roup</w:t>
      </w:r>
    </w:p>
    <w:p w14:paraId="03A05C89" w14:textId="5B076480" w:rsidR="00590554" w:rsidRPr="000E309B" w:rsidRDefault="005F7752" w:rsidP="00590554">
      <w:r>
        <w:t>In the pretest/post-test design, both groups are observed before and after the treatment, allowing researchers to compare the change in the dependent variable over time. This design can be represented as:</w:t>
      </w:r>
    </w:p>
    <w:tbl>
      <w:tblPr>
        <w:tblStyle w:val="ListTable1Light-Accent2"/>
        <w:tblW w:w="4342" w:type="dxa"/>
        <w:jc w:val="center"/>
        <w:tblBorders>
          <w:top w:val="single" w:sz="4" w:space="0" w:color="auto"/>
          <w:bottom w:val="single" w:sz="4" w:space="0" w:color="auto"/>
        </w:tblBorders>
        <w:tblLook w:val="0400" w:firstRow="0" w:lastRow="0" w:firstColumn="0" w:lastColumn="0" w:noHBand="0" w:noVBand="1"/>
      </w:tblPr>
      <w:tblGrid>
        <w:gridCol w:w="728"/>
        <w:gridCol w:w="574"/>
        <w:gridCol w:w="574"/>
        <w:gridCol w:w="539"/>
        <w:gridCol w:w="1927"/>
      </w:tblGrid>
      <w:tr w:rsidR="00590554" w:rsidRPr="000E309B" w14:paraId="546334C1" w14:textId="77777777" w:rsidTr="0038111F">
        <w:trPr>
          <w:cnfStyle w:val="000000100000" w:firstRow="0" w:lastRow="0" w:firstColumn="0" w:lastColumn="0" w:oddVBand="0" w:evenVBand="0" w:oddHBand="1" w:evenHBand="0" w:firstRowFirstColumn="0" w:firstRowLastColumn="0" w:lastRowFirstColumn="0" w:lastRowLastColumn="0"/>
          <w:trHeight w:val="315"/>
          <w:jc w:val="center"/>
        </w:trPr>
        <w:tc>
          <w:tcPr>
            <w:tcW w:w="728" w:type="dxa"/>
          </w:tcPr>
          <w:p w14:paraId="3A0A9616" w14:textId="77777777" w:rsidR="00590554" w:rsidRPr="000E309B" w:rsidRDefault="00590554" w:rsidP="0038111F">
            <w:r w:rsidRPr="000E309B">
              <w:t>R</w:t>
            </w:r>
          </w:p>
        </w:tc>
        <w:tc>
          <w:tcPr>
            <w:tcW w:w="574" w:type="dxa"/>
          </w:tcPr>
          <w:p w14:paraId="432CAB2D" w14:textId="77777777" w:rsidR="00590554" w:rsidRPr="000E309B" w:rsidRDefault="00590554" w:rsidP="0038111F">
            <w:r w:rsidRPr="000E309B">
              <w:t>O</w:t>
            </w:r>
            <w:r w:rsidRPr="00931822">
              <w:rPr>
                <w:vertAlign w:val="subscript"/>
              </w:rPr>
              <w:t>1</w:t>
            </w:r>
          </w:p>
        </w:tc>
        <w:tc>
          <w:tcPr>
            <w:tcW w:w="574" w:type="dxa"/>
          </w:tcPr>
          <w:p w14:paraId="23AFA761" w14:textId="77777777" w:rsidR="00590554" w:rsidRPr="000E309B" w:rsidRDefault="00590554" w:rsidP="0038111F">
            <w:r>
              <w:t>X</w:t>
            </w:r>
          </w:p>
        </w:tc>
        <w:tc>
          <w:tcPr>
            <w:tcW w:w="539" w:type="dxa"/>
          </w:tcPr>
          <w:p w14:paraId="24B4F966" w14:textId="77777777" w:rsidR="00590554" w:rsidRPr="000E309B" w:rsidRDefault="00590554" w:rsidP="0038111F">
            <w:r w:rsidRPr="000E309B">
              <w:t>O</w:t>
            </w:r>
            <w:r w:rsidRPr="00931822">
              <w:rPr>
                <w:vertAlign w:val="subscript"/>
              </w:rPr>
              <w:t>2</w:t>
            </w:r>
          </w:p>
        </w:tc>
        <w:tc>
          <w:tcPr>
            <w:tcW w:w="1927" w:type="dxa"/>
          </w:tcPr>
          <w:p w14:paraId="4DD08AA2" w14:textId="77777777" w:rsidR="00590554" w:rsidRPr="000E309B" w:rsidRDefault="00590554" w:rsidP="0038111F">
            <w:r w:rsidRPr="000E309B">
              <w:t>Treatment Group</w:t>
            </w:r>
          </w:p>
        </w:tc>
      </w:tr>
      <w:tr w:rsidR="00590554" w:rsidRPr="000E309B" w14:paraId="4628790C" w14:textId="77777777" w:rsidTr="0038111F">
        <w:trPr>
          <w:trHeight w:val="314"/>
          <w:jc w:val="center"/>
        </w:trPr>
        <w:tc>
          <w:tcPr>
            <w:tcW w:w="728" w:type="dxa"/>
          </w:tcPr>
          <w:p w14:paraId="7CEBAA06" w14:textId="77777777" w:rsidR="00590554" w:rsidRPr="000E309B" w:rsidRDefault="00590554" w:rsidP="0038111F">
            <w:r w:rsidRPr="000E309B">
              <w:t>R</w:t>
            </w:r>
          </w:p>
        </w:tc>
        <w:tc>
          <w:tcPr>
            <w:tcW w:w="574" w:type="dxa"/>
          </w:tcPr>
          <w:p w14:paraId="77E6A72E" w14:textId="77777777" w:rsidR="00590554" w:rsidRPr="000E309B" w:rsidRDefault="00590554" w:rsidP="0038111F">
            <w:r w:rsidRPr="000E309B">
              <w:t>O</w:t>
            </w:r>
            <w:r w:rsidRPr="00931822">
              <w:rPr>
                <w:vertAlign w:val="subscript"/>
              </w:rPr>
              <w:t>3</w:t>
            </w:r>
          </w:p>
        </w:tc>
        <w:tc>
          <w:tcPr>
            <w:tcW w:w="574" w:type="dxa"/>
          </w:tcPr>
          <w:p w14:paraId="66A88B6A" w14:textId="77777777" w:rsidR="00590554" w:rsidRPr="000E309B" w:rsidRDefault="00590554" w:rsidP="0038111F"/>
        </w:tc>
        <w:tc>
          <w:tcPr>
            <w:tcW w:w="539" w:type="dxa"/>
          </w:tcPr>
          <w:p w14:paraId="6AF95D83" w14:textId="77777777" w:rsidR="00590554" w:rsidRPr="000E309B" w:rsidRDefault="00590554" w:rsidP="0038111F">
            <w:r w:rsidRPr="000E309B">
              <w:t>O</w:t>
            </w:r>
            <w:r w:rsidRPr="00931822">
              <w:rPr>
                <w:vertAlign w:val="subscript"/>
              </w:rPr>
              <w:t>4</w:t>
            </w:r>
          </w:p>
        </w:tc>
        <w:tc>
          <w:tcPr>
            <w:tcW w:w="1927" w:type="dxa"/>
          </w:tcPr>
          <w:p w14:paraId="7B855C07" w14:textId="77777777" w:rsidR="00590554" w:rsidRPr="000E309B" w:rsidRDefault="00590554" w:rsidP="0038111F">
            <w:pPr>
              <w:keepNext/>
            </w:pPr>
            <w:r w:rsidRPr="000E309B">
              <w:t>Control Group</w:t>
            </w:r>
          </w:p>
        </w:tc>
      </w:tr>
    </w:tbl>
    <w:p w14:paraId="19B8889E" w14:textId="5E8044AF" w:rsidR="00590554" w:rsidRDefault="00590554" w:rsidP="00590554">
      <w:pPr>
        <w:pStyle w:val="Caption"/>
        <w:jc w:val="center"/>
      </w:pPr>
      <w:bookmarkStart w:id="132" w:name="_Ref71546486"/>
      <w:r>
        <w:t xml:space="preserve">Table </w:t>
      </w:r>
      <w:r>
        <w:fldChar w:fldCharType="begin"/>
      </w:r>
      <w:r>
        <w:instrText xml:space="preserve"> SEQ Table \* ARABIC </w:instrText>
      </w:r>
      <w:r>
        <w:fldChar w:fldCharType="separate"/>
      </w:r>
      <w:r w:rsidR="00980002">
        <w:rPr>
          <w:noProof/>
        </w:rPr>
        <w:t>8</w:t>
      </w:r>
      <w:r>
        <w:rPr>
          <w:noProof/>
        </w:rPr>
        <w:fldChar w:fldCharType="end"/>
      </w:r>
      <w:bookmarkEnd w:id="132"/>
      <w:r>
        <w:t>: Pretest/Post-test Design</w:t>
      </w:r>
    </w:p>
    <w:tbl>
      <w:tblPr>
        <w:tblStyle w:val="TableGrid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5"/>
        <w:gridCol w:w="5990"/>
        <w:gridCol w:w="1685"/>
      </w:tblGrid>
      <w:tr w:rsidR="00590554" w14:paraId="0BD6466D" w14:textId="77777777" w:rsidTr="0038111F">
        <w:tc>
          <w:tcPr>
            <w:tcW w:w="900" w:type="pct"/>
          </w:tcPr>
          <w:p w14:paraId="48317A08" w14:textId="77777777" w:rsidR="00590554" w:rsidRDefault="00590554" w:rsidP="0038111F"/>
        </w:tc>
        <w:tc>
          <w:tcPr>
            <w:tcW w:w="3200" w:type="pct"/>
          </w:tcPr>
          <w:p w14:paraId="2D236950" w14:textId="77777777" w:rsidR="00590554" w:rsidRPr="00095648" w:rsidRDefault="00590554" w:rsidP="0038111F">
            <m:oMathPara>
              <m:oMathParaPr>
                <m:jc m:val="center"/>
              </m:oMathParaPr>
              <m:oMath>
                <m: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3</m:t>
                    </m:r>
                  </m:sub>
                </m:sSub>
                <m:r>
                  <w:rPr>
                    <w:rFonts w:ascii="Cambria Math" w:hAnsi="Cambria Math"/>
                  </w:rPr>
                  <m:t>)</m:t>
                </m:r>
              </m:oMath>
            </m:oMathPara>
          </w:p>
        </w:tc>
        <w:tc>
          <w:tcPr>
            <w:tcW w:w="900" w:type="pct"/>
          </w:tcPr>
          <w:p w14:paraId="428BE4D3" w14:textId="1BED0F04" w:rsidR="00590554" w:rsidRDefault="00590554" w:rsidP="0038111F">
            <w:pPr>
              <w:keepNext/>
              <w:jc w:val="right"/>
            </w:pPr>
            <w:bookmarkStart w:id="133" w:name="_Ref71547603"/>
            <w:r>
              <w:t xml:space="preserve">Equation </w:t>
            </w:r>
            <w:r>
              <w:fldChar w:fldCharType="begin"/>
            </w:r>
            <w:r>
              <w:instrText xml:space="preserve"> SEQ Equation \* ARABIC </w:instrText>
            </w:r>
            <w:r>
              <w:fldChar w:fldCharType="separate"/>
            </w:r>
            <w:r w:rsidR="00980002">
              <w:rPr>
                <w:noProof/>
              </w:rPr>
              <w:t>1</w:t>
            </w:r>
            <w:r>
              <w:rPr>
                <w:noProof/>
              </w:rPr>
              <w:fldChar w:fldCharType="end"/>
            </w:r>
            <w:bookmarkEnd w:id="133"/>
          </w:p>
        </w:tc>
      </w:tr>
    </w:tbl>
    <w:p w14:paraId="6FD81F50" w14:textId="2A5DE9BD" w:rsidR="005F7752" w:rsidRDefault="003712C4" w:rsidP="005F7752">
      <w:r>
        <w:t>In the table</w:t>
      </w:r>
      <w:r w:rsidR="005F7752">
        <w:t xml:space="preserve">, </w:t>
      </w:r>
      <w:r w:rsidR="005F7752" w:rsidRPr="003712C4">
        <w:rPr>
          <w:i/>
          <w:iCs/>
        </w:rPr>
        <w:t>R</w:t>
      </w:r>
      <w:r w:rsidR="005F7752">
        <w:t xml:space="preserve"> signifies that subjects are randomly assigned to either the treatment or control group. </w:t>
      </w:r>
      <w:r w:rsidR="005F7752" w:rsidRPr="00202420">
        <w:rPr>
          <w:i/>
          <w:iCs/>
        </w:rPr>
        <w:t>O1</w:t>
      </w:r>
      <w:r w:rsidR="005F7752">
        <w:t xml:space="preserve"> and </w:t>
      </w:r>
      <w:r w:rsidR="005F7752" w:rsidRPr="00202420">
        <w:rPr>
          <w:i/>
          <w:iCs/>
        </w:rPr>
        <w:t>O3</w:t>
      </w:r>
      <w:r w:rsidR="005F7752">
        <w:t xml:space="preserve"> represent pretest observations, while </w:t>
      </w:r>
      <w:r w:rsidR="005F7752" w:rsidRPr="00202420">
        <w:rPr>
          <w:i/>
          <w:iCs/>
        </w:rPr>
        <w:t>O2</w:t>
      </w:r>
      <w:r w:rsidR="005F7752">
        <w:t xml:space="preserve"> and </w:t>
      </w:r>
      <w:r w:rsidR="005F7752" w:rsidRPr="00202420">
        <w:rPr>
          <w:i/>
          <w:iCs/>
        </w:rPr>
        <w:t>O4</w:t>
      </w:r>
      <w:r w:rsidR="005F7752">
        <w:t xml:space="preserve"> denote post-test measurements. The </w:t>
      </w:r>
      <w:r w:rsidR="005F7752" w:rsidRPr="00202420">
        <w:rPr>
          <w:i/>
          <w:iCs/>
        </w:rPr>
        <w:t>X</w:t>
      </w:r>
      <w:r w:rsidR="005F7752">
        <w:t xml:space="preserve"> indicates that the treatment group receives the experimental manipulation, while the blank space (_) shows that the control group does not.</w:t>
      </w:r>
      <w:r w:rsidR="002D0C11">
        <w:t xml:space="preserve"> The </w:t>
      </w:r>
      <w:r w:rsidR="00CC15F1">
        <w:t xml:space="preserve">equation shows the </w:t>
      </w:r>
      <w:r w:rsidR="002D0C11">
        <w:t xml:space="preserve">effect of the </w:t>
      </w:r>
      <w:r w:rsidR="00906E36">
        <w:t xml:space="preserve">treatment, </w:t>
      </w:r>
      <w:r w:rsidR="00906E36" w:rsidRPr="00202420">
        <w:rPr>
          <w:i/>
          <w:iCs/>
        </w:rPr>
        <w:t>E</w:t>
      </w:r>
      <w:r w:rsidR="00906E36">
        <w:t xml:space="preserve">, </w:t>
      </w:r>
      <w:r w:rsidR="00CC15F1">
        <w:t>a</w:t>
      </w:r>
      <w:r w:rsidR="00906E36">
        <w:t xml:space="preserve">s the difference between the </w:t>
      </w:r>
      <w:r w:rsidR="00A1683A">
        <w:t xml:space="preserve">observations of the </w:t>
      </w:r>
      <w:r w:rsidR="00906E36">
        <w:t>treatment and control group</w:t>
      </w:r>
      <w:r w:rsidR="00A1683A">
        <w:t>s.</w:t>
      </w:r>
    </w:p>
    <w:p w14:paraId="2C90CC5C" w14:textId="0D54263D" w:rsidR="00987298" w:rsidRDefault="00987298" w:rsidP="00987298">
      <w:pPr>
        <w:pStyle w:val="Heading4"/>
      </w:pPr>
      <w:r>
        <w:t>P</w:t>
      </w:r>
      <w:r w:rsidR="00D14B33" w:rsidRPr="000E309B">
        <w:t>ost-</w:t>
      </w:r>
      <w:r>
        <w:t>T</w:t>
      </w:r>
      <w:r w:rsidR="00D14B33" w:rsidRPr="000E309B">
        <w:t>est-</w:t>
      </w:r>
      <w:r w:rsidR="001C56B7">
        <w:t>o</w:t>
      </w:r>
      <w:r w:rsidR="00D14B33" w:rsidRPr="000E309B">
        <w:t xml:space="preserve">nly </w:t>
      </w:r>
      <w:r>
        <w:t>C</w:t>
      </w:r>
      <w:r w:rsidR="00D14B33" w:rsidRPr="000E309B">
        <w:t xml:space="preserve">ontrol </w:t>
      </w:r>
      <w:r>
        <w:t>G</w:t>
      </w:r>
      <w:r w:rsidR="00D14B33" w:rsidRPr="000E309B">
        <w:t xml:space="preserve">roup </w:t>
      </w:r>
    </w:p>
    <w:p w14:paraId="41041A59" w14:textId="08A56F4C" w:rsidR="00A1683A" w:rsidRDefault="005F7752" w:rsidP="00A1683A">
      <w:r>
        <w:t>In contrast, the post-test-only control group design foregoes the pretest, focusing solely on post-treatment differences between the groups. This design can be depicted as:</w:t>
      </w:r>
    </w:p>
    <w:tbl>
      <w:tblPr>
        <w:tblStyle w:val="ListTable1Light-Accent2"/>
        <w:tblW w:w="3780" w:type="dxa"/>
        <w:jc w:val="center"/>
        <w:tblBorders>
          <w:top w:val="single" w:sz="4" w:space="0" w:color="auto"/>
          <w:bottom w:val="single" w:sz="4" w:space="0" w:color="auto"/>
        </w:tblBorders>
        <w:tblLook w:val="0400" w:firstRow="0" w:lastRow="0" w:firstColumn="0" w:lastColumn="0" w:noHBand="0" w:noVBand="1"/>
      </w:tblPr>
      <w:tblGrid>
        <w:gridCol w:w="540"/>
        <w:gridCol w:w="450"/>
        <w:gridCol w:w="630"/>
        <w:gridCol w:w="2160"/>
      </w:tblGrid>
      <w:tr w:rsidR="00A1683A" w:rsidRPr="000E309B" w14:paraId="1BB090D6" w14:textId="77777777" w:rsidTr="0038111F">
        <w:trPr>
          <w:cnfStyle w:val="000000100000" w:firstRow="0" w:lastRow="0" w:firstColumn="0" w:lastColumn="0" w:oddVBand="0" w:evenVBand="0" w:oddHBand="1" w:evenHBand="0" w:firstRowFirstColumn="0" w:firstRowLastColumn="0" w:lastRowFirstColumn="0" w:lastRowLastColumn="0"/>
          <w:trHeight w:val="315"/>
          <w:jc w:val="center"/>
        </w:trPr>
        <w:tc>
          <w:tcPr>
            <w:tcW w:w="540" w:type="dxa"/>
          </w:tcPr>
          <w:p w14:paraId="557398A7" w14:textId="77777777" w:rsidR="00A1683A" w:rsidRPr="000E309B" w:rsidRDefault="00A1683A" w:rsidP="0038111F">
            <w:pPr>
              <w:keepNext/>
            </w:pPr>
            <w:r w:rsidRPr="000E309B">
              <w:t>R</w:t>
            </w:r>
          </w:p>
        </w:tc>
        <w:tc>
          <w:tcPr>
            <w:tcW w:w="450" w:type="dxa"/>
          </w:tcPr>
          <w:p w14:paraId="4EB43414" w14:textId="77777777" w:rsidR="00A1683A" w:rsidRPr="000E309B" w:rsidRDefault="00A1683A" w:rsidP="0038111F">
            <w:pPr>
              <w:keepNext/>
            </w:pPr>
            <w:r w:rsidRPr="000E309B">
              <w:t>X</w:t>
            </w:r>
          </w:p>
        </w:tc>
        <w:tc>
          <w:tcPr>
            <w:tcW w:w="630" w:type="dxa"/>
          </w:tcPr>
          <w:p w14:paraId="723ED54E" w14:textId="77777777" w:rsidR="00A1683A" w:rsidRPr="000E309B" w:rsidRDefault="00A1683A" w:rsidP="0038111F">
            <w:pPr>
              <w:keepNext/>
            </w:pPr>
            <w:r w:rsidRPr="000E309B">
              <w:t>O</w:t>
            </w:r>
            <w:r w:rsidRPr="00B97816">
              <w:rPr>
                <w:vertAlign w:val="subscript"/>
              </w:rPr>
              <w:t>1</w:t>
            </w:r>
          </w:p>
        </w:tc>
        <w:tc>
          <w:tcPr>
            <w:tcW w:w="2160" w:type="dxa"/>
          </w:tcPr>
          <w:p w14:paraId="6F89FCB5" w14:textId="77777777" w:rsidR="00A1683A" w:rsidRPr="000E309B" w:rsidRDefault="00A1683A" w:rsidP="0038111F">
            <w:pPr>
              <w:keepNext/>
            </w:pPr>
            <w:r w:rsidRPr="000E309B">
              <w:t>Treatment Group</w:t>
            </w:r>
          </w:p>
        </w:tc>
      </w:tr>
      <w:tr w:rsidR="00A1683A" w:rsidRPr="000E309B" w14:paraId="79BF4E0E" w14:textId="77777777" w:rsidTr="0038111F">
        <w:trPr>
          <w:trHeight w:val="314"/>
          <w:jc w:val="center"/>
        </w:trPr>
        <w:tc>
          <w:tcPr>
            <w:tcW w:w="540" w:type="dxa"/>
          </w:tcPr>
          <w:p w14:paraId="5FB11691" w14:textId="77777777" w:rsidR="00A1683A" w:rsidRPr="000E309B" w:rsidRDefault="00A1683A" w:rsidP="0038111F">
            <w:pPr>
              <w:keepNext/>
            </w:pPr>
            <w:r w:rsidRPr="000E309B">
              <w:t>R</w:t>
            </w:r>
          </w:p>
        </w:tc>
        <w:tc>
          <w:tcPr>
            <w:tcW w:w="450" w:type="dxa"/>
          </w:tcPr>
          <w:p w14:paraId="27BB94B1" w14:textId="77777777" w:rsidR="00A1683A" w:rsidRPr="000E309B" w:rsidRDefault="00A1683A" w:rsidP="0038111F">
            <w:pPr>
              <w:keepNext/>
            </w:pPr>
          </w:p>
        </w:tc>
        <w:tc>
          <w:tcPr>
            <w:tcW w:w="630" w:type="dxa"/>
          </w:tcPr>
          <w:p w14:paraId="6243FFDF" w14:textId="77777777" w:rsidR="00A1683A" w:rsidRPr="000E309B" w:rsidRDefault="00A1683A" w:rsidP="0038111F">
            <w:pPr>
              <w:keepNext/>
            </w:pPr>
            <w:r w:rsidRPr="000E309B">
              <w:t>O</w:t>
            </w:r>
            <w:r w:rsidRPr="00B97816">
              <w:rPr>
                <w:vertAlign w:val="subscript"/>
              </w:rPr>
              <w:t>2</w:t>
            </w:r>
          </w:p>
        </w:tc>
        <w:tc>
          <w:tcPr>
            <w:tcW w:w="2160" w:type="dxa"/>
          </w:tcPr>
          <w:p w14:paraId="65BC0957" w14:textId="77777777" w:rsidR="00A1683A" w:rsidRPr="000E309B" w:rsidRDefault="00A1683A" w:rsidP="0038111F">
            <w:pPr>
              <w:keepNext/>
            </w:pPr>
            <w:r w:rsidRPr="000E309B">
              <w:t>Control Group</w:t>
            </w:r>
          </w:p>
        </w:tc>
      </w:tr>
    </w:tbl>
    <w:p w14:paraId="3B226E2A" w14:textId="5F4BAAFD" w:rsidR="00A1683A" w:rsidRDefault="00A1683A" w:rsidP="00A1683A">
      <w:pPr>
        <w:pStyle w:val="Caption"/>
        <w:jc w:val="center"/>
      </w:pPr>
      <w:r>
        <w:t xml:space="preserve">Table </w:t>
      </w:r>
      <w:r>
        <w:fldChar w:fldCharType="begin"/>
      </w:r>
      <w:r>
        <w:instrText xml:space="preserve"> SEQ Table \* ARABIC </w:instrText>
      </w:r>
      <w:r>
        <w:fldChar w:fldCharType="separate"/>
      </w:r>
      <w:r w:rsidR="00980002">
        <w:rPr>
          <w:noProof/>
        </w:rPr>
        <w:t>9</w:t>
      </w:r>
      <w:r>
        <w:rPr>
          <w:noProof/>
        </w:rPr>
        <w:fldChar w:fldCharType="end"/>
      </w:r>
      <w:r>
        <w:t>: post-test-Only Design</w:t>
      </w:r>
    </w:p>
    <w:tbl>
      <w:tblPr>
        <w:tblStyle w:val="TableGrid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5"/>
        <w:gridCol w:w="5990"/>
        <w:gridCol w:w="1685"/>
      </w:tblGrid>
      <w:tr w:rsidR="00A1683A" w14:paraId="164568EB" w14:textId="77777777" w:rsidTr="0038111F">
        <w:tc>
          <w:tcPr>
            <w:tcW w:w="900" w:type="pct"/>
          </w:tcPr>
          <w:p w14:paraId="341D5B9E" w14:textId="77777777" w:rsidR="00A1683A" w:rsidRDefault="00A1683A" w:rsidP="0038111F"/>
        </w:tc>
        <w:tc>
          <w:tcPr>
            <w:tcW w:w="3200" w:type="pct"/>
          </w:tcPr>
          <w:p w14:paraId="65508501" w14:textId="77777777" w:rsidR="00A1683A" w:rsidRPr="00095648" w:rsidRDefault="00A1683A" w:rsidP="0038111F">
            <m:oMathPara>
              <m:oMathParaPr>
                <m:jc m:val="center"/>
              </m:oMathParaPr>
              <m:oMath>
                <m:r>
                  <w:rPr>
                    <w:rFonts w:ascii="Cambria Math" w:hAnsi="Cambria Math"/>
                  </w:rPr>
                  <m:t>E=(</m:t>
                </m:r>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oMath>
            </m:oMathPara>
          </w:p>
        </w:tc>
        <w:tc>
          <w:tcPr>
            <w:tcW w:w="900" w:type="pct"/>
          </w:tcPr>
          <w:p w14:paraId="5D0B5193" w14:textId="1E4FE3BF" w:rsidR="00A1683A" w:rsidRDefault="00A1683A" w:rsidP="0038111F">
            <w:pPr>
              <w:keepNext/>
              <w:jc w:val="right"/>
            </w:pPr>
            <w:r>
              <w:t xml:space="preserve">Equation </w:t>
            </w:r>
            <w:r>
              <w:fldChar w:fldCharType="begin"/>
            </w:r>
            <w:r>
              <w:instrText xml:space="preserve"> SEQ Equation \* ARABIC </w:instrText>
            </w:r>
            <w:r>
              <w:fldChar w:fldCharType="separate"/>
            </w:r>
            <w:r w:rsidR="00980002">
              <w:rPr>
                <w:noProof/>
              </w:rPr>
              <w:t>2</w:t>
            </w:r>
            <w:r>
              <w:rPr>
                <w:noProof/>
              </w:rPr>
              <w:fldChar w:fldCharType="end"/>
            </w:r>
          </w:p>
        </w:tc>
      </w:tr>
    </w:tbl>
    <w:p w14:paraId="607AC1F1" w14:textId="77777777" w:rsidR="005F7752" w:rsidRDefault="005F7752" w:rsidP="005F7752">
      <w:r>
        <w:t>By eliminating the pretest, this design mitigates potential testing threats to internal validity, as subjects' responses cannot be influenced by prior exposure to the measures. However, without a pretest, researchers cannot assess whether the groups were truly equivalent at the outset, somewhat reducing the ability to attribute post-test differences to the treatment itself.</w:t>
      </w:r>
    </w:p>
    <w:p w14:paraId="3D9D536B" w14:textId="5CBE0436" w:rsidR="00C70E41" w:rsidRDefault="005E0E16" w:rsidP="005E0E16">
      <w:pPr>
        <w:pStyle w:val="Heading4"/>
      </w:pPr>
      <w:r>
        <w:t>C</w:t>
      </w:r>
      <w:r w:rsidR="00D14B33" w:rsidRPr="000E309B">
        <w:t>ovariance</w:t>
      </w:r>
    </w:p>
    <w:p w14:paraId="2FF3E579" w14:textId="77777777" w:rsidR="00683568" w:rsidRDefault="00683568" w:rsidP="00683568">
      <w:r>
        <w:t>Researchers may also employ covariance designs, which introduce additional variables to statistically control for pre-existing differences between the treatment and control groups. These designs can help account for potential confounding factors and enhance the internal validity of the findings.</w:t>
      </w:r>
    </w:p>
    <w:p w14:paraId="2690B243" w14:textId="661EB236" w:rsidR="00422E5B" w:rsidRPr="000E309B" w:rsidRDefault="00683568" w:rsidP="00422E5B">
      <w:r>
        <w:t xml:space="preserve">The standardized notation used to represent these designs is a valuable tool for clearly communicating the structure of an experiment. By using consistent symbols like </w:t>
      </w:r>
      <w:r w:rsidRPr="00745796">
        <w:rPr>
          <w:i/>
          <w:iCs/>
        </w:rPr>
        <w:t>R</w:t>
      </w:r>
      <w:r>
        <w:t xml:space="preserve"> for random assignment, </w:t>
      </w:r>
      <w:r w:rsidRPr="00745796">
        <w:rPr>
          <w:i/>
          <w:iCs/>
        </w:rPr>
        <w:t>X</w:t>
      </w:r>
      <w:r>
        <w:t xml:space="preserve"> for treatment, </w:t>
      </w:r>
      <w:r w:rsidRPr="00745796">
        <w:rPr>
          <w:i/>
          <w:iCs/>
        </w:rPr>
        <w:t>O</w:t>
      </w:r>
      <w:r>
        <w:t xml:space="preserve"> for observations,</w:t>
      </w:r>
      <w:r w:rsidR="008C1A0E">
        <w:t xml:space="preserve"> and </w:t>
      </w:r>
      <w:r w:rsidR="008C1A0E" w:rsidRPr="00745796">
        <w:rPr>
          <w:i/>
          <w:iCs/>
        </w:rPr>
        <w:t>C</w:t>
      </w:r>
      <w:r w:rsidR="008C1A0E">
        <w:t xml:space="preserve"> for </w:t>
      </w:r>
      <w:r w:rsidR="008E7FA3" w:rsidRPr="000E309B">
        <w:t>covariates</w:t>
      </w:r>
      <w:r>
        <w:t xml:space="preserve"> researchers can efficiently convey the key elements of their design to others in the field.</w:t>
      </w:r>
    </w:p>
    <w:tbl>
      <w:tblPr>
        <w:tblStyle w:val="ListTable1Light-Accent2"/>
        <w:tblW w:w="4342" w:type="dxa"/>
        <w:jc w:val="center"/>
        <w:tblBorders>
          <w:top w:val="single" w:sz="4" w:space="0" w:color="auto"/>
          <w:bottom w:val="single" w:sz="4" w:space="0" w:color="auto"/>
        </w:tblBorders>
        <w:tblLook w:val="0400" w:firstRow="0" w:lastRow="0" w:firstColumn="0" w:lastColumn="0" w:noHBand="0" w:noVBand="1"/>
      </w:tblPr>
      <w:tblGrid>
        <w:gridCol w:w="790"/>
        <w:gridCol w:w="543"/>
        <w:gridCol w:w="543"/>
        <w:gridCol w:w="539"/>
        <w:gridCol w:w="1927"/>
      </w:tblGrid>
      <w:tr w:rsidR="00422E5B" w:rsidRPr="000E309B" w14:paraId="7D4DF5A8" w14:textId="77777777" w:rsidTr="0038111F">
        <w:trPr>
          <w:cnfStyle w:val="000000100000" w:firstRow="0" w:lastRow="0" w:firstColumn="0" w:lastColumn="0" w:oddVBand="0" w:evenVBand="0" w:oddHBand="1" w:evenHBand="0" w:firstRowFirstColumn="0" w:firstRowLastColumn="0" w:lastRowFirstColumn="0" w:lastRowLastColumn="0"/>
          <w:trHeight w:val="315"/>
          <w:jc w:val="center"/>
        </w:trPr>
        <w:tc>
          <w:tcPr>
            <w:tcW w:w="790" w:type="dxa"/>
          </w:tcPr>
          <w:p w14:paraId="181377B4" w14:textId="77777777" w:rsidR="00422E5B" w:rsidRPr="000E309B" w:rsidRDefault="00422E5B" w:rsidP="0038111F">
            <w:r w:rsidRPr="000E309B">
              <w:t>R</w:t>
            </w:r>
          </w:p>
        </w:tc>
        <w:tc>
          <w:tcPr>
            <w:tcW w:w="543" w:type="dxa"/>
          </w:tcPr>
          <w:p w14:paraId="3DE3F32E" w14:textId="77777777" w:rsidR="00422E5B" w:rsidRPr="000E309B" w:rsidRDefault="00422E5B" w:rsidP="0038111F">
            <w:r w:rsidRPr="000E309B">
              <w:t>C</w:t>
            </w:r>
          </w:p>
        </w:tc>
        <w:tc>
          <w:tcPr>
            <w:tcW w:w="543" w:type="dxa"/>
          </w:tcPr>
          <w:p w14:paraId="6CF50DCA" w14:textId="77777777" w:rsidR="00422E5B" w:rsidRPr="000E309B" w:rsidRDefault="00422E5B" w:rsidP="0038111F">
            <w:r>
              <w:t>X</w:t>
            </w:r>
          </w:p>
        </w:tc>
        <w:tc>
          <w:tcPr>
            <w:tcW w:w="539" w:type="dxa"/>
          </w:tcPr>
          <w:p w14:paraId="101EF5AC" w14:textId="77777777" w:rsidR="00422E5B" w:rsidRPr="000E309B" w:rsidRDefault="00422E5B" w:rsidP="0038111F">
            <w:r w:rsidRPr="000E309B">
              <w:t>O1</w:t>
            </w:r>
          </w:p>
        </w:tc>
        <w:tc>
          <w:tcPr>
            <w:tcW w:w="1927" w:type="dxa"/>
          </w:tcPr>
          <w:p w14:paraId="0EC3818F" w14:textId="77777777" w:rsidR="00422E5B" w:rsidRPr="000E309B" w:rsidRDefault="00422E5B" w:rsidP="0038111F">
            <w:r w:rsidRPr="000E309B">
              <w:t>Treatment Group</w:t>
            </w:r>
          </w:p>
        </w:tc>
      </w:tr>
      <w:tr w:rsidR="00422E5B" w:rsidRPr="000E309B" w14:paraId="17EF7657" w14:textId="77777777" w:rsidTr="0038111F">
        <w:trPr>
          <w:trHeight w:val="314"/>
          <w:jc w:val="center"/>
        </w:trPr>
        <w:tc>
          <w:tcPr>
            <w:tcW w:w="790" w:type="dxa"/>
          </w:tcPr>
          <w:p w14:paraId="32D61C67" w14:textId="77777777" w:rsidR="00422E5B" w:rsidRPr="000E309B" w:rsidRDefault="00422E5B" w:rsidP="0038111F">
            <w:r w:rsidRPr="000E309B">
              <w:t>R</w:t>
            </w:r>
          </w:p>
        </w:tc>
        <w:tc>
          <w:tcPr>
            <w:tcW w:w="543" w:type="dxa"/>
          </w:tcPr>
          <w:p w14:paraId="5B0C6452" w14:textId="77777777" w:rsidR="00422E5B" w:rsidRPr="000E309B" w:rsidRDefault="00422E5B" w:rsidP="0038111F">
            <w:r w:rsidRPr="000E309B">
              <w:t>C</w:t>
            </w:r>
          </w:p>
        </w:tc>
        <w:tc>
          <w:tcPr>
            <w:tcW w:w="543" w:type="dxa"/>
          </w:tcPr>
          <w:p w14:paraId="057193E1" w14:textId="77777777" w:rsidR="00422E5B" w:rsidRPr="000E309B" w:rsidRDefault="00422E5B" w:rsidP="0038111F"/>
        </w:tc>
        <w:tc>
          <w:tcPr>
            <w:tcW w:w="539" w:type="dxa"/>
          </w:tcPr>
          <w:p w14:paraId="7142DC67" w14:textId="77777777" w:rsidR="00422E5B" w:rsidRPr="000E309B" w:rsidRDefault="00422E5B" w:rsidP="0038111F">
            <w:r w:rsidRPr="000E309B">
              <w:t>O2</w:t>
            </w:r>
          </w:p>
        </w:tc>
        <w:tc>
          <w:tcPr>
            <w:tcW w:w="1927" w:type="dxa"/>
          </w:tcPr>
          <w:p w14:paraId="2D0E4811" w14:textId="77777777" w:rsidR="00422E5B" w:rsidRPr="000E309B" w:rsidRDefault="00422E5B" w:rsidP="0038111F">
            <w:pPr>
              <w:keepNext/>
            </w:pPr>
            <w:r w:rsidRPr="000E309B">
              <w:t>Control Group</w:t>
            </w:r>
          </w:p>
        </w:tc>
      </w:tr>
    </w:tbl>
    <w:p w14:paraId="589BA9FE" w14:textId="7EA2F3B2" w:rsidR="00422E5B" w:rsidRDefault="00422E5B" w:rsidP="00422E5B">
      <w:pPr>
        <w:pStyle w:val="Caption"/>
        <w:jc w:val="center"/>
      </w:pPr>
      <w:bookmarkStart w:id="134" w:name="_Ref71548726"/>
      <w:r>
        <w:t xml:space="preserve">Table </w:t>
      </w:r>
      <w:r>
        <w:fldChar w:fldCharType="begin"/>
      </w:r>
      <w:r>
        <w:instrText xml:space="preserve"> SEQ Table \* ARABIC </w:instrText>
      </w:r>
      <w:r>
        <w:fldChar w:fldCharType="separate"/>
      </w:r>
      <w:r w:rsidR="00980002">
        <w:rPr>
          <w:noProof/>
        </w:rPr>
        <w:t>10</w:t>
      </w:r>
      <w:r>
        <w:rPr>
          <w:noProof/>
        </w:rPr>
        <w:fldChar w:fldCharType="end"/>
      </w:r>
      <w:bookmarkEnd w:id="134"/>
      <w:r>
        <w:t>: Covariate Design</w:t>
      </w:r>
    </w:p>
    <w:tbl>
      <w:tblPr>
        <w:tblStyle w:val="TableGrid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5"/>
        <w:gridCol w:w="5990"/>
        <w:gridCol w:w="1685"/>
      </w:tblGrid>
      <w:tr w:rsidR="00422E5B" w14:paraId="3011F5D5" w14:textId="77777777" w:rsidTr="0038111F">
        <w:tc>
          <w:tcPr>
            <w:tcW w:w="900" w:type="pct"/>
          </w:tcPr>
          <w:p w14:paraId="1FE7219B" w14:textId="77777777" w:rsidR="00422E5B" w:rsidRDefault="00422E5B" w:rsidP="0038111F"/>
        </w:tc>
        <w:tc>
          <w:tcPr>
            <w:tcW w:w="3200" w:type="pct"/>
          </w:tcPr>
          <w:p w14:paraId="0101035D" w14:textId="77777777" w:rsidR="00422E5B" w:rsidRPr="00095648" w:rsidRDefault="00422E5B" w:rsidP="0038111F">
            <m:oMathPara>
              <m:oMathParaPr>
                <m:jc m:val="center"/>
              </m:oMathParaPr>
              <m:oMath>
                <m:r>
                  <w:rPr>
                    <w:rFonts w:ascii="Cambria Math" w:hAnsi="Cambria Math"/>
                  </w:rPr>
                  <m:t>E=(</m:t>
                </m:r>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oMath>
            </m:oMathPara>
          </w:p>
        </w:tc>
        <w:tc>
          <w:tcPr>
            <w:tcW w:w="900" w:type="pct"/>
          </w:tcPr>
          <w:p w14:paraId="1EEAC846" w14:textId="37144BE3" w:rsidR="00422E5B" w:rsidRDefault="00422E5B" w:rsidP="0038111F">
            <w:pPr>
              <w:keepNext/>
              <w:jc w:val="right"/>
            </w:pPr>
            <w:bookmarkStart w:id="135" w:name="_Ref71548845"/>
            <w:r>
              <w:t xml:space="preserve">Equation </w:t>
            </w:r>
            <w:r>
              <w:fldChar w:fldCharType="begin"/>
            </w:r>
            <w:r>
              <w:instrText xml:space="preserve"> SEQ Equation \* ARABIC </w:instrText>
            </w:r>
            <w:r>
              <w:fldChar w:fldCharType="separate"/>
            </w:r>
            <w:r w:rsidR="00980002">
              <w:rPr>
                <w:noProof/>
              </w:rPr>
              <w:t>3</w:t>
            </w:r>
            <w:r>
              <w:rPr>
                <w:noProof/>
              </w:rPr>
              <w:fldChar w:fldCharType="end"/>
            </w:r>
            <w:bookmarkEnd w:id="135"/>
          </w:p>
        </w:tc>
      </w:tr>
    </w:tbl>
    <w:p w14:paraId="292A08F9" w14:textId="1C58ECA9" w:rsidR="00683568" w:rsidRDefault="00683568" w:rsidP="00683568">
      <w:r>
        <w:t>As you consider your own research questions, the two-group experimental design offers a straightforward and powerful approach to testing the impact of a single independent variable. By carefully selecting the most appropriate variation of this design and employing random assignment and other strategies to minimize threats to internal validity, you can conduct rigorous experiments that contribute to our understanding of cause-and-effect relationships in your area of study.</w:t>
      </w:r>
    </w:p>
    <w:p w14:paraId="5327D5E4" w14:textId="712716A0" w:rsidR="00A626FE" w:rsidRPr="000E309B" w:rsidRDefault="00EE51BD" w:rsidP="00EE51BD">
      <w:pPr>
        <w:pStyle w:val="Heading3"/>
      </w:pPr>
      <w:bookmarkStart w:id="136" w:name="_Toc169156757"/>
      <w:r>
        <w:lastRenderedPageBreak/>
        <w:t>F</w:t>
      </w:r>
      <w:r w:rsidR="00D14B33" w:rsidRPr="000E309B">
        <w:t xml:space="preserve">actorial </w:t>
      </w:r>
      <w:r>
        <w:t>D</w:t>
      </w:r>
      <w:r w:rsidR="00D14B33" w:rsidRPr="000E309B">
        <w:t>esigns</w:t>
      </w:r>
      <w:bookmarkEnd w:id="136"/>
    </w:p>
    <w:p w14:paraId="6EE8CA8C" w14:textId="77777777" w:rsidR="00741857" w:rsidRDefault="00741857" w:rsidP="00741857">
      <w:r>
        <w:t>Factorial designs are a powerful tool for investigating the effects of multiple independent variables (treatments) on a dependent variable. By manipulating two or more factors simultaneously, researchers can examine both the main effects of each factor and the interaction effects between them. This comprehensive approach allows for a more nuanced understanding of how different variables influence the outcome of interest.</w:t>
      </w:r>
    </w:p>
    <w:p w14:paraId="2A1BFA5A" w14:textId="4D4A05E4" w:rsidR="00741857" w:rsidRDefault="00741857" w:rsidP="00741857">
      <w:r>
        <w:t xml:space="preserve">The simplest factorial design is the 2x2 design, which involves two factors, each with two levels. In the </w:t>
      </w:r>
      <w:r w:rsidR="009F029D">
        <w:t xml:space="preserve">following </w:t>
      </w:r>
      <w:r>
        <w:t>example, the factors are instructional type (online vs. in-class) and instructional time (1.5 or 3 hours per week). This design results in four treatment groups, each representing a unique combination of the two factors' levels. The notation for this design, as shown in</w:t>
      </w:r>
      <w:r w:rsidR="00162E14">
        <w:t xml:space="preserve"> the table </w:t>
      </w:r>
      <w:r w:rsidR="0023350D">
        <w:t>below,</w:t>
      </w:r>
      <w:r>
        <w:t xml:space="preserve"> clearly depicts the structure of the experiment, with </w:t>
      </w:r>
      <w:r w:rsidRPr="008E1ADF">
        <w:rPr>
          <w:i/>
          <w:iCs/>
        </w:rPr>
        <w:t>R</w:t>
      </w:r>
      <w:r>
        <w:t xml:space="preserve"> indicating random assignment, </w:t>
      </w:r>
      <w:r w:rsidRPr="008E1ADF">
        <w:rPr>
          <w:i/>
          <w:iCs/>
        </w:rPr>
        <w:t>X</w:t>
      </w:r>
      <w:r>
        <w:t xml:space="preserve"> denoting the treatment conditions, and </w:t>
      </w:r>
      <w:r w:rsidRPr="008E1ADF">
        <w:rPr>
          <w:i/>
          <w:iCs/>
        </w:rPr>
        <w:t>O</w:t>
      </w:r>
      <w:r>
        <w:t xml:space="preserve"> representing the observations of the dependent variable.</w:t>
      </w:r>
    </w:p>
    <w:p w14:paraId="0E602923" w14:textId="48101A9E" w:rsidR="00741857" w:rsidRDefault="009F029D" w:rsidP="00741857">
      <w:r>
        <w:rPr>
          <w:noProof/>
        </w:rPr>
        <w:drawing>
          <wp:anchor distT="0" distB="0" distL="114300" distR="114300" simplePos="0" relativeHeight="251910228" behindDoc="0" locked="0" layoutInCell="1" allowOverlap="1" wp14:anchorId="2CD9EE73" wp14:editId="497F9AAF">
            <wp:simplePos x="0" y="0"/>
            <wp:positionH relativeFrom="column">
              <wp:align>center</wp:align>
            </wp:positionH>
            <wp:positionV relativeFrom="paragraph">
              <wp:posOffset>0</wp:posOffset>
            </wp:positionV>
            <wp:extent cx="2743200" cy="1728216"/>
            <wp:effectExtent l="0" t="0" r="0" b="5715"/>
            <wp:wrapTopAndBottom/>
            <wp:docPr id="1639309700" name="Picture 163930970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09700" name="Picture 1639309700" descr="A screenshot of a computer screen&#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2743200" cy="172821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ListTable1Light-Accent3"/>
        <w:tblW w:w="5184" w:type="dxa"/>
        <w:jc w:val="center"/>
        <w:tblBorders>
          <w:top w:val="single" w:sz="4" w:space="0" w:color="auto"/>
          <w:bottom w:val="single" w:sz="4" w:space="0" w:color="auto"/>
        </w:tblBorders>
        <w:tblLook w:val="0400" w:firstRow="0" w:lastRow="0" w:firstColumn="0" w:lastColumn="0" w:noHBand="0" w:noVBand="1"/>
      </w:tblPr>
      <w:tblGrid>
        <w:gridCol w:w="1296"/>
        <w:gridCol w:w="1296"/>
        <w:gridCol w:w="1296"/>
        <w:gridCol w:w="1296"/>
      </w:tblGrid>
      <w:tr w:rsidR="00162E14" w14:paraId="6D44E337" w14:textId="77777777" w:rsidTr="0038111F">
        <w:trPr>
          <w:cnfStyle w:val="000000100000" w:firstRow="0" w:lastRow="0" w:firstColumn="0" w:lastColumn="0" w:oddVBand="0" w:evenVBand="0" w:oddHBand="1" w:evenHBand="0" w:firstRowFirstColumn="0" w:firstRowLastColumn="0" w:lastRowFirstColumn="0" w:lastRowLastColumn="0"/>
          <w:jc w:val="center"/>
        </w:trPr>
        <w:tc>
          <w:tcPr>
            <w:tcW w:w="1296" w:type="dxa"/>
          </w:tcPr>
          <w:p w14:paraId="769E2A1C" w14:textId="77777777" w:rsidR="00162E14" w:rsidRDefault="00162E14" w:rsidP="0038111F">
            <w:pPr>
              <w:jc w:val="center"/>
            </w:pPr>
            <w:r>
              <w:t>R</w:t>
            </w:r>
          </w:p>
        </w:tc>
        <w:tc>
          <w:tcPr>
            <w:tcW w:w="1296" w:type="dxa"/>
          </w:tcPr>
          <w:p w14:paraId="2CC2658A" w14:textId="77777777" w:rsidR="00162E14" w:rsidRDefault="00162E14" w:rsidP="0038111F">
            <w:pPr>
              <w:jc w:val="center"/>
            </w:pPr>
            <w:r>
              <w:t>X</w:t>
            </w:r>
            <w:r w:rsidRPr="00BC1688">
              <w:rPr>
                <w:vertAlign w:val="subscript"/>
              </w:rPr>
              <w:t>11</w:t>
            </w:r>
          </w:p>
        </w:tc>
        <w:tc>
          <w:tcPr>
            <w:tcW w:w="1296" w:type="dxa"/>
          </w:tcPr>
          <w:p w14:paraId="38BE323B" w14:textId="77777777" w:rsidR="00162E14" w:rsidRDefault="00162E14" w:rsidP="0038111F">
            <w:pPr>
              <w:jc w:val="center"/>
            </w:pPr>
            <w:r>
              <w:t>O</w:t>
            </w:r>
            <w:r w:rsidRPr="00BC1688">
              <w:rPr>
                <w:vertAlign w:val="subscript"/>
              </w:rPr>
              <w:t>1</w:t>
            </w:r>
          </w:p>
        </w:tc>
        <w:tc>
          <w:tcPr>
            <w:tcW w:w="1296" w:type="dxa"/>
          </w:tcPr>
          <w:p w14:paraId="7399C5C4" w14:textId="77777777" w:rsidR="00162E14" w:rsidRDefault="00162E14" w:rsidP="0038111F">
            <w:pPr>
              <w:jc w:val="center"/>
            </w:pPr>
            <w:r>
              <w:t>Group 1</w:t>
            </w:r>
          </w:p>
        </w:tc>
      </w:tr>
      <w:tr w:rsidR="00162E14" w14:paraId="390A0D53" w14:textId="77777777" w:rsidTr="0038111F">
        <w:trPr>
          <w:jc w:val="center"/>
        </w:trPr>
        <w:tc>
          <w:tcPr>
            <w:tcW w:w="1296" w:type="dxa"/>
          </w:tcPr>
          <w:p w14:paraId="06CDAE4B" w14:textId="77777777" w:rsidR="00162E14" w:rsidRDefault="00162E14" w:rsidP="0038111F">
            <w:pPr>
              <w:jc w:val="center"/>
            </w:pPr>
            <w:r>
              <w:t>R</w:t>
            </w:r>
          </w:p>
        </w:tc>
        <w:tc>
          <w:tcPr>
            <w:tcW w:w="1296" w:type="dxa"/>
          </w:tcPr>
          <w:p w14:paraId="1BA429B9" w14:textId="77777777" w:rsidR="00162E14" w:rsidRDefault="00162E14" w:rsidP="0038111F">
            <w:pPr>
              <w:jc w:val="center"/>
            </w:pPr>
            <w:r>
              <w:t>X</w:t>
            </w:r>
            <w:r w:rsidRPr="00BC1688">
              <w:rPr>
                <w:vertAlign w:val="subscript"/>
              </w:rPr>
              <w:t>1</w:t>
            </w:r>
            <w:r>
              <w:rPr>
                <w:vertAlign w:val="subscript"/>
              </w:rPr>
              <w:t>2</w:t>
            </w:r>
          </w:p>
        </w:tc>
        <w:tc>
          <w:tcPr>
            <w:tcW w:w="1296" w:type="dxa"/>
          </w:tcPr>
          <w:p w14:paraId="03E153B6" w14:textId="77777777" w:rsidR="00162E14" w:rsidRDefault="00162E14" w:rsidP="0038111F">
            <w:pPr>
              <w:jc w:val="center"/>
            </w:pPr>
            <w:r>
              <w:t>O</w:t>
            </w:r>
            <w:r w:rsidRPr="00C228DE">
              <w:rPr>
                <w:vertAlign w:val="subscript"/>
              </w:rPr>
              <w:t>2</w:t>
            </w:r>
          </w:p>
        </w:tc>
        <w:tc>
          <w:tcPr>
            <w:tcW w:w="1296" w:type="dxa"/>
          </w:tcPr>
          <w:p w14:paraId="765514C0" w14:textId="77777777" w:rsidR="00162E14" w:rsidRDefault="00162E14" w:rsidP="0038111F">
            <w:pPr>
              <w:jc w:val="center"/>
            </w:pPr>
            <w:r>
              <w:t>Group 2</w:t>
            </w:r>
          </w:p>
        </w:tc>
      </w:tr>
      <w:tr w:rsidR="00162E14" w14:paraId="7CC81EAF" w14:textId="77777777" w:rsidTr="0038111F">
        <w:trPr>
          <w:cnfStyle w:val="000000100000" w:firstRow="0" w:lastRow="0" w:firstColumn="0" w:lastColumn="0" w:oddVBand="0" w:evenVBand="0" w:oddHBand="1" w:evenHBand="0" w:firstRowFirstColumn="0" w:firstRowLastColumn="0" w:lastRowFirstColumn="0" w:lastRowLastColumn="0"/>
          <w:jc w:val="center"/>
        </w:trPr>
        <w:tc>
          <w:tcPr>
            <w:tcW w:w="1296" w:type="dxa"/>
          </w:tcPr>
          <w:p w14:paraId="51AE017E" w14:textId="77777777" w:rsidR="00162E14" w:rsidRDefault="00162E14" w:rsidP="0038111F">
            <w:pPr>
              <w:jc w:val="center"/>
            </w:pPr>
            <w:r>
              <w:t>R</w:t>
            </w:r>
          </w:p>
        </w:tc>
        <w:tc>
          <w:tcPr>
            <w:tcW w:w="1296" w:type="dxa"/>
          </w:tcPr>
          <w:p w14:paraId="1B7C1E89" w14:textId="77777777" w:rsidR="00162E14" w:rsidRDefault="00162E14" w:rsidP="0038111F">
            <w:pPr>
              <w:jc w:val="center"/>
            </w:pPr>
            <w:r>
              <w:t>X</w:t>
            </w:r>
            <w:r w:rsidRPr="00C228DE">
              <w:rPr>
                <w:vertAlign w:val="subscript"/>
              </w:rPr>
              <w:t>21</w:t>
            </w:r>
          </w:p>
        </w:tc>
        <w:tc>
          <w:tcPr>
            <w:tcW w:w="1296" w:type="dxa"/>
          </w:tcPr>
          <w:p w14:paraId="03AC267F" w14:textId="77777777" w:rsidR="00162E14" w:rsidRDefault="00162E14" w:rsidP="0038111F">
            <w:pPr>
              <w:jc w:val="center"/>
            </w:pPr>
            <w:r>
              <w:t>O</w:t>
            </w:r>
            <w:r w:rsidRPr="00C228DE">
              <w:rPr>
                <w:vertAlign w:val="subscript"/>
              </w:rPr>
              <w:t>3</w:t>
            </w:r>
          </w:p>
        </w:tc>
        <w:tc>
          <w:tcPr>
            <w:tcW w:w="1296" w:type="dxa"/>
          </w:tcPr>
          <w:p w14:paraId="7E4D7681" w14:textId="77777777" w:rsidR="00162E14" w:rsidRDefault="00162E14" w:rsidP="0038111F">
            <w:pPr>
              <w:jc w:val="center"/>
            </w:pPr>
            <w:r>
              <w:t>Group 3</w:t>
            </w:r>
          </w:p>
        </w:tc>
      </w:tr>
      <w:tr w:rsidR="00162E14" w14:paraId="0C07C8D7" w14:textId="77777777" w:rsidTr="0038111F">
        <w:trPr>
          <w:jc w:val="center"/>
        </w:trPr>
        <w:tc>
          <w:tcPr>
            <w:tcW w:w="1296" w:type="dxa"/>
          </w:tcPr>
          <w:p w14:paraId="244E081A" w14:textId="77777777" w:rsidR="00162E14" w:rsidRDefault="00162E14" w:rsidP="0038111F">
            <w:pPr>
              <w:jc w:val="center"/>
            </w:pPr>
            <w:r>
              <w:t>R</w:t>
            </w:r>
          </w:p>
        </w:tc>
        <w:tc>
          <w:tcPr>
            <w:tcW w:w="1296" w:type="dxa"/>
          </w:tcPr>
          <w:p w14:paraId="60998FE8" w14:textId="77777777" w:rsidR="00162E14" w:rsidRDefault="00162E14" w:rsidP="0038111F">
            <w:pPr>
              <w:jc w:val="center"/>
            </w:pPr>
            <w:r>
              <w:t>X</w:t>
            </w:r>
            <w:r w:rsidRPr="00C228DE">
              <w:rPr>
                <w:vertAlign w:val="subscript"/>
              </w:rPr>
              <w:t>2</w:t>
            </w:r>
            <w:r>
              <w:rPr>
                <w:vertAlign w:val="subscript"/>
              </w:rPr>
              <w:t>2</w:t>
            </w:r>
          </w:p>
        </w:tc>
        <w:tc>
          <w:tcPr>
            <w:tcW w:w="1296" w:type="dxa"/>
          </w:tcPr>
          <w:p w14:paraId="7E32958A" w14:textId="77777777" w:rsidR="00162E14" w:rsidRDefault="00162E14" w:rsidP="0038111F">
            <w:pPr>
              <w:jc w:val="center"/>
            </w:pPr>
            <w:r>
              <w:t>O</w:t>
            </w:r>
            <w:r w:rsidRPr="00C228DE">
              <w:rPr>
                <w:vertAlign w:val="subscript"/>
              </w:rPr>
              <w:t>4</w:t>
            </w:r>
          </w:p>
        </w:tc>
        <w:tc>
          <w:tcPr>
            <w:tcW w:w="1296" w:type="dxa"/>
          </w:tcPr>
          <w:p w14:paraId="759FBC4D" w14:textId="77777777" w:rsidR="00162E14" w:rsidRDefault="00162E14" w:rsidP="0038111F">
            <w:pPr>
              <w:keepNext/>
              <w:jc w:val="center"/>
            </w:pPr>
            <w:r>
              <w:t>Group 4</w:t>
            </w:r>
          </w:p>
        </w:tc>
      </w:tr>
    </w:tbl>
    <w:p w14:paraId="1A16E069" w14:textId="7C5974F5" w:rsidR="00741857" w:rsidRDefault="00741857" w:rsidP="00741857">
      <w:r>
        <w:t>As the number of factors or levels increases, the complexity of the factorial design grows. A 2x3 design, for instance, would involve two factors</w:t>
      </w:r>
      <w:r w:rsidR="00C82AD7">
        <w:t xml:space="preserve"> with</w:t>
      </w:r>
      <w:r>
        <w:t xml:space="preserve"> </w:t>
      </w:r>
      <w:r w:rsidR="00EC0FE9">
        <w:t xml:space="preserve">the second having </w:t>
      </w:r>
      <w:r>
        <w:t>three</w:t>
      </w:r>
      <w:r w:rsidR="00C82AD7">
        <w:t xml:space="preserve"> levels</w:t>
      </w:r>
      <w:r>
        <w:t>, resulting in six treatment groups. Similarly, a 2x2x2 design, with three factors each at two levels, would yield eight treatment groups. While these more complex designs offer a more comprehensive understanding of the relationships between variables, they also require larger sample sizes to maintain statistical power. A good rule of thumb is to aim for a minimum of 20 subjects per cell in the design.</w:t>
      </w:r>
    </w:p>
    <w:p w14:paraId="2D068FE6" w14:textId="7930CFCF" w:rsidR="00741857" w:rsidRDefault="00741857" w:rsidP="00741857">
      <w:r>
        <w:t xml:space="preserve">When interpreting the results of a factorial experiment, researchers must consider both main effects and interaction effects. Main effects refer to the impact of a single factor on the dependent variable, holding all other factors constant. </w:t>
      </w:r>
      <w:r w:rsidR="009F6F77">
        <w:t>In the above</w:t>
      </w:r>
      <w:r>
        <w:t xml:space="preserve"> example, if learning outcomes differ significantly between online and in-class instruction, regardless of instructional time, there is a main effect of instructional type. Interaction effects, on the other hand, occur when the impact of one factor depends on the level of another factor. </w:t>
      </w:r>
      <w:r w:rsidR="000E6C54">
        <w:t>Using the instructional</w:t>
      </w:r>
      <w:r>
        <w:t xml:space="preserve"> example, if online </w:t>
      </w:r>
      <w:r>
        <w:lastRenderedPageBreak/>
        <w:t>instruction leads to better learning outcomes than in-class instruction, but only when instructional time is 3 hours per week, there is an interaction effect between instructional type and time.</w:t>
      </w:r>
    </w:p>
    <w:p w14:paraId="63762F16" w14:textId="77777777" w:rsidR="00741857" w:rsidRDefault="00741857" w:rsidP="00741857">
      <w:r>
        <w:t>It is crucial to note that when interaction effects are significant, they take precedence over main effects in interpretation. In such cases, the main effects alone may be misleading, as the impact of one factor is contingent upon the level of another.</w:t>
      </w:r>
    </w:p>
    <w:p w14:paraId="4258EEC5" w14:textId="77777777" w:rsidR="00741857" w:rsidRDefault="00741857" w:rsidP="00741857">
      <w:r>
        <w:t>Resource constraints may sometimes lead researchers to employ incomplete factorial designs, in which some treatment combinations are omitted. While this approach can reduce the cost and complexity of the study, it also limits the ability to draw conclusions about the missing factors and their interactions.</w:t>
      </w:r>
    </w:p>
    <w:p w14:paraId="163D7BC8" w14:textId="77777777" w:rsidR="00741857" w:rsidRDefault="00741857" w:rsidP="00741857">
      <w:r>
        <w:t>As you design your own factorial experiments, consider the following steps:</w:t>
      </w:r>
    </w:p>
    <w:p w14:paraId="70D55A80" w14:textId="77777777" w:rsidR="00741857" w:rsidRDefault="00741857" w:rsidP="00C2200D">
      <w:pPr>
        <w:pStyle w:val="ListParagraph"/>
        <w:numPr>
          <w:ilvl w:val="0"/>
          <w:numId w:val="441"/>
        </w:numPr>
      </w:pPr>
      <w:r>
        <w:t>Clearly define your research question and the factors you wish to investigate.</w:t>
      </w:r>
    </w:p>
    <w:p w14:paraId="43FDD2C4" w14:textId="77777777" w:rsidR="00741857" w:rsidRDefault="00741857" w:rsidP="00C2200D">
      <w:pPr>
        <w:pStyle w:val="ListParagraph"/>
        <w:numPr>
          <w:ilvl w:val="0"/>
          <w:numId w:val="441"/>
        </w:numPr>
      </w:pPr>
      <w:r>
        <w:t>Determine the appropriate number of levels for each factor, balancing the need for comprehensive understanding with practical constraints.</w:t>
      </w:r>
    </w:p>
    <w:p w14:paraId="7B8B8330" w14:textId="77777777" w:rsidR="00741857" w:rsidRDefault="00741857" w:rsidP="00C2200D">
      <w:pPr>
        <w:pStyle w:val="ListParagraph"/>
        <w:numPr>
          <w:ilvl w:val="0"/>
          <w:numId w:val="441"/>
        </w:numPr>
      </w:pPr>
      <w:r>
        <w:t>Calculate the required sample size based on the number of factors and levels, aiming for at least 20 subjects per cell.</w:t>
      </w:r>
    </w:p>
    <w:p w14:paraId="3234CE69" w14:textId="77777777" w:rsidR="00741857" w:rsidRDefault="00741857" w:rsidP="00C2200D">
      <w:pPr>
        <w:pStyle w:val="ListParagraph"/>
        <w:numPr>
          <w:ilvl w:val="0"/>
          <w:numId w:val="441"/>
        </w:numPr>
      </w:pPr>
      <w:r>
        <w:t>Randomly assign subjects to treatment groups to minimize potential confounds.</w:t>
      </w:r>
    </w:p>
    <w:p w14:paraId="2EDF634B" w14:textId="77777777" w:rsidR="00741857" w:rsidRDefault="00741857" w:rsidP="00C2200D">
      <w:pPr>
        <w:pStyle w:val="ListParagraph"/>
        <w:numPr>
          <w:ilvl w:val="0"/>
          <w:numId w:val="441"/>
        </w:numPr>
      </w:pPr>
      <w:r>
        <w:t>Collect and analyze data, examining both main effects and interaction effects.</w:t>
      </w:r>
    </w:p>
    <w:p w14:paraId="4AF10338" w14:textId="77777777" w:rsidR="00741857" w:rsidRDefault="00741857" w:rsidP="00C2200D">
      <w:pPr>
        <w:pStyle w:val="ListParagraph"/>
        <w:numPr>
          <w:ilvl w:val="0"/>
          <w:numId w:val="441"/>
        </w:numPr>
      </w:pPr>
      <w:r>
        <w:t>Interpret your results cautiously, considering the limitations of your design and the potential for complex relationships between variables.</w:t>
      </w:r>
    </w:p>
    <w:p w14:paraId="5327D601" w14:textId="558AF3FA" w:rsidR="00A626FE" w:rsidRPr="000E309B" w:rsidRDefault="00741857" w:rsidP="009E4498">
      <w:r>
        <w:t>By mastering the use of factorial designs, you can conduct rigorous experiments that yield valuable insights into the interplay of multiple factors influencing your dependent variable. This knowledge will serve you well as you tackle increasingly complex research questions in your field.</w:t>
      </w:r>
    </w:p>
    <w:p w14:paraId="5327D602" w14:textId="5717DE18" w:rsidR="00A626FE" w:rsidRPr="000E309B" w:rsidRDefault="00E13E1E" w:rsidP="00E13E1E">
      <w:pPr>
        <w:pStyle w:val="Heading3"/>
      </w:pPr>
      <w:bookmarkStart w:id="137" w:name="_Toc169156758"/>
      <w:r>
        <w:t>H</w:t>
      </w:r>
      <w:r w:rsidR="00D14B33" w:rsidRPr="000E309B">
        <w:t xml:space="preserve">ybrid </w:t>
      </w:r>
      <w:r>
        <w:t>E</w:t>
      </w:r>
      <w:r w:rsidR="00D14B33" w:rsidRPr="000E309B">
        <w:t xml:space="preserve">xperimental </w:t>
      </w:r>
      <w:r>
        <w:t>D</w:t>
      </w:r>
      <w:r w:rsidR="00D14B33" w:rsidRPr="000E309B">
        <w:t>esigns</w:t>
      </w:r>
      <w:bookmarkEnd w:id="137"/>
    </w:p>
    <w:p w14:paraId="4902191E" w14:textId="35FD74FC" w:rsidR="005C47E4" w:rsidRDefault="005C47E4" w:rsidP="005C47E4">
      <w:r>
        <w:t>Hybrid experimental designs offer researchers the flexibility to combine elements of various classic designs to better suit their specific research needs. By understanding the strengths and applications of</w:t>
      </w:r>
      <w:r w:rsidR="00C854C0">
        <w:t xml:space="preserve"> hybrid designs like</w:t>
      </w:r>
      <w:r>
        <w:t xml:space="preserve"> randomized block, Solomon four-group, and switched replication designs, you can make informed decisions about which approach best addresses your research question while minimizing potential confounds.</w:t>
      </w:r>
    </w:p>
    <w:p w14:paraId="6FBBCAD6" w14:textId="3CA17373" w:rsidR="0074492C" w:rsidRDefault="0074492C" w:rsidP="0074492C">
      <w:pPr>
        <w:pStyle w:val="Heading4"/>
      </w:pPr>
      <w:r>
        <w:t>Randomized Block Design</w:t>
      </w:r>
    </w:p>
    <w:p w14:paraId="0B94E6D5" w14:textId="5A28F13E" w:rsidR="005C47E4" w:rsidRDefault="005C47E4" w:rsidP="005C47E4">
      <w:r>
        <w:t xml:space="preserve">The randomized block design is a powerful tool for reducing the impact of extraneous variables on the dependent variable. By grouping subjects into homogeneous blocks based on a key characteristic (e.g., student vs. professional status) and then randomly assigning them to treatment and control conditions within each block, researchers can account for the influence of that characteristic on the outcome of interest. This approach enhances the precision of treatment effect estimates by minimizing within-group variability. As shown in </w:t>
      </w:r>
      <w:r w:rsidR="008C4FBE">
        <w:t>the following t</w:t>
      </w:r>
      <w:r>
        <w:t>abl</w:t>
      </w:r>
      <w:r w:rsidR="008C4FBE">
        <w:t>e</w:t>
      </w:r>
      <w:r>
        <w:t xml:space="preserve">, the </w:t>
      </w:r>
      <w:r>
        <w:lastRenderedPageBreak/>
        <w:t>randomized block design is essentially a replication of the basic post-test-only control group design within each block, allowing for more accurate detection of treatment effects.</w:t>
      </w:r>
    </w:p>
    <w:tbl>
      <w:tblPr>
        <w:tblStyle w:val="ListTable1Light-Accent3"/>
        <w:tblW w:w="3969" w:type="dxa"/>
        <w:jc w:val="center"/>
        <w:tblBorders>
          <w:top w:val="single" w:sz="4" w:space="0" w:color="auto"/>
          <w:bottom w:val="single" w:sz="4" w:space="0" w:color="auto"/>
        </w:tblBorders>
        <w:tblLook w:val="0400" w:firstRow="0" w:lastRow="0" w:firstColumn="0" w:lastColumn="0" w:noHBand="0" w:noVBand="1"/>
      </w:tblPr>
      <w:tblGrid>
        <w:gridCol w:w="2449"/>
        <w:gridCol w:w="569"/>
        <w:gridCol w:w="504"/>
        <w:gridCol w:w="447"/>
      </w:tblGrid>
      <w:tr w:rsidR="008C4FBE" w:rsidRPr="000E309B" w14:paraId="4BE3C63B" w14:textId="77777777" w:rsidTr="0038111F">
        <w:trPr>
          <w:cnfStyle w:val="000000100000" w:firstRow="0" w:lastRow="0" w:firstColumn="0" w:lastColumn="0" w:oddVBand="0" w:evenVBand="0" w:oddHBand="1" w:evenHBand="0" w:firstRowFirstColumn="0" w:firstRowLastColumn="0" w:lastRowFirstColumn="0" w:lastRowLastColumn="0"/>
          <w:trHeight w:val="315"/>
          <w:jc w:val="center"/>
        </w:trPr>
        <w:tc>
          <w:tcPr>
            <w:tcW w:w="2468" w:type="dxa"/>
          </w:tcPr>
          <w:p w14:paraId="04CC3810" w14:textId="77777777" w:rsidR="008C4FBE" w:rsidRPr="000E309B" w:rsidRDefault="008C4FBE" w:rsidP="0038111F">
            <w:r w:rsidRPr="000E309B">
              <w:t>University Students</w:t>
            </w:r>
          </w:p>
        </w:tc>
        <w:tc>
          <w:tcPr>
            <w:tcW w:w="574" w:type="dxa"/>
          </w:tcPr>
          <w:p w14:paraId="298F6CDF" w14:textId="77777777" w:rsidR="008C4FBE" w:rsidRPr="000E309B" w:rsidRDefault="008C4FBE" w:rsidP="0038111F">
            <w:r w:rsidRPr="000E309B">
              <w:t>R</w:t>
            </w:r>
          </w:p>
        </w:tc>
        <w:tc>
          <w:tcPr>
            <w:tcW w:w="508" w:type="dxa"/>
          </w:tcPr>
          <w:p w14:paraId="7E505D2E" w14:textId="77777777" w:rsidR="008C4FBE" w:rsidRPr="000E309B" w:rsidRDefault="008C4FBE" w:rsidP="0038111F">
            <w:r w:rsidRPr="000E309B">
              <w:t>X</w:t>
            </w:r>
          </w:p>
        </w:tc>
        <w:tc>
          <w:tcPr>
            <w:tcW w:w="419" w:type="dxa"/>
          </w:tcPr>
          <w:p w14:paraId="6C13BA6D" w14:textId="77777777" w:rsidR="008C4FBE" w:rsidRPr="000E309B" w:rsidRDefault="008C4FBE" w:rsidP="0038111F">
            <w:r w:rsidRPr="000E309B">
              <w:t>O</w:t>
            </w:r>
            <w:r w:rsidRPr="00641880">
              <w:rPr>
                <w:vertAlign w:val="subscript"/>
              </w:rPr>
              <w:t>1</w:t>
            </w:r>
          </w:p>
        </w:tc>
      </w:tr>
      <w:tr w:rsidR="008C4FBE" w:rsidRPr="000E309B" w14:paraId="4822AEDB" w14:textId="77777777" w:rsidTr="0038111F">
        <w:trPr>
          <w:trHeight w:val="311"/>
          <w:jc w:val="center"/>
        </w:trPr>
        <w:tc>
          <w:tcPr>
            <w:tcW w:w="2468" w:type="dxa"/>
          </w:tcPr>
          <w:p w14:paraId="7C38AF27" w14:textId="77777777" w:rsidR="008C4FBE" w:rsidRPr="000E309B" w:rsidRDefault="008C4FBE" w:rsidP="0038111F">
            <w:r w:rsidRPr="000E309B">
              <w:t>University Students</w:t>
            </w:r>
          </w:p>
        </w:tc>
        <w:tc>
          <w:tcPr>
            <w:tcW w:w="574" w:type="dxa"/>
          </w:tcPr>
          <w:p w14:paraId="25A476B0" w14:textId="77777777" w:rsidR="008C4FBE" w:rsidRPr="000E309B" w:rsidRDefault="008C4FBE" w:rsidP="0038111F">
            <w:r w:rsidRPr="000E309B">
              <w:t>R</w:t>
            </w:r>
          </w:p>
        </w:tc>
        <w:tc>
          <w:tcPr>
            <w:tcW w:w="508" w:type="dxa"/>
          </w:tcPr>
          <w:p w14:paraId="3169F9CE" w14:textId="77777777" w:rsidR="008C4FBE" w:rsidRPr="000E309B" w:rsidRDefault="008C4FBE" w:rsidP="0038111F"/>
        </w:tc>
        <w:tc>
          <w:tcPr>
            <w:tcW w:w="419" w:type="dxa"/>
          </w:tcPr>
          <w:p w14:paraId="49A132B2" w14:textId="77777777" w:rsidR="008C4FBE" w:rsidRPr="000E309B" w:rsidRDefault="008C4FBE" w:rsidP="0038111F">
            <w:r w:rsidRPr="000E309B">
              <w:t>O</w:t>
            </w:r>
            <w:r w:rsidRPr="00641880">
              <w:rPr>
                <w:vertAlign w:val="subscript"/>
              </w:rPr>
              <w:t>2</w:t>
            </w:r>
          </w:p>
        </w:tc>
      </w:tr>
      <w:tr w:rsidR="008C4FBE" w:rsidRPr="000E309B" w14:paraId="0D42C262" w14:textId="77777777" w:rsidTr="0038111F">
        <w:trPr>
          <w:cnfStyle w:val="000000100000" w:firstRow="0" w:lastRow="0" w:firstColumn="0" w:lastColumn="0" w:oddVBand="0" w:evenVBand="0" w:oddHBand="1" w:evenHBand="0" w:firstRowFirstColumn="0" w:firstRowLastColumn="0" w:lastRowFirstColumn="0" w:lastRowLastColumn="0"/>
          <w:trHeight w:val="311"/>
          <w:jc w:val="center"/>
        </w:trPr>
        <w:tc>
          <w:tcPr>
            <w:tcW w:w="2468" w:type="dxa"/>
          </w:tcPr>
          <w:p w14:paraId="759AD961" w14:textId="77777777" w:rsidR="008C4FBE" w:rsidRPr="000E309B" w:rsidRDefault="008C4FBE" w:rsidP="0038111F">
            <w:r w:rsidRPr="000E309B">
              <w:t>Professionals</w:t>
            </w:r>
          </w:p>
        </w:tc>
        <w:tc>
          <w:tcPr>
            <w:tcW w:w="574" w:type="dxa"/>
          </w:tcPr>
          <w:p w14:paraId="50924590" w14:textId="77777777" w:rsidR="008C4FBE" w:rsidRPr="000E309B" w:rsidRDefault="008C4FBE" w:rsidP="0038111F">
            <w:r w:rsidRPr="000E309B">
              <w:t>R</w:t>
            </w:r>
          </w:p>
        </w:tc>
        <w:tc>
          <w:tcPr>
            <w:tcW w:w="508" w:type="dxa"/>
          </w:tcPr>
          <w:p w14:paraId="168391BD" w14:textId="77777777" w:rsidR="008C4FBE" w:rsidRPr="000E309B" w:rsidRDefault="008C4FBE" w:rsidP="0038111F">
            <w:r w:rsidRPr="000E309B">
              <w:t>X</w:t>
            </w:r>
          </w:p>
        </w:tc>
        <w:tc>
          <w:tcPr>
            <w:tcW w:w="419" w:type="dxa"/>
          </w:tcPr>
          <w:p w14:paraId="507AACC4" w14:textId="77777777" w:rsidR="008C4FBE" w:rsidRPr="000E309B" w:rsidRDefault="008C4FBE" w:rsidP="0038111F">
            <w:r w:rsidRPr="000E309B">
              <w:t>O</w:t>
            </w:r>
            <w:r w:rsidRPr="00641880">
              <w:rPr>
                <w:vertAlign w:val="subscript"/>
              </w:rPr>
              <w:t>3</w:t>
            </w:r>
          </w:p>
        </w:tc>
      </w:tr>
      <w:tr w:rsidR="008C4FBE" w:rsidRPr="000E309B" w14:paraId="50ABE946" w14:textId="77777777" w:rsidTr="0038111F">
        <w:trPr>
          <w:trHeight w:val="314"/>
          <w:jc w:val="center"/>
        </w:trPr>
        <w:tc>
          <w:tcPr>
            <w:tcW w:w="2468" w:type="dxa"/>
          </w:tcPr>
          <w:p w14:paraId="5527E1A6" w14:textId="77777777" w:rsidR="008C4FBE" w:rsidRPr="000E309B" w:rsidRDefault="008C4FBE" w:rsidP="0038111F">
            <w:r w:rsidRPr="000E309B">
              <w:t>Professionals</w:t>
            </w:r>
          </w:p>
        </w:tc>
        <w:tc>
          <w:tcPr>
            <w:tcW w:w="574" w:type="dxa"/>
          </w:tcPr>
          <w:p w14:paraId="7608720C" w14:textId="77777777" w:rsidR="008C4FBE" w:rsidRPr="000E309B" w:rsidRDefault="008C4FBE" w:rsidP="0038111F">
            <w:r w:rsidRPr="000E309B">
              <w:t>R</w:t>
            </w:r>
          </w:p>
        </w:tc>
        <w:tc>
          <w:tcPr>
            <w:tcW w:w="508" w:type="dxa"/>
          </w:tcPr>
          <w:p w14:paraId="3D0C20E8" w14:textId="77777777" w:rsidR="008C4FBE" w:rsidRPr="000E309B" w:rsidRDefault="008C4FBE" w:rsidP="0038111F"/>
        </w:tc>
        <w:tc>
          <w:tcPr>
            <w:tcW w:w="419" w:type="dxa"/>
          </w:tcPr>
          <w:p w14:paraId="15574983" w14:textId="77777777" w:rsidR="008C4FBE" w:rsidRPr="000E309B" w:rsidRDefault="008C4FBE" w:rsidP="0038111F">
            <w:r w:rsidRPr="000E309B">
              <w:t>O</w:t>
            </w:r>
            <w:r w:rsidRPr="00641880">
              <w:rPr>
                <w:vertAlign w:val="subscript"/>
              </w:rPr>
              <w:t>4</w:t>
            </w:r>
          </w:p>
        </w:tc>
      </w:tr>
    </w:tbl>
    <w:p w14:paraId="2DE19F6A" w14:textId="77777777" w:rsidR="00707D4C" w:rsidRDefault="00707D4C" w:rsidP="00707D4C">
      <w:pPr>
        <w:pStyle w:val="NoSpacing"/>
      </w:pPr>
    </w:p>
    <w:p w14:paraId="6DCC702C" w14:textId="21394A3C" w:rsidR="00707D4C" w:rsidRDefault="00707D4C" w:rsidP="00707D4C">
      <w:pPr>
        <w:pStyle w:val="Heading4"/>
      </w:pPr>
      <w:r>
        <w:t>Solomon Four-Group Design</w:t>
      </w:r>
    </w:p>
    <w:p w14:paraId="3B428B93" w14:textId="0EB26B56" w:rsidR="005C47E4" w:rsidRDefault="005C47E4" w:rsidP="005C47E4">
      <w:r>
        <w:t xml:space="preserve">The Solomon four-group design, depicted in </w:t>
      </w:r>
      <w:r w:rsidR="008C4FBE">
        <w:t>the following table</w:t>
      </w:r>
      <w:r>
        <w:t>, is a clever combination of the pretest/post-test control group design and the post-test-only control group design. By employing four groups</w:t>
      </w:r>
      <w:r w:rsidR="00A84F4E">
        <w:t>—</w:t>
      </w:r>
      <w:r>
        <w:t>two with a pretest and two without</w:t>
      </w:r>
      <w:r w:rsidR="00A84F4E">
        <w:t>—</w:t>
      </w:r>
      <w:r>
        <w:t>this design enables researchers to assess the potential biasing effect of pretest measurements on post-test results. If the pretest influences subjects' responses or behaviors, the post-test results may differ between the groups that received the pretest and those that did not. By comparing the post-test scores across all four groups, researchers can determine whether the pretest had a significant impact on the outcomes and adjust their interpretations accordingly. This design is particularly useful when there are concerns about the reactive effects of pretesting, such as sensitizing subjects to the purpose of the study or altering their natural responses.</w:t>
      </w:r>
    </w:p>
    <w:tbl>
      <w:tblPr>
        <w:tblStyle w:val="ListTable1Light-Accent3"/>
        <w:tblW w:w="2295" w:type="dxa"/>
        <w:jc w:val="center"/>
        <w:tblBorders>
          <w:top w:val="single" w:sz="4" w:space="0" w:color="auto"/>
          <w:bottom w:val="single" w:sz="4" w:space="0" w:color="auto"/>
        </w:tblBorders>
        <w:tblLook w:val="0400" w:firstRow="0" w:lastRow="0" w:firstColumn="0" w:lastColumn="0" w:noHBand="0" w:noVBand="1"/>
      </w:tblPr>
      <w:tblGrid>
        <w:gridCol w:w="713"/>
        <w:gridCol w:w="633"/>
        <w:gridCol w:w="502"/>
        <w:gridCol w:w="447"/>
      </w:tblGrid>
      <w:tr w:rsidR="008C4FBE" w:rsidRPr="000E309B" w14:paraId="74204B4D" w14:textId="77777777" w:rsidTr="0038111F">
        <w:trPr>
          <w:cnfStyle w:val="000000100000" w:firstRow="0" w:lastRow="0" w:firstColumn="0" w:lastColumn="0" w:oddVBand="0" w:evenVBand="0" w:oddHBand="1" w:evenHBand="0" w:firstRowFirstColumn="0" w:firstRowLastColumn="0" w:lastRowFirstColumn="0" w:lastRowLastColumn="0"/>
          <w:trHeight w:val="315"/>
          <w:jc w:val="center"/>
        </w:trPr>
        <w:tc>
          <w:tcPr>
            <w:tcW w:w="728" w:type="dxa"/>
          </w:tcPr>
          <w:p w14:paraId="242B82D0" w14:textId="77777777" w:rsidR="008C4FBE" w:rsidRPr="000E309B" w:rsidRDefault="008C4FBE" w:rsidP="0038111F">
            <w:r w:rsidRPr="000E309B">
              <w:t>R</w:t>
            </w:r>
          </w:p>
        </w:tc>
        <w:tc>
          <w:tcPr>
            <w:tcW w:w="640" w:type="dxa"/>
          </w:tcPr>
          <w:p w14:paraId="3446319E" w14:textId="77777777" w:rsidR="008C4FBE" w:rsidRPr="000E309B" w:rsidRDefault="008C4FBE" w:rsidP="0038111F">
            <w:r w:rsidRPr="000E309B">
              <w:t>O</w:t>
            </w:r>
            <w:r w:rsidRPr="00385875">
              <w:rPr>
                <w:vertAlign w:val="subscript"/>
              </w:rPr>
              <w:t>1</w:t>
            </w:r>
          </w:p>
        </w:tc>
        <w:tc>
          <w:tcPr>
            <w:tcW w:w="508" w:type="dxa"/>
          </w:tcPr>
          <w:p w14:paraId="03EA3BE4" w14:textId="77777777" w:rsidR="008C4FBE" w:rsidRPr="000E309B" w:rsidRDefault="008C4FBE" w:rsidP="0038111F">
            <w:r w:rsidRPr="000E309B">
              <w:t>X</w:t>
            </w:r>
          </w:p>
        </w:tc>
        <w:tc>
          <w:tcPr>
            <w:tcW w:w="419" w:type="dxa"/>
          </w:tcPr>
          <w:p w14:paraId="4C0843DD" w14:textId="77777777" w:rsidR="008C4FBE" w:rsidRPr="000E309B" w:rsidRDefault="008C4FBE" w:rsidP="0038111F">
            <w:r w:rsidRPr="000E309B">
              <w:t>O</w:t>
            </w:r>
            <w:r w:rsidRPr="00385875">
              <w:rPr>
                <w:vertAlign w:val="subscript"/>
              </w:rPr>
              <w:t>2</w:t>
            </w:r>
          </w:p>
        </w:tc>
      </w:tr>
      <w:tr w:rsidR="008C4FBE" w:rsidRPr="000E309B" w14:paraId="180DB19B" w14:textId="77777777" w:rsidTr="0038111F">
        <w:trPr>
          <w:trHeight w:val="311"/>
          <w:jc w:val="center"/>
        </w:trPr>
        <w:tc>
          <w:tcPr>
            <w:tcW w:w="728" w:type="dxa"/>
          </w:tcPr>
          <w:p w14:paraId="15F5B6E5" w14:textId="77777777" w:rsidR="008C4FBE" w:rsidRPr="000E309B" w:rsidRDefault="008C4FBE" w:rsidP="0038111F">
            <w:r w:rsidRPr="000E309B">
              <w:t>R</w:t>
            </w:r>
          </w:p>
        </w:tc>
        <w:tc>
          <w:tcPr>
            <w:tcW w:w="640" w:type="dxa"/>
          </w:tcPr>
          <w:p w14:paraId="0E7634A7" w14:textId="77777777" w:rsidR="008C4FBE" w:rsidRPr="000E309B" w:rsidRDefault="008C4FBE" w:rsidP="0038111F">
            <w:r w:rsidRPr="000E309B">
              <w:t>O</w:t>
            </w:r>
            <w:r w:rsidRPr="00385875">
              <w:rPr>
                <w:vertAlign w:val="subscript"/>
              </w:rPr>
              <w:t>3</w:t>
            </w:r>
          </w:p>
        </w:tc>
        <w:tc>
          <w:tcPr>
            <w:tcW w:w="508" w:type="dxa"/>
          </w:tcPr>
          <w:p w14:paraId="67CEACC1" w14:textId="77777777" w:rsidR="008C4FBE" w:rsidRPr="000E309B" w:rsidRDefault="008C4FBE" w:rsidP="0038111F"/>
        </w:tc>
        <w:tc>
          <w:tcPr>
            <w:tcW w:w="419" w:type="dxa"/>
          </w:tcPr>
          <w:p w14:paraId="7EC649E4" w14:textId="77777777" w:rsidR="008C4FBE" w:rsidRPr="000E309B" w:rsidRDefault="008C4FBE" w:rsidP="0038111F">
            <w:r w:rsidRPr="000E309B">
              <w:t>O</w:t>
            </w:r>
            <w:r w:rsidRPr="00385875">
              <w:rPr>
                <w:vertAlign w:val="subscript"/>
              </w:rPr>
              <w:t>4</w:t>
            </w:r>
          </w:p>
        </w:tc>
      </w:tr>
      <w:tr w:rsidR="008C4FBE" w:rsidRPr="000E309B" w14:paraId="4D214972" w14:textId="77777777" w:rsidTr="0038111F">
        <w:trPr>
          <w:cnfStyle w:val="000000100000" w:firstRow="0" w:lastRow="0" w:firstColumn="0" w:lastColumn="0" w:oddVBand="0" w:evenVBand="0" w:oddHBand="1" w:evenHBand="0" w:firstRowFirstColumn="0" w:firstRowLastColumn="0" w:lastRowFirstColumn="0" w:lastRowLastColumn="0"/>
          <w:trHeight w:val="311"/>
          <w:jc w:val="center"/>
        </w:trPr>
        <w:tc>
          <w:tcPr>
            <w:tcW w:w="728" w:type="dxa"/>
          </w:tcPr>
          <w:p w14:paraId="606351DC" w14:textId="77777777" w:rsidR="008C4FBE" w:rsidRPr="000E309B" w:rsidRDefault="008C4FBE" w:rsidP="0038111F">
            <w:r w:rsidRPr="000E309B">
              <w:t>R</w:t>
            </w:r>
          </w:p>
        </w:tc>
        <w:tc>
          <w:tcPr>
            <w:tcW w:w="640" w:type="dxa"/>
          </w:tcPr>
          <w:p w14:paraId="5D485ADC" w14:textId="77777777" w:rsidR="008C4FBE" w:rsidRPr="000E309B" w:rsidRDefault="008C4FBE" w:rsidP="0038111F"/>
        </w:tc>
        <w:tc>
          <w:tcPr>
            <w:tcW w:w="508" w:type="dxa"/>
          </w:tcPr>
          <w:p w14:paraId="3BD28004" w14:textId="77777777" w:rsidR="008C4FBE" w:rsidRPr="000E309B" w:rsidRDefault="008C4FBE" w:rsidP="0038111F">
            <w:r w:rsidRPr="000E309B">
              <w:t>X</w:t>
            </w:r>
          </w:p>
        </w:tc>
        <w:tc>
          <w:tcPr>
            <w:tcW w:w="419" w:type="dxa"/>
          </w:tcPr>
          <w:p w14:paraId="1585E7FB" w14:textId="77777777" w:rsidR="008C4FBE" w:rsidRPr="000E309B" w:rsidRDefault="008C4FBE" w:rsidP="0038111F">
            <w:r w:rsidRPr="000E309B">
              <w:t>O</w:t>
            </w:r>
            <w:r w:rsidRPr="00385875">
              <w:rPr>
                <w:vertAlign w:val="subscript"/>
              </w:rPr>
              <w:t>5</w:t>
            </w:r>
          </w:p>
        </w:tc>
      </w:tr>
      <w:tr w:rsidR="008C4FBE" w:rsidRPr="000E309B" w14:paraId="2C4E6EB6" w14:textId="77777777" w:rsidTr="0038111F">
        <w:trPr>
          <w:trHeight w:val="314"/>
          <w:jc w:val="center"/>
        </w:trPr>
        <w:tc>
          <w:tcPr>
            <w:tcW w:w="728" w:type="dxa"/>
          </w:tcPr>
          <w:p w14:paraId="110B7C46" w14:textId="77777777" w:rsidR="008C4FBE" w:rsidRPr="000E309B" w:rsidRDefault="008C4FBE" w:rsidP="0038111F">
            <w:r w:rsidRPr="000E309B">
              <w:t>R</w:t>
            </w:r>
          </w:p>
        </w:tc>
        <w:tc>
          <w:tcPr>
            <w:tcW w:w="640" w:type="dxa"/>
          </w:tcPr>
          <w:p w14:paraId="00AB4574" w14:textId="77777777" w:rsidR="008C4FBE" w:rsidRPr="000E309B" w:rsidRDefault="008C4FBE" w:rsidP="0038111F"/>
        </w:tc>
        <w:tc>
          <w:tcPr>
            <w:tcW w:w="508" w:type="dxa"/>
          </w:tcPr>
          <w:p w14:paraId="45941336" w14:textId="77777777" w:rsidR="008C4FBE" w:rsidRPr="000E309B" w:rsidRDefault="008C4FBE" w:rsidP="0038111F"/>
        </w:tc>
        <w:tc>
          <w:tcPr>
            <w:tcW w:w="419" w:type="dxa"/>
          </w:tcPr>
          <w:p w14:paraId="5CB1CE91" w14:textId="77777777" w:rsidR="008C4FBE" w:rsidRPr="000E309B" w:rsidRDefault="008C4FBE" w:rsidP="0038111F">
            <w:r w:rsidRPr="000E309B">
              <w:t>O</w:t>
            </w:r>
            <w:r w:rsidRPr="00385875">
              <w:rPr>
                <w:vertAlign w:val="subscript"/>
              </w:rPr>
              <w:t>6</w:t>
            </w:r>
          </w:p>
        </w:tc>
      </w:tr>
    </w:tbl>
    <w:p w14:paraId="1D0B9408" w14:textId="77777777" w:rsidR="00CA2092" w:rsidRDefault="00CA2092" w:rsidP="00CA2092">
      <w:pPr>
        <w:pStyle w:val="NoSpacing"/>
      </w:pPr>
    </w:p>
    <w:p w14:paraId="14D6DBD0" w14:textId="10155286" w:rsidR="00CA2092" w:rsidRDefault="00CA2092" w:rsidP="00CA2092">
      <w:pPr>
        <w:pStyle w:val="Heading4"/>
      </w:pPr>
      <w:r>
        <w:t>Switched Replication Design</w:t>
      </w:r>
    </w:p>
    <w:p w14:paraId="7F11D2B2" w14:textId="29C8BBBC" w:rsidR="005C47E4" w:rsidRDefault="005C47E4" w:rsidP="005C47E4">
      <w:r>
        <w:t xml:space="preserve">The switched replication design, as illustrated in </w:t>
      </w:r>
      <w:r w:rsidR="007D771C">
        <w:t>the following table</w:t>
      </w:r>
      <w:r>
        <w:t xml:space="preserve">, is a two-phase approach that allows all participants to eventually receive the treatment, while still maintaining the integrity of the experimental design. In the first phase, one group serves as the treatment group and the other as the control. In the second phase, the roles are switched, with the original control group receiving the treatment and the original treatment group serving as the control. This design is especially valuable in organizational settings where it may be unethical or impractical to withhold </w:t>
      </w:r>
      <w:r w:rsidR="00685DD9">
        <w:t>potentially</w:t>
      </w:r>
      <w:r>
        <w:t xml:space="preserve"> beneficial treatment from some participants. By employing three waves of measurement (pre-treatment, between phases, and post-treatment), researchers can assess the immediate and delayed effects of the treatment on both groups. However, it is important to consider the potential impact of order effects, as the experience of being in the control condition first may influence participants' responses to the treatment in the second phase.</w:t>
      </w:r>
    </w:p>
    <w:tbl>
      <w:tblPr>
        <w:tblStyle w:val="ListTable1Light-Accent3"/>
        <w:tblW w:w="3443" w:type="dxa"/>
        <w:jc w:val="center"/>
        <w:tblBorders>
          <w:top w:val="single" w:sz="4" w:space="0" w:color="auto"/>
          <w:bottom w:val="single" w:sz="4" w:space="0" w:color="auto"/>
        </w:tblBorders>
        <w:tblLook w:val="0400" w:firstRow="0" w:lastRow="0" w:firstColumn="0" w:lastColumn="0" w:noHBand="0" w:noVBand="1"/>
      </w:tblPr>
      <w:tblGrid>
        <w:gridCol w:w="718"/>
        <w:gridCol w:w="1139"/>
        <w:gridCol w:w="1139"/>
        <w:gridCol w:w="447"/>
      </w:tblGrid>
      <w:tr w:rsidR="007D771C" w:rsidRPr="000E309B" w14:paraId="5AB6C5F8" w14:textId="77777777" w:rsidTr="0038111F">
        <w:trPr>
          <w:cnfStyle w:val="000000100000" w:firstRow="0" w:lastRow="0" w:firstColumn="0" w:lastColumn="0" w:oddVBand="0" w:evenVBand="0" w:oddHBand="1" w:evenHBand="0" w:firstRowFirstColumn="0" w:firstRowLastColumn="0" w:lastRowFirstColumn="0" w:lastRowLastColumn="0"/>
          <w:trHeight w:val="315"/>
          <w:jc w:val="center"/>
        </w:trPr>
        <w:tc>
          <w:tcPr>
            <w:tcW w:w="728" w:type="dxa"/>
          </w:tcPr>
          <w:p w14:paraId="58E7551E" w14:textId="77777777" w:rsidR="007D771C" w:rsidRPr="000E309B" w:rsidRDefault="007D771C" w:rsidP="0038111F">
            <w:r w:rsidRPr="000E309B">
              <w:t>R</w:t>
            </w:r>
          </w:p>
        </w:tc>
        <w:tc>
          <w:tcPr>
            <w:tcW w:w="1148" w:type="dxa"/>
          </w:tcPr>
          <w:p w14:paraId="3DB94C18" w14:textId="77777777" w:rsidR="007D771C" w:rsidRPr="000E309B" w:rsidRDefault="007D771C" w:rsidP="0038111F">
            <w:r w:rsidRPr="000E309B">
              <w:t>O</w:t>
            </w:r>
            <w:r w:rsidRPr="00D63B03">
              <w:rPr>
                <w:vertAlign w:val="subscript"/>
              </w:rPr>
              <w:t>1</w:t>
            </w:r>
            <w:r w:rsidRPr="000E309B">
              <w:tab/>
              <w:t>X</w:t>
            </w:r>
          </w:p>
        </w:tc>
        <w:tc>
          <w:tcPr>
            <w:tcW w:w="1148" w:type="dxa"/>
          </w:tcPr>
          <w:p w14:paraId="08A919A7" w14:textId="77777777" w:rsidR="007D771C" w:rsidRPr="000E309B" w:rsidRDefault="007D771C" w:rsidP="0038111F">
            <w:r w:rsidRPr="000E309B">
              <w:t>O</w:t>
            </w:r>
            <w:r w:rsidRPr="00D63B03">
              <w:rPr>
                <w:vertAlign w:val="subscript"/>
              </w:rPr>
              <w:t>2</w:t>
            </w:r>
          </w:p>
        </w:tc>
        <w:tc>
          <w:tcPr>
            <w:tcW w:w="419" w:type="dxa"/>
          </w:tcPr>
          <w:p w14:paraId="5A49C27B" w14:textId="77777777" w:rsidR="007D771C" w:rsidRPr="000E309B" w:rsidRDefault="007D771C" w:rsidP="0038111F">
            <w:r w:rsidRPr="000E309B">
              <w:t>O</w:t>
            </w:r>
            <w:r w:rsidRPr="00D63B03">
              <w:rPr>
                <w:vertAlign w:val="subscript"/>
              </w:rPr>
              <w:t>3</w:t>
            </w:r>
          </w:p>
        </w:tc>
      </w:tr>
      <w:tr w:rsidR="007D771C" w:rsidRPr="000E309B" w14:paraId="4EDC78C1" w14:textId="77777777" w:rsidTr="0038111F">
        <w:trPr>
          <w:trHeight w:val="314"/>
          <w:jc w:val="center"/>
        </w:trPr>
        <w:tc>
          <w:tcPr>
            <w:tcW w:w="728" w:type="dxa"/>
          </w:tcPr>
          <w:p w14:paraId="30D59A67" w14:textId="77777777" w:rsidR="007D771C" w:rsidRPr="000E309B" w:rsidRDefault="007D771C" w:rsidP="0038111F">
            <w:r w:rsidRPr="000E309B">
              <w:t>R</w:t>
            </w:r>
          </w:p>
        </w:tc>
        <w:tc>
          <w:tcPr>
            <w:tcW w:w="1148" w:type="dxa"/>
          </w:tcPr>
          <w:p w14:paraId="0D913D0F" w14:textId="77777777" w:rsidR="007D771C" w:rsidRPr="000E309B" w:rsidRDefault="007D771C" w:rsidP="0038111F">
            <w:r w:rsidRPr="000E309B">
              <w:t>O</w:t>
            </w:r>
            <w:r w:rsidRPr="00D63B03">
              <w:rPr>
                <w:vertAlign w:val="subscript"/>
              </w:rPr>
              <w:t>4</w:t>
            </w:r>
          </w:p>
        </w:tc>
        <w:tc>
          <w:tcPr>
            <w:tcW w:w="1148" w:type="dxa"/>
          </w:tcPr>
          <w:p w14:paraId="17E0218C" w14:textId="77777777" w:rsidR="007D771C" w:rsidRPr="000E309B" w:rsidRDefault="007D771C" w:rsidP="0038111F">
            <w:r w:rsidRPr="000E309B">
              <w:t>O</w:t>
            </w:r>
            <w:r w:rsidRPr="00D63B03">
              <w:rPr>
                <w:vertAlign w:val="subscript"/>
              </w:rPr>
              <w:t>5</w:t>
            </w:r>
            <w:r w:rsidRPr="000E309B">
              <w:tab/>
              <w:t>X</w:t>
            </w:r>
          </w:p>
        </w:tc>
        <w:tc>
          <w:tcPr>
            <w:tcW w:w="419" w:type="dxa"/>
          </w:tcPr>
          <w:p w14:paraId="0C73BB13" w14:textId="77777777" w:rsidR="007D771C" w:rsidRPr="000E309B" w:rsidRDefault="007D771C" w:rsidP="0038111F">
            <w:r w:rsidRPr="000E309B">
              <w:t>O</w:t>
            </w:r>
            <w:r w:rsidRPr="00D63B03">
              <w:rPr>
                <w:vertAlign w:val="subscript"/>
              </w:rPr>
              <w:t>6</w:t>
            </w:r>
          </w:p>
        </w:tc>
      </w:tr>
    </w:tbl>
    <w:p w14:paraId="42E47990" w14:textId="77777777" w:rsidR="00A55989" w:rsidRDefault="00A55989" w:rsidP="00A55989">
      <w:pPr>
        <w:pStyle w:val="NoSpacing"/>
      </w:pPr>
    </w:p>
    <w:p w14:paraId="75502088" w14:textId="25763538" w:rsidR="005C47E4" w:rsidRDefault="005C47E4" w:rsidP="005C47E4">
      <w:r>
        <w:lastRenderedPageBreak/>
        <w:t>When deciding which hybrid design to use, consider the following factors:</w:t>
      </w:r>
    </w:p>
    <w:p w14:paraId="0A93191F" w14:textId="3150C2C8" w:rsidR="005C47E4" w:rsidRDefault="005C47E4" w:rsidP="00A55989">
      <w:pPr>
        <w:pStyle w:val="ListParagraph"/>
        <w:numPr>
          <w:ilvl w:val="0"/>
          <w:numId w:val="442"/>
        </w:numPr>
      </w:pPr>
      <w:r>
        <w:t>The nature of your research question and the variables of interest</w:t>
      </w:r>
      <w:r w:rsidR="00917457">
        <w:t>.</w:t>
      </w:r>
    </w:p>
    <w:p w14:paraId="483761AD" w14:textId="024D3F76" w:rsidR="005C47E4" w:rsidRDefault="005C47E4" w:rsidP="00A55989">
      <w:pPr>
        <w:pStyle w:val="ListParagraph"/>
        <w:numPr>
          <w:ilvl w:val="0"/>
          <w:numId w:val="442"/>
        </w:numPr>
      </w:pPr>
      <w:r>
        <w:t>The potential for pretest sensitization or other reactive effects</w:t>
      </w:r>
      <w:r w:rsidR="00917457">
        <w:t>.</w:t>
      </w:r>
    </w:p>
    <w:p w14:paraId="0FAAF228" w14:textId="68884C4F" w:rsidR="005C47E4" w:rsidRDefault="005C47E4" w:rsidP="00A55989">
      <w:pPr>
        <w:pStyle w:val="ListParagraph"/>
        <w:numPr>
          <w:ilvl w:val="0"/>
          <w:numId w:val="442"/>
        </w:numPr>
      </w:pPr>
      <w:r>
        <w:t>The feasibility of implementing the design within your specific context</w:t>
      </w:r>
      <w:r w:rsidR="00917457">
        <w:t>.</w:t>
      </w:r>
    </w:p>
    <w:p w14:paraId="2C18A6E0" w14:textId="4FE4669D" w:rsidR="005C47E4" w:rsidRDefault="005C47E4" w:rsidP="00A55989">
      <w:pPr>
        <w:pStyle w:val="ListParagraph"/>
        <w:numPr>
          <w:ilvl w:val="0"/>
          <w:numId w:val="442"/>
        </w:numPr>
      </w:pPr>
      <w:r>
        <w:t>Ethical considerations, such as the need to provide all participants with access to the treatment</w:t>
      </w:r>
      <w:r w:rsidR="00917457">
        <w:t>.</w:t>
      </w:r>
    </w:p>
    <w:p w14:paraId="48C697A5" w14:textId="084185CE" w:rsidR="005C47E4" w:rsidRDefault="005C47E4" w:rsidP="00A55989">
      <w:pPr>
        <w:pStyle w:val="ListParagraph"/>
        <w:numPr>
          <w:ilvl w:val="0"/>
          <w:numId w:val="442"/>
        </w:numPr>
      </w:pPr>
      <w:r>
        <w:t>The statistical power required to detect treatment effects, given the increased complexity of hybrid designs</w:t>
      </w:r>
      <w:r w:rsidR="00917457">
        <w:t>.</w:t>
      </w:r>
    </w:p>
    <w:p w14:paraId="179CA106" w14:textId="05B47E98" w:rsidR="006E7470" w:rsidRDefault="005C47E4" w:rsidP="005C47E4">
      <w:r>
        <w:t>By weighing these factors and consulting with experienced researchers or statisticians, you can select the hybrid design that best fits your research needs. Remember that the goal is to choose a design that maximizes internal validity while remaining practical and ethical to implement. As you become more familiar with these designs through hands-on experience, you will develop a deeper understanding of their strengths and limitations, enabling you to make increasingly informed decisions in your research endeavors.</w:t>
      </w:r>
    </w:p>
    <w:p w14:paraId="5327D63D" w14:textId="1C634C9B" w:rsidR="00A626FE" w:rsidRPr="000E309B" w:rsidRDefault="00E13E1E" w:rsidP="00E13E1E">
      <w:pPr>
        <w:pStyle w:val="Heading3"/>
      </w:pPr>
      <w:bookmarkStart w:id="138" w:name="_Toc169156759"/>
      <w:r>
        <w:t>Q</w:t>
      </w:r>
      <w:r w:rsidR="00D14B33" w:rsidRPr="000E309B">
        <w:t>uasi-</w:t>
      </w:r>
      <w:r>
        <w:t>E</w:t>
      </w:r>
      <w:r w:rsidR="00D14B33" w:rsidRPr="000E309B">
        <w:t xml:space="preserve">xperimental </w:t>
      </w:r>
      <w:r>
        <w:t>D</w:t>
      </w:r>
      <w:r w:rsidR="00D14B33" w:rsidRPr="000E309B">
        <w:t>esigns</w:t>
      </w:r>
      <w:bookmarkEnd w:id="138"/>
    </w:p>
    <w:p w14:paraId="62AE2397" w14:textId="77777777" w:rsidR="001532D7" w:rsidRDefault="001532D7" w:rsidP="001532D7">
      <w:r>
        <w:t>Quasi-experimental designs closely resemble true experimental designs but lack one crucial element: random assignment. Random assignment involves randomly allocating participants to treatment and control groups, ensuring that any differences between the groups are due to chance alone. In quasi-experimental designs, however, researchers might use pre-existing groups, such as two sections of the same class, with one serving as the treatment group and the other as the control group. This lack of random assignment can result in non-equivalent groups, where one group may have an advantage over the other. For example, if one group had a better teacher in a previous semester, they might have greater mastery of the subject matter, introducing the possibility of selection bias.</w:t>
      </w:r>
    </w:p>
    <w:p w14:paraId="63E7FDA0" w14:textId="77777777" w:rsidR="001532D7" w:rsidRDefault="001532D7" w:rsidP="001532D7">
      <w:r>
        <w:t>Imagine a study comparing two different teaching methods for a college biology course. In a true experimental design, students would be randomly assigned to either the new teaching method (treatment group) or the traditional method (control group). This random assignment helps ensure that any differences in outcomes between the two groups can be attributed to the teaching method itself. However, in a quasi-experimental design, the researcher might simply use two existing class sections, with one section receiving the new teaching method and the other receiving the traditional method. In this case, there's no guarantee that the two groups are equivalent at the start of the study, which could bias the results.</w:t>
      </w:r>
    </w:p>
    <w:p w14:paraId="6C487991" w14:textId="77777777" w:rsidR="001532D7" w:rsidRDefault="001532D7" w:rsidP="001532D7">
      <w:r>
        <w:t>Due to the presence of various selection-related threats, quasi-experimental designs are considered inferior to true experimental designs in terms of internal validity. These threats include:</w:t>
      </w:r>
    </w:p>
    <w:p w14:paraId="6B1462F3" w14:textId="77777777" w:rsidR="001532D7" w:rsidRDefault="001532D7" w:rsidP="001532D7">
      <w:pPr>
        <w:pStyle w:val="ListParagraph"/>
        <w:numPr>
          <w:ilvl w:val="0"/>
          <w:numId w:val="299"/>
        </w:numPr>
      </w:pPr>
      <w:r w:rsidRPr="00FC67A3">
        <w:rPr>
          <w:b/>
          <w:bCs/>
        </w:rPr>
        <w:t>Selection-maturation threat</w:t>
      </w:r>
      <w:r>
        <w:t>: The treatment and control groups may mature at different rates.</w:t>
      </w:r>
    </w:p>
    <w:p w14:paraId="0824F2E0" w14:textId="77777777" w:rsidR="001532D7" w:rsidRDefault="001532D7" w:rsidP="001532D7">
      <w:pPr>
        <w:pStyle w:val="ListParagraph"/>
        <w:numPr>
          <w:ilvl w:val="0"/>
          <w:numId w:val="299"/>
        </w:numPr>
      </w:pPr>
      <w:r w:rsidRPr="00FC67A3">
        <w:rPr>
          <w:b/>
          <w:bCs/>
        </w:rPr>
        <w:lastRenderedPageBreak/>
        <w:t>Selection-history threat</w:t>
      </w:r>
      <w:r>
        <w:t>: The treatment and control groups may be impacted differently by external or historical events.</w:t>
      </w:r>
    </w:p>
    <w:p w14:paraId="0C8632C0" w14:textId="77777777" w:rsidR="001532D7" w:rsidRDefault="001532D7" w:rsidP="001532D7">
      <w:pPr>
        <w:pStyle w:val="ListParagraph"/>
        <w:numPr>
          <w:ilvl w:val="0"/>
          <w:numId w:val="299"/>
        </w:numPr>
      </w:pPr>
      <w:r w:rsidRPr="00FC67A3">
        <w:rPr>
          <w:b/>
          <w:bCs/>
        </w:rPr>
        <w:t>Selection-regression threat</w:t>
      </w:r>
      <w:r>
        <w:t>: The treatment and control groups may regress toward the mean between pretest and posttest at different rates.</w:t>
      </w:r>
    </w:p>
    <w:p w14:paraId="1355AC25" w14:textId="77777777" w:rsidR="001532D7" w:rsidRDefault="001532D7" w:rsidP="001532D7">
      <w:pPr>
        <w:pStyle w:val="ListParagraph"/>
        <w:numPr>
          <w:ilvl w:val="0"/>
          <w:numId w:val="299"/>
        </w:numPr>
      </w:pPr>
      <w:r w:rsidRPr="00FC67A3">
        <w:rPr>
          <w:b/>
          <w:bCs/>
        </w:rPr>
        <w:t>Selection-instrumentation threat</w:t>
      </w:r>
      <w:r>
        <w:t>: The treatment and control groups may respond differently to the measurement.</w:t>
      </w:r>
    </w:p>
    <w:p w14:paraId="58B9CA5A" w14:textId="77777777" w:rsidR="001532D7" w:rsidRDefault="001532D7" w:rsidP="001532D7">
      <w:pPr>
        <w:pStyle w:val="ListParagraph"/>
        <w:numPr>
          <w:ilvl w:val="0"/>
          <w:numId w:val="299"/>
        </w:numPr>
      </w:pPr>
      <w:r w:rsidRPr="00FC67A3">
        <w:rPr>
          <w:b/>
          <w:bCs/>
        </w:rPr>
        <w:t>Selection-testing</w:t>
      </w:r>
      <w:r>
        <w:t>: The treatment and control groups may respond differently to the pretest.</w:t>
      </w:r>
    </w:p>
    <w:p w14:paraId="6A94C066" w14:textId="77777777" w:rsidR="001532D7" w:rsidRDefault="001532D7" w:rsidP="001532D7">
      <w:pPr>
        <w:pStyle w:val="ListParagraph"/>
        <w:numPr>
          <w:ilvl w:val="0"/>
          <w:numId w:val="299"/>
        </w:numPr>
      </w:pPr>
      <w:r w:rsidRPr="00FC67A3">
        <w:rPr>
          <w:b/>
          <w:bCs/>
        </w:rPr>
        <w:t>Selection mortality</w:t>
      </w:r>
      <w:r>
        <w:t>: The treatment and control groups may have different dropout rates.</w:t>
      </w:r>
    </w:p>
    <w:p w14:paraId="67A603DC" w14:textId="77777777" w:rsidR="001532D7" w:rsidRDefault="001532D7" w:rsidP="001532D7">
      <w:r>
        <w:t>Given these potential threats, researchers generally prefer to use true experimental designs whenever possible. However, in some cases, quasi-experimental designs may be the only feasible option, such as when random assignment is not possible due to practical or ethical constraints.</w:t>
      </w:r>
    </w:p>
    <w:p w14:paraId="7A77C390" w14:textId="5F220227" w:rsidR="001532D7" w:rsidRDefault="001532D7" w:rsidP="001532D7">
      <w:r>
        <w:t xml:space="preserve">Many true experimental designs can be adapted into quasi-experimental designs by replacing random assignment with non-random assignment. For instance, the quasi-experimental version of the pretest/posttest control group design is called the nonequivalent groups design, as shown in </w:t>
      </w:r>
      <w:r w:rsidR="00E42E02">
        <w:t>the following table</w:t>
      </w:r>
      <w:r>
        <w:t>. In this design, the random assignment (</w:t>
      </w:r>
      <w:r w:rsidRPr="00721FA3">
        <w:rPr>
          <w:i/>
          <w:iCs/>
        </w:rPr>
        <w:t>R</w:t>
      </w:r>
      <w:r>
        <w:t>) is replaced by non-equivalent (non-random) assignment (</w:t>
      </w:r>
      <w:r w:rsidRPr="00721FA3">
        <w:rPr>
          <w:i/>
          <w:iCs/>
        </w:rPr>
        <w:t>N</w:t>
      </w:r>
      <w:r>
        <w:t>).</w:t>
      </w:r>
    </w:p>
    <w:tbl>
      <w:tblPr>
        <w:tblStyle w:val="ListTable1Light-Accent3"/>
        <w:tblW w:w="4342" w:type="dxa"/>
        <w:jc w:val="center"/>
        <w:tblBorders>
          <w:top w:val="single" w:sz="4" w:space="0" w:color="auto"/>
          <w:bottom w:val="single" w:sz="4" w:space="0" w:color="auto"/>
        </w:tblBorders>
        <w:tblLook w:val="0400" w:firstRow="0" w:lastRow="0" w:firstColumn="0" w:lastColumn="0" w:noHBand="0" w:noVBand="1"/>
      </w:tblPr>
      <w:tblGrid>
        <w:gridCol w:w="728"/>
        <w:gridCol w:w="574"/>
        <w:gridCol w:w="574"/>
        <w:gridCol w:w="539"/>
        <w:gridCol w:w="1927"/>
      </w:tblGrid>
      <w:tr w:rsidR="00E42E02" w:rsidRPr="000E309B" w14:paraId="32A056FC" w14:textId="77777777" w:rsidTr="00CC2BC7">
        <w:trPr>
          <w:cnfStyle w:val="000000100000" w:firstRow="0" w:lastRow="0" w:firstColumn="0" w:lastColumn="0" w:oddVBand="0" w:evenVBand="0" w:oddHBand="1" w:evenHBand="0" w:firstRowFirstColumn="0" w:firstRowLastColumn="0" w:lastRowFirstColumn="0" w:lastRowLastColumn="0"/>
          <w:trHeight w:val="315"/>
          <w:jc w:val="center"/>
        </w:trPr>
        <w:tc>
          <w:tcPr>
            <w:tcW w:w="728" w:type="dxa"/>
          </w:tcPr>
          <w:p w14:paraId="672D28FD" w14:textId="77777777" w:rsidR="00E42E02" w:rsidRPr="000E309B" w:rsidRDefault="00E42E02" w:rsidP="00CC2BC7">
            <w:r w:rsidRPr="000E309B">
              <w:t>N</w:t>
            </w:r>
          </w:p>
        </w:tc>
        <w:tc>
          <w:tcPr>
            <w:tcW w:w="574" w:type="dxa"/>
          </w:tcPr>
          <w:p w14:paraId="4A8A5AE2" w14:textId="77777777" w:rsidR="00E42E02" w:rsidRPr="000E309B" w:rsidRDefault="00E42E02" w:rsidP="00CC2BC7">
            <w:r w:rsidRPr="000E309B">
              <w:t>O</w:t>
            </w:r>
            <w:r w:rsidRPr="00FF2574">
              <w:rPr>
                <w:vertAlign w:val="subscript"/>
              </w:rPr>
              <w:t>1</w:t>
            </w:r>
            <w:r w:rsidRPr="000E309B">
              <w:t xml:space="preserve"> </w:t>
            </w:r>
          </w:p>
        </w:tc>
        <w:tc>
          <w:tcPr>
            <w:tcW w:w="574" w:type="dxa"/>
          </w:tcPr>
          <w:p w14:paraId="38CD7C4C" w14:textId="77777777" w:rsidR="00E42E02" w:rsidRPr="000E309B" w:rsidRDefault="00E42E02" w:rsidP="00CC2BC7">
            <w:r>
              <w:t>X</w:t>
            </w:r>
          </w:p>
        </w:tc>
        <w:tc>
          <w:tcPr>
            <w:tcW w:w="539" w:type="dxa"/>
          </w:tcPr>
          <w:p w14:paraId="3E26548A" w14:textId="77777777" w:rsidR="00E42E02" w:rsidRPr="000E309B" w:rsidRDefault="00E42E02" w:rsidP="00CC2BC7">
            <w:r w:rsidRPr="000E309B">
              <w:t>O</w:t>
            </w:r>
            <w:r w:rsidRPr="00FF2574">
              <w:rPr>
                <w:vertAlign w:val="subscript"/>
              </w:rPr>
              <w:t>2</w:t>
            </w:r>
          </w:p>
        </w:tc>
        <w:tc>
          <w:tcPr>
            <w:tcW w:w="1927" w:type="dxa"/>
          </w:tcPr>
          <w:p w14:paraId="5F85FF4F" w14:textId="77777777" w:rsidR="00E42E02" w:rsidRPr="000E309B" w:rsidRDefault="00E42E02" w:rsidP="00CC2BC7">
            <w:r w:rsidRPr="000E309B">
              <w:t>Treatment Group</w:t>
            </w:r>
          </w:p>
        </w:tc>
      </w:tr>
      <w:tr w:rsidR="00E42E02" w:rsidRPr="000E309B" w14:paraId="5DCAB7B2" w14:textId="77777777" w:rsidTr="00CC2BC7">
        <w:trPr>
          <w:trHeight w:val="314"/>
          <w:jc w:val="center"/>
        </w:trPr>
        <w:tc>
          <w:tcPr>
            <w:tcW w:w="728" w:type="dxa"/>
          </w:tcPr>
          <w:p w14:paraId="4C35E0DB" w14:textId="77777777" w:rsidR="00E42E02" w:rsidRPr="000E309B" w:rsidRDefault="00E42E02" w:rsidP="00CC2BC7">
            <w:r w:rsidRPr="000E309B">
              <w:t>N</w:t>
            </w:r>
          </w:p>
        </w:tc>
        <w:tc>
          <w:tcPr>
            <w:tcW w:w="574" w:type="dxa"/>
          </w:tcPr>
          <w:p w14:paraId="4A000D32" w14:textId="77777777" w:rsidR="00E42E02" w:rsidRPr="000E309B" w:rsidRDefault="00E42E02" w:rsidP="00CC2BC7">
            <w:r>
              <w:t>O</w:t>
            </w:r>
            <w:r w:rsidRPr="00FF2574">
              <w:rPr>
                <w:vertAlign w:val="subscript"/>
              </w:rPr>
              <w:t>3</w:t>
            </w:r>
          </w:p>
        </w:tc>
        <w:tc>
          <w:tcPr>
            <w:tcW w:w="574" w:type="dxa"/>
          </w:tcPr>
          <w:p w14:paraId="7F07169F" w14:textId="77777777" w:rsidR="00E42E02" w:rsidRPr="000E309B" w:rsidRDefault="00E42E02" w:rsidP="00CC2BC7"/>
        </w:tc>
        <w:tc>
          <w:tcPr>
            <w:tcW w:w="539" w:type="dxa"/>
          </w:tcPr>
          <w:p w14:paraId="4DFBBB56" w14:textId="77777777" w:rsidR="00E42E02" w:rsidRPr="000E309B" w:rsidRDefault="00E42E02" w:rsidP="00CC2BC7">
            <w:r w:rsidRPr="000E309B">
              <w:t>O</w:t>
            </w:r>
            <w:r w:rsidRPr="00FF2574">
              <w:rPr>
                <w:vertAlign w:val="subscript"/>
              </w:rPr>
              <w:t>4</w:t>
            </w:r>
          </w:p>
        </w:tc>
        <w:tc>
          <w:tcPr>
            <w:tcW w:w="1927" w:type="dxa"/>
          </w:tcPr>
          <w:p w14:paraId="4D4EA988" w14:textId="77777777" w:rsidR="00E42E02" w:rsidRPr="000E309B" w:rsidRDefault="00E42E02" w:rsidP="00CC2BC7">
            <w:r w:rsidRPr="000E309B">
              <w:t>Control Group</w:t>
            </w:r>
          </w:p>
        </w:tc>
      </w:tr>
    </w:tbl>
    <w:p w14:paraId="5627D978" w14:textId="77777777" w:rsidR="00721FA3" w:rsidRDefault="00721FA3" w:rsidP="00721FA3">
      <w:pPr>
        <w:pStyle w:val="NoSpacing"/>
      </w:pPr>
    </w:p>
    <w:p w14:paraId="289ED904" w14:textId="67B2EC80" w:rsidR="001532D7" w:rsidRDefault="001532D7" w:rsidP="001532D7">
      <w:r>
        <w:t xml:space="preserve">Similarly, the quasi-experimental counterpart to the switched replication design is the nonequivalent switched replication design, as illustrated in </w:t>
      </w:r>
      <w:r w:rsidR="00D30FF6">
        <w:t>the following table</w:t>
      </w:r>
      <w:r>
        <w:t>. This design also uses non-random assignment (</w:t>
      </w:r>
      <w:r w:rsidRPr="00721FA3">
        <w:rPr>
          <w:i/>
          <w:iCs/>
        </w:rPr>
        <w:t>N</w:t>
      </w:r>
      <w:r>
        <w:t>) instead of random assignment.</w:t>
      </w:r>
    </w:p>
    <w:tbl>
      <w:tblPr>
        <w:tblStyle w:val="ListTable1Light-Accent3"/>
        <w:tblW w:w="3443" w:type="dxa"/>
        <w:jc w:val="center"/>
        <w:tblBorders>
          <w:top w:val="single" w:sz="4" w:space="0" w:color="auto"/>
          <w:bottom w:val="single" w:sz="4" w:space="0" w:color="auto"/>
        </w:tblBorders>
        <w:tblLook w:val="0400" w:firstRow="0" w:lastRow="0" w:firstColumn="0" w:lastColumn="0" w:noHBand="0" w:noVBand="1"/>
      </w:tblPr>
      <w:tblGrid>
        <w:gridCol w:w="709"/>
        <w:gridCol w:w="565"/>
        <w:gridCol w:w="565"/>
        <w:gridCol w:w="565"/>
        <w:gridCol w:w="565"/>
        <w:gridCol w:w="474"/>
      </w:tblGrid>
      <w:tr w:rsidR="00D30FF6" w:rsidRPr="000E309B" w14:paraId="6DF18215" w14:textId="77777777" w:rsidTr="00CC2BC7">
        <w:trPr>
          <w:cnfStyle w:val="000000100000" w:firstRow="0" w:lastRow="0" w:firstColumn="0" w:lastColumn="0" w:oddVBand="0" w:evenVBand="0" w:oddHBand="1" w:evenHBand="0" w:firstRowFirstColumn="0" w:firstRowLastColumn="0" w:lastRowFirstColumn="0" w:lastRowLastColumn="0"/>
          <w:trHeight w:val="315"/>
          <w:jc w:val="center"/>
        </w:trPr>
        <w:tc>
          <w:tcPr>
            <w:tcW w:w="709" w:type="dxa"/>
          </w:tcPr>
          <w:p w14:paraId="234FE91F" w14:textId="77777777" w:rsidR="00D30FF6" w:rsidRPr="000E309B" w:rsidRDefault="00D30FF6" w:rsidP="00CC2BC7">
            <w:r w:rsidRPr="000E309B">
              <w:t>N</w:t>
            </w:r>
          </w:p>
        </w:tc>
        <w:tc>
          <w:tcPr>
            <w:tcW w:w="565" w:type="dxa"/>
          </w:tcPr>
          <w:p w14:paraId="4BAF1C15" w14:textId="77777777" w:rsidR="00D30FF6" w:rsidRPr="000E309B" w:rsidRDefault="00D30FF6" w:rsidP="00CC2BC7">
            <w:r w:rsidRPr="000E309B">
              <w:t>O</w:t>
            </w:r>
            <w:r w:rsidRPr="00283572">
              <w:rPr>
                <w:vertAlign w:val="subscript"/>
              </w:rPr>
              <w:t>1</w:t>
            </w:r>
          </w:p>
        </w:tc>
        <w:tc>
          <w:tcPr>
            <w:tcW w:w="565" w:type="dxa"/>
          </w:tcPr>
          <w:p w14:paraId="17D538F5" w14:textId="77777777" w:rsidR="00D30FF6" w:rsidRPr="000E309B" w:rsidRDefault="00D30FF6" w:rsidP="00CC2BC7">
            <w:r>
              <w:t>X</w:t>
            </w:r>
          </w:p>
        </w:tc>
        <w:tc>
          <w:tcPr>
            <w:tcW w:w="565" w:type="dxa"/>
          </w:tcPr>
          <w:p w14:paraId="69F6D4FC" w14:textId="77777777" w:rsidR="00D30FF6" w:rsidRPr="000E309B" w:rsidRDefault="00D30FF6" w:rsidP="00CC2BC7">
            <w:r w:rsidRPr="000E309B">
              <w:t>O</w:t>
            </w:r>
            <w:r w:rsidRPr="00283572">
              <w:rPr>
                <w:vertAlign w:val="subscript"/>
              </w:rPr>
              <w:t>2</w:t>
            </w:r>
          </w:p>
        </w:tc>
        <w:tc>
          <w:tcPr>
            <w:tcW w:w="565" w:type="dxa"/>
          </w:tcPr>
          <w:p w14:paraId="3D55BA6A" w14:textId="77777777" w:rsidR="00D30FF6" w:rsidRPr="000E309B" w:rsidRDefault="00D30FF6" w:rsidP="00CC2BC7"/>
        </w:tc>
        <w:tc>
          <w:tcPr>
            <w:tcW w:w="474" w:type="dxa"/>
          </w:tcPr>
          <w:p w14:paraId="1CDD3972" w14:textId="77777777" w:rsidR="00D30FF6" w:rsidRPr="000E309B" w:rsidRDefault="00D30FF6" w:rsidP="00CC2BC7">
            <w:r w:rsidRPr="000E309B">
              <w:t>O</w:t>
            </w:r>
            <w:r w:rsidRPr="00283572">
              <w:rPr>
                <w:vertAlign w:val="subscript"/>
              </w:rPr>
              <w:t>3</w:t>
            </w:r>
          </w:p>
        </w:tc>
      </w:tr>
      <w:tr w:rsidR="00D30FF6" w:rsidRPr="000E309B" w14:paraId="5D6BD705" w14:textId="77777777" w:rsidTr="00CC2BC7">
        <w:trPr>
          <w:trHeight w:val="314"/>
          <w:jc w:val="center"/>
        </w:trPr>
        <w:tc>
          <w:tcPr>
            <w:tcW w:w="709" w:type="dxa"/>
          </w:tcPr>
          <w:p w14:paraId="65185E41" w14:textId="77777777" w:rsidR="00D30FF6" w:rsidRPr="000E309B" w:rsidRDefault="00D30FF6" w:rsidP="00CC2BC7">
            <w:r w:rsidRPr="000E309B">
              <w:t>N</w:t>
            </w:r>
          </w:p>
        </w:tc>
        <w:tc>
          <w:tcPr>
            <w:tcW w:w="565" w:type="dxa"/>
          </w:tcPr>
          <w:p w14:paraId="72E4E2EA" w14:textId="77777777" w:rsidR="00D30FF6" w:rsidRPr="000E309B" w:rsidRDefault="00D30FF6" w:rsidP="00CC2BC7">
            <w:r w:rsidRPr="000E309B">
              <w:t>O</w:t>
            </w:r>
            <w:r w:rsidRPr="00283572">
              <w:rPr>
                <w:vertAlign w:val="subscript"/>
              </w:rPr>
              <w:t>4</w:t>
            </w:r>
          </w:p>
        </w:tc>
        <w:tc>
          <w:tcPr>
            <w:tcW w:w="565" w:type="dxa"/>
          </w:tcPr>
          <w:p w14:paraId="51E21C26" w14:textId="77777777" w:rsidR="00D30FF6" w:rsidRPr="000E309B" w:rsidRDefault="00D30FF6" w:rsidP="00CC2BC7"/>
        </w:tc>
        <w:tc>
          <w:tcPr>
            <w:tcW w:w="565" w:type="dxa"/>
          </w:tcPr>
          <w:p w14:paraId="6A5EC26E" w14:textId="77777777" w:rsidR="00D30FF6" w:rsidRPr="000E309B" w:rsidRDefault="00D30FF6" w:rsidP="00CC2BC7">
            <w:r w:rsidRPr="000E309B">
              <w:t>O</w:t>
            </w:r>
            <w:r w:rsidRPr="00283572">
              <w:rPr>
                <w:vertAlign w:val="subscript"/>
              </w:rPr>
              <w:t>5</w:t>
            </w:r>
          </w:p>
        </w:tc>
        <w:tc>
          <w:tcPr>
            <w:tcW w:w="565" w:type="dxa"/>
          </w:tcPr>
          <w:p w14:paraId="5055F3FD" w14:textId="77777777" w:rsidR="00D30FF6" w:rsidRPr="000E309B" w:rsidRDefault="00D30FF6" w:rsidP="00CC2BC7">
            <w:r>
              <w:t>X</w:t>
            </w:r>
          </w:p>
        </w:tc>
        <w:tc>
          <w:tcPr>
            <w:tcW w:w="474" w:type="dxa"/>
          </w:tcPr>
          <w:p w14:paraId="0C7E1EAF" w14:textId="77777777" w:rsidR="00D30FF6" w:rsidRPr="000E309B" w:rsidRDefault="00D30FF6" w:rsidP="00CC2BC7">
            <w:r w:rsidRPr="000E309B">
              <w:t>O</w:t>
            </w:r>
            <w:r w:rsidRPr="00283572">
              <w:rPr>
                <w:vertAlign w:val="subscript"/>
              </w:rPr>
              <w:t>6</w:t>
            </w:r>
          </w:p>
        </w:tc>
      </w:tr>
    </w:tbl>
    <w:p w14:paraId="04F641CC" w14:textId="77777777" w:rsidR="007669CB" w:rsidRDefault="007669CB" w:rsidP="007669CB">
      <w:pPr>
        <w:pStyle w:val="NoSpacing"/>
      </w:pPr>
    </w:p>
    <w:p w14:paraId="435B323F" w14:textId="7A7210AA" w:rsidR="008463BF" w:rsidRDefault="001532D7" w:rsidP="001532D7">
      <w:r>
        <w:t>In addition to these adapted designs, there are several unique quasi-experimental designs that do not have corresponding true experimental designs. These designs, which will be discussed in more detail</w:t>
      </w:r>
      <w:r w:rsidR="00974781">
        <w:t xml:space="preserve"> below</w:t>
      </w:r>
      <w:r>
        <w:t>, offer researchers alternative options when random assignment is not feasible, while still aiming to minimize the impact of selection-related threats on the study's internal validity.</w:t>
      </w:r>
    </w:p>
    <w:p w14:paraId="5EFC5040" w14:textId="5632BB4A" w:rsidR="00186992" w:rsidRDefault="00186992" w:rsidP="00334A64">
      <w:pPr>
        <w:pStyle w:val="Heading4"/>
      </w:pPr>
      <w:r>
        <w:t>R</w:t>
      </w:r>
      <w:r w:rsidR="00D14B33" w:rsidRPr="000E309B">
        <w:t xml:space="preserve">egression-discontinuity </w:t>
      </w:r>
    </w:p>
    <w:p w14:paraId="75B53F67" w14:textId="77777777" w:rsidR="00EE79D3" w:rsidRDefault="00EE79D3" w:rsidP="00EE79D3">
      <w:r>
        <w:t>Regression-discontinuity is a quasi-experimental design that uses a pretest/posttest structure with non-equivalent groups. In this design, participants are assigned to either the treatment or control group based on a cutoff score on a pre-program measure, rather than through random assignment.</w:t>
      </w:r>
    </w:p>
    <w:p w14:paraId="66B3874D" w14:textId="77777777" w:rsidR="00EE79D3" w:rsidRDefault="00EE79D3" w:rsidP="00EE79D3">
      <w:r>
        <w:t>To illustrate this concept, consider two examples:</w:t>
      </w:r>
    </w:p>
    <w:p w14:paraId="7DBAD549" w14:textId="77777777" w:rsidR="00EE79D3" w:rsidRDefault="00EE79D3" w:rsidP="00EE79D3">
      <w:pPr>
        <w:pStyle w:val="ListParagraph"/>
        <w:numPr>
          <w:ilvl w:val="0"/>
          <w:numId w:val="300"/>
        </w:numPr>
      </w:pPr>
      <w:r>
        <w:lastRenderedPageBreak/>
        <w:t>In a medical study testing the efficacy of a new drug or treatment protocol, severely ill patients may be assigned to the treatment group, while mildly ill patients are assigned to the control group.</w:t>
      </w:r>
    </w:p>
    <w:p w14:paraId="03953FD1" w14:textId="77777777" w:rsidR="00EE79D3" w:rsidRDefault="00EE79D3" w:rsidP="00EE79D3">
      <w:pPr>
        <w:pStyle w:val="ListParagraph"/>
        <w:numPr>
          <w:ilvl w:val="0"/>
          <w:numId w:val="300"/>
        </w:numPr>
      </w:pPr>
      <w:r>
        <w:t>In an educational context, students who perform poorly on standardized tests may be selected for a remedial curriculum program to improve their performance, while high-scoring students are not selected for the program.</w:t>
      </w:r>
    </w:p>
    <w:p w14:paraId="0FBDF6CB" w14:textId="4E6A3B09" w:rsidR="00EE79D3" w:rsidRDefault="00EE79D3" w:rsidP="00EE79D3">
      <w:r>
        <w:t xml:space="preserve">The design notation for the regression-discontinuity design is shown in </w:t>
      </w:r>
      <w:r w:rsidR="000448FB">
        <w:t>the following table</w:t>
      </w:r>
      <w:r>
        <w:t xml:space="preserve">, where </w:t>
      </w:r>
      <w:r w:rsidRPr="00B2532E">
        <w:rPr>
          <w:i/>
          <w:iCs/>
        </w:rPr>
        <w:t>C</w:t>
      </w:r>
      <w:r>
        <w:t xml:space="preserve"> represents the cutoff score, </w:t>
      </w:r>
      <w:r w:rsidRPr="00B2532E">
        <w:rPr>
          <w:i/>
          <w:iCs/>
        </w:rPr>
        <w:t>O</w:t>
      </w:r>
      <w:r>
        <w:t xml:space="preserve"> represents the observations (pretest and posttest), and </w:t>
      </w:r>
      <w:r w:rsidRPr="00B2532E">
        <w:rPr>
          <w:i/>
          <w:iCs/>
        </w:rPr>
        <w:t>X</w:t>
      </w:r>
      <w:r>
        <w:t xml:space="preserve"> represents the treatment.</w:t>
      </w:r>
    </w:p>
    <w:tbl>
      <w:tblPr>
        <w:tblStyle w:val="ListTable1Light-Accent3"/>
        <w:tblW w:w="4342" w:type="dxa"/>
        <w:jc w:val="center"/>
        <w:tblBorders>
          <w:top w:val="single" w:sz="4" w:space="0" w:color="auto"/>
          <w:bottom w:val="single" w:sz="4" w:space="0" w:color="auto"/>
          <w:insideH w:val="single" w:sz="4" w:space="0" w:color="7EB1E6" w:themeColor="accent3" w:themeTint="99"/>
        </w:tblBorders>
        <w:tblLook w:val="0400" w:firstRow="0" w:lastRow="0" w:firstColumn="0" w:lastColumn="0" w:noHBand="0" w:noVBand="1"/>
      </w:tblPr>
      <w:tblGrid>
        <w:gridCol w:w="728"/>
        <w:gridCol w:w="574"/>
        <w:gridCol w:w="574"/>
        <w:gridCol w:w="539"/>
        <w:gridCol w:w="1927"/>
      </w:tblGrid>
      <w:tr w:rsidR="00654476" w:rsidRPr="000E309B" w14:paraId="704511DA" w14:textId="77777777" w:rsidTr="00CC2BC7">
        <w:trPr>
          <w:cnfStyle w:val="000000100000" w:firstRow="0" w:lastRow="0" w:firstColumn="0" w:lastColumn="0" w:oddVBand="0" w:evenVBand="0" w:oddHBand="1" w:evenHBand="0" w:firstRowFirstColumn="0" w:firstRowLastColumn="0" w:lastRowFirstColumn="0" w:lastRowLastColumn="0"/>
          <w:trHeight w:val="315"/>
          <w:jc w:val="center"/>
        </w:trPr>
        <w:tc>
          <w:tcPr>
            <w:tcW w:w="728" w:type="dxa"/>
          </w:tcPr>
          <w:p w14:paraId="34A7A77A" w14:textId="77777777" w:rsidR="00654476" w:rsidRPr="000E309B" w:rsidRDefault="00654476" w:rsidP="00CC2BC7">
            <w:r w:rsidRPr="000E309B">
              <w:t>C</w:t>
            </w:r>
          </w:p>
        </w:tc>
        <w:tc>
          <w:tcPr>
            <w:tcW w:w="574" w:type="dxa"/>
          </w:tcPr>
          <w:p w14:paraId="1ED0B1E3" w14:textId="77777777" w:rsidR="00654476" w:rsidRPr="000E309B" w:rsidRDefault="00654476" w:rsidP="00CC2BC7">
            <w:r w:rsidRPr="000E309B">
              <w:t>O</w:t>
            </w:r>
            <w:r w:rsidRPr="00467403">
              <w:rPr>
                <w:vertAlign w:val="subscript"/>
              </w:rPr>
              <w:t>1</w:t>
            </w:r>
            <w:r w:rsidRPr="000E309B">
              <w:t xml:space="preserve"> </w:t>
            </w:r>
          </w:p>
        </w:tc>
        <w:tc>
          <w:tcPr>
            <w:tcW w:w="574" w:type="dxa"/>
          </w:tcPr>
          <w:p w14:paraId="47451EA4" w14:textId="77777777" w:rsidR="00654476" w:rsidRPr="000E309B" w:rsidRDefault="00654476" w:rsidP="00CC2BC7">
            <w:r>
              <w:t>X</w:t>
            </w:r>
          </w:p>
        </w:tc>
        <w:tc>
          <w:tcPr>
            <w:tcW w:w="539" w:type="dxa"/>
          </w:tcPr>
          <w:p w14:paraId="41B556DD" w14:textId="77777777" w:rsidR="00654476" w:rsidRPr="000E309B" w:rsidRDefault="00654476" w:rsidP="00CC2BC7">
            <w:r w:rsidRPr="000E309B">
              <w:t>O</w:t>
            </w:r>
            <w:r w:rsidRPr="00467403">
              <w:rPr>
                <w:vertAlign w:val="subscript"/>
              </w:rPr>
              <w:t>2</w:t>
            </w:r>
          </w:p>
        </w:tc>
        <w:tc>
          <w:tcPr>
            <w:tcW w:w="1927" w:type="dxa"/>
          </w:tcPr>
          <w:p w14:paraId="64D23B98" w14:textId="77777777" w:rsidR="00654476" w:rsidRPr="000E309B" w:rsidRDefault="00654476" w:rsidP="00CC2BC7">
            <w:r w:rsidRPr="000E309B">
              <w:t>Treatment Group</w:t>
            </w:r>
          </w:p>
        </w:tc>
      </w:tr>
      <w:tr w:rsidR="00654476" w:rsidRPr="000E309B" w14:paraId="229C7C28" w14:textId="77777777" w:rsidTr="00CC2BC7">
        <w:trPr>
          <w:trHeight w:val="314"/>
          <w:jc w:val="center"/>
        </w:trPr>
        <w:tc>
          <w:tcPr>
            <w:tcW w:w="728" w:type="dxa"/>
          </w:tcPr>
          <w:p w14:paraId="24CADE05" w14:textId="77777777" w:rsidR="00654476" w:rsidRPr="000E309B" w:rsidRDefault="00654476" w:rsidP="00CC2BC7">
            <w:r w:rsidRPr="000E309B">
              <w:t>C</w:t>
            </w:r>
          </w:p>
        </w:tc>
        <w:tc>
          <w:tcPr>
            <w:tcW w:w="574" w:type="dxa"/>
          </w:tcPr>
          <w:p w14:paraId="15B4292E" w14:textId="77777777" w:rsidR="00654476" w:rsidRPr="000E309B" w:rsidRDefault="00654476" w:rsidP="00CC2BC7">
            <w:r w:rsidRPr="000E309B">
              <w:t>O</w:t>
            </w:r>
            <w:r w:rsidRPr="00467403">
              <w:rPr>
                <w:vertAlign w:val="subscript"/>
              </w:rPr>
              <w:t>3</w:t>
            </w:r>
          </w:p>
        </w:tc>
        <w:tc>
          <w:tcPr>
            <w:tcW w:w="574" w:type="dxa"/>
          </w:tcPr>
          <w:p w14:paraId="3B9C8880" w14:textId="77777777" w:rsidR="00654476" w:rsidRPr="000E309B" w:rsidRDefault="00654476" w:rsidP="00CC2BC7"/>
        </w:tc>
        <w:tc>
          <w:tcPr>
            <w:tcW w:w="539" w:type="dxa"/>
          </w:tcPr>
          <w:p w14:paraId="7F2D7894" w14:textId="77777777" w:rsidR="00654476" w:rsidRPr="000E309B" w:rsidRDefault="00654476" w:rsidP="00CC2BC7">
            <w:r w:rsidRPr="000E309B">
              <w:t>O</w:t>
            </w:r>
            <w:r w:rsidRPr="00467403">
              <w:rPr>
                <w:vertAlign w:val="subscript"/>
              </w:rPr>
              <w:t>4</w:t>
            </w:r>
          </w:p>
        </w:tc>
        <w:tc>
          <w:tcPr>
            <w:tcW w:w="1927" w:type="dxa"/>
          </w:tcPr>
          <w:p w14:paraId="0E77BD0E" w14:textId="77777777" w:rsidR="00654476" w:rsidRPr="000E309B" w:rsidRDefault="00654476" w:rsidP="00CC2BC7">
            <w:r w:rsidRPr="000E309B">
              <w:t>Control Group</w:t>
            </w:r>
          </w:p>
        </w:tc>
      </w:tr>
    </w:tbl>
    <w:p w14:paraId="47FD844E" w14:textId="77777777" w:rsidR="00B2532E" w:rsidRDefault="00B2532E" w:rsidP="00B2532E">
      <w:pPr>
        <w:pStyle w:val="NoSpacing"/>
      </w:pPr>
    </w:p>
    <w:p w14:paraId="032C7BC2" w14:textId="623936F0" w:rsidR="00EE79D3" w:rsidRDefault="00EE79D3" w:rsidP="00EE79D3">
      <w:r>
        <w:t xml:space="preserve">The use of a cutoff score in this design ensures that limited or costly resources are distributed to those who need them most, rather than randomly across a population. This targeted approach allows for </w:t>
      </w:r>
      <w:r w:rsidR="000448FB">
        <w:t>quasi</w:t>
      </w:r>
      <w:r>
        <w:t>-experimental treatment while prioritizing those with the greatest need. However, the reliance on a cutoff score introduces a new threat to internal validity, as the observed results may be a function of the cutoff score itself rather than the treatment.</w:t>
      </w:r>
    </w:p>
    <w:p w14:paraId="43E202A3" w14:textId="032EAC6D" w:rsidR="00EE79D3" w:rsidRDefault="00EE79D3" w:rsidP="00EE79D3">
      <w:r>
        <w:t xml:space="preserve">In the regression-discontinuity design, the control group scores do not serve as a direct benchmark for comparing treatment group scores due to the systematic non-equivalence between the two groups. Instead, researchers look for evidence of the </w:t>
      </w:r>
      <w:r w:rsidR="000448FB">
        <w:t>treatment’s</w:t>
      </w:r>
      <w:r>
        <w:t xml:space="preserve"> effect by examining any discontinuity between pretest and posttest scores. If there is no discontinuity in the control group but a discontinuity is present in the treatment group, it suggests that the treatment had an effect.</w:t>
      </w:r>
    </w:p>
    <w:p w14:paraId="26B80042" w14:textId="77777777" w:rsidR="00EE79D3" w:rsidRDefault="00EE79D3" w:rsidP="00EE79D3">
      <w:r>
        <w:t>When planning a study using the regression-discontinuity design, researchers should account for the lack of random assignment by increasing the sample size. As a rule of thumb, the regression-discontinuity design requires approximately 2.75 times as many participants as a comparable study using random assignment. For example, if a researcher determines that 100 participants are needed for an experiment using random assignment, they should aim to recruit 275 participants for a regression-discontinuity design experiment.</w:t>
      </w:r>
    </w:p>
    <w:p w14:paraId="0F905CA3" w14:textId="77777777" w:rsidR="00EE79D3" w:rsidRDefault="00EE79D3" w:rsidP="00EE79D3">
      <w:r>
        <w:t>One advantage of the regression-discontinuity design is that it mitigates some of the ethical concerns associated with random-assignment experimental designs. Since researchers can determine which participants receive the treatment based on their pre-program scores, those who need the treatment most are placed in the treatment group, while those who do not demonstrate the same level of need are assigned to the control group. This ensures that the treatment is provided to those who are most likely to benefit from it.</w:t>
      </w:r>
    </w:p>
    <w:p w14:paraId="4B5DF771" w14:textId="105573BD" w:rsidR="005D4557" w:rsidRDefault="005D4557" w:rsidP="005D4557">
      <w:pPr>
        <w:pStyle w:val="Heading4"/>
      </w:pPr>
      <w:r>
        <w:t>P</w:t>
      </w:r>
      <w:r w:rsidR="00D14B33" w:rsidRPr="000E309B">
        <w:t xml:space="preserve">roxy </w:t>
      </w:r>
      <w:r>
        <w:t>P</w:t>
      </w:r>
      <w:r w:rsidR="00D14B33" w:rsidRPr="000E309B">
        <w:t>retest</w:t>
      </w:r>
    </w:p>
    <w:p w14:paraId="7770CB24" w14:textId="77777777" w:rsidR="00CE724C" w:rsidRDefault="00CE724C" w:rsidP="00CE724C">
      <w:r>
        <w:t xml:space="preserve">The proxy pretest design is a quasi-experimental design that closely resembles the nonequivalent groups (pretest/posttest) design, with one crucial difference: the pretest score is collected after </w:t>
      </w:r>
      <w:r>
        <w:lastRenderedPageBreak/>
        <w:t>the treatment has already been administered. This design is particularly useful when a researcher is brought in to evaluate the effectiveness of a program that has already begun, and pretest data is not available.</w:t>
      </w:r>
    </w:p>
    <w:p w14:paraId="2EAB6A79" w14:textId="77777777" w:rsidR="00CE724C" w:rsidRDefault="00CE724C" w:rsidP="00CE724C">
      <w:r>
        <w:t>Consider a scenario where a researcher is asked to assess the efficacy of an educational program that has been implemented in a school. The program has already started, and the researcher does not have access to pretest data on the students' performance before the program began. In this situation, the researcher can employ the proxy pretest design.</w:t>
      </w:r>
    </w:p>
    <w:p w14:paraId="548FC36A" w14:textId="77777777" w:rsidR="00CE724C" w:rsidRDefault="00CE724C" w:rsidP="00CE724C">
      <w:r>
        <w:t>Instead of using a traditional pretest score, the researcher can utilize a different prerecorded measure that serves as a proxy for the pretest data. For example, the researcher could use the students' grade point averages (GPAs) from the previous semester, before the start of the educational program, as a substitute for the pretest scores. This proxy measure allows the researcher to estimate the students' baseline performance and compare it to their post-program performance.</w:t>
      </w:r>
    </w:p>
    <w:p w14:paraId="3C104891" w14:textId="36883A79" w:rsidR="00CE724C" w:rsidRDefault="00CE724C" w:rsidP="00CE724C">
      <w:r>
        <w:t xml:space="preserve">The design notation for the proxy pretest design is shown in </w:t>
      </w:r>
      <w:r w:rsidR="00771FE2">
        <w:t>the following table</w:t>
      </w:r>
      <w:r>
        <w:t xml:space="preserve">, where </w:t>
      </w:r>
      <w:r w:rsidRPr="001851ED">
        <w:rPr>
          <w:i/>
          <w:iCs/>
        </w:rPr>
        <w:t>N</w:t>
      </w:r>
      <w:r>
        <w:t xml:space="preserve"> represents the non-random assignment of participants to the treatment and control groups, </w:t>
      </w:r>
      <w:r w:rsidRPr="001851ED">
        <w:rPr>
          <w:i/>
          <w:iCs/>
        </w:rPr>
        <w:t>O</w:t>
      </w:r>
      <w:r>
        <w:t xml:space="preserve"> represents the observations (proxy pretest and posttest), and </w:t>
      </w:r>
      <w:r w:rsidRPr="001851ED">
        <w:rPr>
          <w:i/>
          <w:iCs/>
        </w:rPr>
        <w:t>X</w:t>
      </w:r>
      <w:r>
        <w:t xml:space="preserve"> represents the treatment.</w:t>
      </w:r>
    </w:p>
    <w:tbl>
      <w:tblPr>
        <w:tblStyle w:val="ListTable1Light-Accent3"/>
        <w:tblW w:w="4342" w:type="dxa"/>
        <w:jc w:val="center"/>
        <w:tblBorders>
          <w:top w:val="single" w:sz="4" w:space="0" w:color="auto"/>
          <w:bottom w:val="single" w:sz="4" w:space="0" w:color="auto"/>
        </w:tblBorders>
        <w:tblLook w:val="0400" w:firstRow="0" w:lastRow="0" w:firstColumn="0" w:lastColumn="0" w:noHBand="0" w:noVBand="1"/>
      </w:tblPr>
      <w:tblGrid>
        <w:gridCol w:w="728"/>
        <w:gridCol w:w="574"/>
        <w:gridCol w:w="574"/>
        <w:gridCol w:w="539"/>
        <w:gridCol w:w="1927"/>
      </w:tblGrid>
      <w:tr w:rsidR="00771FE2" w:rsidRPr="000E309B" w14:paraId="096206AA" w14:textId="77777777" w:rsidTr="00CC2BC7">
        <w:trPr>
          <w:cnfStyle w:val="000000100000" w:firstRow="0" w:lastRow="0" w:firstColumn="0" w:lastColumn="0" w:oddVBand="0" w:evenVBand="0" w:oddHBand="1" w:evenHBand="0" w:firstRowFirstColumn="0" w:firstRowLastColumn="0" w:lastRowFirstColumn="0" w:lastRowLastColumn="0"/>
          <w:trHeight w:val="315"/>
          <w:jc w:val="center"/>
        </w:trPr>
        <w:tc>
          <w:tcPr>
            <w:tcW w:w="728" w:type="dxa"/>
          </w:tcPr>
          <w:p w14:paraId="79220BD2" w14:textId="77777777" w:rsidR="00771FE2" w:rsidRPr="000E309B" w:rsidRDefault="00771FE2" w:rsidP="00CC2BC7">
            <w:r w:rsidRPr="000E309B">
              <w:t>N</w:t>
            </w:r>
          </w:p>
        </w:tc>
        <w:tc>
          <w:tcPr>
            <w:tcW w:w="574" w:type="dxa"/>
          </w:tcPr>
          <w:p w14:paraId="2A2C6942" w14:textId="77777777" w:rsidR="00771FE2" w:rsidRPr="000E309B" w:rsidRDefault="00771FE2" w:rsidP="00CC2BC7">
            <w:r w:rsidRPr="000E309B">
              <w:t>O</w:t>
            </w:r>
            <w:r w:rsidRPr="00F91FF0">
              <w:rPr>
                <w:vertAlign w:val="subscript"/>
              </w:rPr>
              <w:t>1</w:t>
            </w:r>
            <w:r w:rsidRPr="000E309B">
              <w:t xml:space="preserve"> </w:t>
            </w:r>
          </w:p>
        </w:tc>
        <w:tc>
          <w:tcPr>
            <w:tcW w:w="574" w:type="dxa"/>
          </w:tcPr>
          <w:p w14:paraId="04CEC719" w14:textId="77777777" w:rsidR="00771FE2" w:rsidRPr="000E309B" w:rsidRDefault="00771FE2" w:rsidP="00CC2BC7">
            <w:r>
              <w:t>X</w:t>
            </w:r>
          </w:p>
        </w:tc>
        <w:tc>
          <w:tcPr>
            <w:tcW w:w="539" w:type="dxa"/>
          </w:tcPr>
          <w:p w14:paraId="0BB8AD74" w14:textId="77777777" w:rsidR="00771FE2" w:rsidRPr="000E309B" w:rsidRDefault="00771FE2" w:rsidP="00CC2BC7">
            <w:r w:rsidRPr="000E309B">
              <w:t>O</w:t>
            </w:r>
            <w:r w:rsidRPr="00F91FF0">
              <w:rPr>
                <w:vertAlign w:val="subscript"/>
              </w:rPr>
              <w:t>2</w:t>
            </w:r>
          </w:p>
        </w:tc>
        <w:tc>
          <w:tcPr>
            <w:tcW w:w="1927" w:type="dxa"/>
          </w:tcPr>
          <w:p w14:paraId="46E2E46D" w14:textId="77777777" w:rsidR="00771FE2" w:rsidRPr="000E309B" w:rsidRDefault="00771FE2" w:rsidP="00CC2BC7">
            <w:r w:rsidRPr="000E309B">
              <w:t>Treatment Group</w:t>
            </w:r>
          </w:p>
        </w:tc>
      </w:tr>
      <w:tr w:rsidR="00771FE2" w:rsidRPr="000E309B" w14:paraId="6EDCA4E6" w14:textId="77777777" w:rsidTr="00CC2BC7">
        <w:trPr>
          <w:trHeight w:val="314"/>
          <w:jc w:val="center"/>
        </w:trPr>
        <w:tc>
          <w:tcPr>
            <w:tcW w:w="728" w:type="dxa"/>
          </w:tcPr>
          <w:p w14:paraId="10A64BCD" w14:textId="77777777" w:rsidR="00771FE2" w:rsidRPr="000E309B" w:rsidRDefault="00771FE2" w:rsidP="00CC2BC7">
            <w:r w:rsidRPr="000E309B">
              <w:t>N</w:t>
            </w:r>
          </w:p>
        </w:tc>
        <w:tc>
          <w:tcPr>
            <w:tcW w:w="574" w:type="dxa"/>
          </w:tcPr>
          <w:p w14:paraId="56B6B91C" w14:textId="77777777" w:rsidR="00771FE2" w:rsidRPr="000E309B" w:rsidRDefault="00771FE2" w:rsidP="00CC2BC7">
            <w:r w:rsidRPr="000E309B">
              <w:t>O</w:t>
            </w:r>
            <w:r w:rsidRPr="00F91FF0">
              <w:rPr>
                <w:vertAlign w:val="subscript"/>
              </w:rPr>
              <w:t>3</w:t>
            </w:r>
          </w:p>
        </w:tc>
        <w:tc>
          <w:tcPr>
            <w:tcW w:w="574" w:type="dxa"/>
          </w:tcPr>
          <w:p w14:paraId="3AE84582" w14:textId="77777777" w:rsidR="00771FE2" w:rsidRPr="000E309B" w:rsidRDefault="00771FE2" w:rsidP="00CC2BC7"/>
        </w:tc>
        <w:tc>
          <w:tcPr>
            <w:tcW w:w="539" w:type="dxa"/>
          </w:tcPr>
          <w:p w14:paraId="7BBF5A00" w14:textId="77777777" w:rsidR="00771FE2" w:rsidRPr="000E309B" w:rsidRDefault="00771FE2" w:rsidP="00CC2BC7">
            <w:r w:rsidRPr="000E309B">
              <w:t>O</w:t>
            </w:r>
            <w:r w:rsidRPr="00F91FF0">
              <w:rPr>
                <w:vertAlign w:val="subscript"/>
              </w:rPr>
              <w:t>4</w:t>
            </w:r>
          </w:p>
        </w:tc>
        <w:tc>
          <w:tcPr>
            <w:tcW w:w="1927" w:type="dxa"/>
          </w:tcPr>
          <w:p w14:paraId="76ECA0AB" w14:textId="77777777" w:rsidR="00771FE2" w:rsidRPr="000E309B" w:rsidRDefault="00771FE2" w:rsidP="00CC2BC7">
            <w:pPr>
              <w:keepNext/>
            </w:pPr>
            <w:r w:rsidRPr="000E309B">
              <w:t>Control Group</w:t>
            </w:r>
          </w:p>
        </w:tc>
      </w:tr>
    </w:tbl>
    <w:p w14:paraId="13910883" w14:textId="77777777" w:rsidR="005D5CD7" w:rsidRDefault="005D5CD7" w:rsidP="005D5CD7">
      <w:pPr>
        <w:pStyle w:val="NoSpacing"/>
      </w:pPr>
    </w:p>
    <w:p w14:paraId="7BA7C781" w14:textId="6A9C91C4" w:rsidR="00CE724C" w:rsidRDefault="00CE724C" w:rsidP="00CE724C">
      <w:r>
        <w:t>One variation of the proxy pretest design involves asking participants to recall their pretest performance after the treatment has been administered. In this case, the researcher would ask the participants to estimate their performance or knowledge level before the program began. While this approach may be subject to recall bias, as participants might not accurately remember their initial state, it can provide a measure of perceived gain or change in the dependent variable. This information can be valuable in understanding how participants feel they have been affected by the treatment.</w:t>
      </w:r>
    </w:p>
    <w:p w14:paraId="30D5F521" w14:textId="77777777" w:rsidR="00CE724C" w:rsidRDefault="00CE724C" w:rsidP="00CE724C">
      <w:r>
        <w:t>It is important to note that the proxy pretest design, like other quasi-experimental designs, does not involve random assignment of participants to treatment and control groups. As a result, this design is more susceptible to threats to internal validity compared to true experimental designs. Researchers must be cautious when interpreting the results and consider potential confounding variables that may influence the outcomes.</w:t>
      </w:r>
    </w:p>
    <w:p w14:paraId="2CE03B7C" w14:textId="77777777" w:rsidR="00CE724C" w:rsidRDefault="00CE724C" w:rsidP="00CE724C">
      <w:r>
        <w:t>Despite its limitations, the proxy pretest design offers a valuable tool for researchers who are tasked with evaluating the effectiveness of programs that have already begun. By using prerecorded measures or participants' recollections as a substitute for traditional pretest data, researchers can still gain insights into the impact of the treatment on the dependent variable.</w:t>
      </w:r>
    </w:p>
    <w:p w14:paraId="0272A7D2" w14:textId="02DEE1E6" w:rsidR="00F8344D" w:rsidRDefault="00F8344D" w:rsidP="00F8344D">
      <w:pPr>
        <w:pStyle w:val="Heading4"/>
      </w:pPr>
      <w:r>
        <w:lastRenderedPageBreak/>
        <w:t>S</w:t>
      </w:r>
      <w:r w:rsidR="00D14B33" w:rsidRPr="000E309B">
        <w:t xml:space="preserve">eparate </w:t>
      </w:r>
      <w:r w:rsidR="00B37334">
        <w:t>P</w:t>
      </w:r>
      <w:r w:rsidR="00D14B33" w:rsidRPr="000E309B">
        <w:t>retest/</w:t>
      </w:r>
      <w:r w:rsidR="00B37334">
        <w:t>P</w:t>
      </w:r>
      <w:r w:rsidR="00D14B33" w:rsidRPr="000E309B">
        <w:t xml:space="preserve">ost-test </w:t>
      </w:r>
      <w:r>
        <w:t>S</w:t>
      </w:r>
      <w:r w:rsidR="00D14B33" w:rsidRPr="000E309B">
        <w:t xml:space="preserve">amples </w:t>
      </w:r>
    </w:p>
    <w:p w14:paraId="4B3BBAC8" w14:textId="7E084053" w:rsidR="00170EC2" w:rsidRDefault="00170EC2" w:rsidP="00170EC2">
      <w:r>
        <w:t>The separate pretest/posttest samples design is a quasi-experimental approach that is particularly useful when it is not feasible to collect pretest and posttest data from the same subjects. This design involves four groups</w:t>
      </w:r>
      <w:r w:rsidR="00B870E9">
        <w:t>,</w:t>
      </w:r>
      <w:r>
        <w:t xml:space="preserve"> but these groups are derived from two different nonequivalent groups rather than a single group.</w:t>
      </w:r>
    </w:p>
    <w:p w14:paraId="46EB7878" w14:textId="77777777" w:rsidR="00170EC2" w:rsidRDefault="00170EC2" w:rsidP="00170EC2">
      <w:r>
        <w:t>To illustrate this concept, consider a scenario where a company wants to test customer satisfaction with a new online service implemented in one city (treatment group) but not in another city (control group). In this case, it may not be possible to obtain pretest and posttest measures from the same customers due to various constraints, such as the inability to track individual customers or the reluctance of customers to participate in multiple surveys.</w:t>
      </w:r>
    </w:p>
    <w:p w14:paraId="18EC1B8A" w14:textId="77777777" w:rsidR="00170EC2" w:rsidRDefault="00170EC2" w:rsidP="00170EC2">
      <w:r>
        <w:t>In the separate pretest/posttest samples design, the researcher measures customer satisfaction at one point in time before implementing the new online service program. After the program has been implemented, the researcher measures customer satisfaction again, but with a different set of customers in the treatment group. Simultaneously, customer satisfaction is also measured in the control group, where the new program has not been implemented.</w:t>
      </w:r>
    </w:p>
    <w:p w14:paraId="73C66224" w14:textId="023572DB" w:rsidR="00170EC2" w:rsidRDefault="00170EC2" w:rsidP="00170EC2">
      <w:r>
        <w:t xml:space="preserve">The design notation for the separate pretest/posttest samples design is shown in </w:t>
      </w:r>
      <w:r w:rsidR="00AD17FF">
        <w:t xml:space="preserve">the </w:t>
      </w:r>
      <w:r w:rsidR="00B870E9">
        <w:t>following</w:t>
      </w:r>
      <w:r w:rsidR="00AD17FF">
        <w:t xml:space="preserve"> table</w:t>
      </w:r>
      <w:r>
        <w:t xml:space="preserve">, where </w:t>
      </w:r>
      <w:r w:rsidRPr="00267067">
        <w:rPr>
          <w:i/>
          <w:iCs/>
        </w:rPr>
        <w:t>N1</w:t>
      </w:r>
      <w:r>
        <w:t xml:space="preserve"> and </w:t>
      </w:r>
      <w:r w:rsidRPr="00267067">
        <w:rPr>
          <w:i/>
          <w:iCs/>
        </w:rPr>
        <w:t>N2</w:t>
      </w:r>
      <w:r>
        <w:t xml:space="preserve"> represent the two nonequivalent groups, </w:t>
      </w:r>
      <w:r w:rsidRPr="00267067">
        <w:rPr>
          <w:i/>
          <w:iCs/>
        </w:rPr>
        <w:t>O</w:t>
      </w:r>
      <w:r>
        <w:t xml:space="preserve"> represents the observations (pretest and posttest), and </w:t>
      </w:r>
      <w:r w:rsidRPr="00267067">
        <w:rPr>
          <w:i/>
          <w:iCs/>
        </w:rPr>
        <w:t>X</w:t>
      </w:r>
      <w:r>
        <w:t xml:space="preserve"> represents the treatment.</w:t>
      </w:r>
    </w:p>
    <w:tbl>
      <w:tblPr>
        <w:tblStyle w:val="ListTable1Light-Accent3"/>
        <w:tblW w:w="2295" w:type="dxa"/>
        <w:jc w:val="center"/>
        <w:tblBorders>
          <w:top w:val="single" w:sz="4" w:space="0" w:color="auto"/>
          <w:bottom w:val="single" w:sz="4" w:space="0" w:color="auto"/>
        </w:tblBorders>
        <w:tblLook w:val="0400" w:firstRow="0" w:lastRow="0" w:firstColumn="0" w:lastColumn="0" w:noHBand="0" w:noVBand="1"/>
      </w:tblPr>
      <w:tblGrid>
        <w:gridCol w:w="720"/>
        <w:gridCol w:w="1128"/>
        <w:gridCol w:w="447"/>
      </w:tblGrid>
      <w:tr w:rsidR="00B870E9" w:rsidRPr="000E309B" w14:paraId="716AA480" w14:textId="77777777" w:rsidTr="00CC2BC7">
        <w:trPr>
          <w:cnfStyle w:val="000000100000" w:firstRow="0" w:lastRow="0" w:firstColumn="0" w:lastColumn="0" w:oddVBand="0" w:evenVBand="0" w:oddHBand="1" w:evenHBand="0" w:firstRowFirstColumn="0" w:firstRowLastColumn="0" w:lastRowFirstColumn="0" w:lastRowLastColumn="0"/>
          <w:trHeight w:val="315"/>
          <w:jc w:val="center"/>
        </w:trPr>
        <w:tc>
          <w:tcPr>
            <w:tcW w:w="728" w:type="dxa"/>
          </w:tcPr>
          <w:p w14:paraId="640C3D8A" w14:textId="77777777" w:rsidR="00B870E9" w:rsidRPr="000E309B" w:rsidRDefault="00B870E9" w:rsidP="00CC2BC7">
            <w:r w:rsidRPr="000E309B">
              <w:t>N</w:t>
            </w:r>
            <w:r w:rsidRPr="00F01040">
              <w:rPr>
                <w:vertAlign w:val="subscript"/>
              </w:rPr>
              <w:t>1</w:t>
            </w:r>
          </w:p>
        </w:tc>
        <w:tc>
          <w:tcPr>
            <w:tcW w:w="1148" w:type="dxa"/>
          </w:tcPr>
          <w:p w14:paraId="44A1B192" w14:textId="77777777" w:rsidR="00B870E9" w:rsidRPr="000E309B" w:rsidRDefault="00B870E9" w:rsidP="00CC2BC7">
            <w:pPr>
              <w:jc w:val="center"/>
            </w:pPr>
            <w:r w:rsidRPr="000E309B">
              <w:t>O</w:t>
            </w:r>
            <w:r w:rsidRPr="00F01040">
              <w:rPr>
                <w:vertAlign w:val="subscript"/>
              </w:rPr>
              <w:t>1</w:t>
            </w:r>
          </w:p>
        </w:tc>
        <w:tc>
          <w:tcPr>
            <w:tcW w:w="419" w:type="dxa"/>
          </w:tcPr>
          <w:p w14:paraId="0A261119" w14:textId="77777777" w:rsidR="00B870E9" w:rsidRPr="000E309B" w:rsidRDefault="00B870E9" w:rsidP="00CC2BC7"/>
        </w:tc>
      </w:tr>
      <w:tr w:rsidR="00B870E9" w:rsidRPr="000E309B" w14:paraId="756AA1CB" w14:textId="77777777" w:rsidTr="00CC2BC7">
        <w:trPr>
          <w:trHeight w:val="311"/>
          <w:jc w:val="center"/>
        </w:trPr>
        <w:tc>
          <w:tcPr>
            <w:tcW w:w="728" w:type="dxa"/>
          </w:tcPr>
          <w:p w14:paraId="2335BA16" w14:textId="77777777" w:rsidR="00B870E9" w:rsidRPr="000E309B" w:rsidRDefault="00B870E9" w:rsidP="00CC2BC7">
            <w:r w:rsidRPr="000E309B">
              <w:t>N</w:t>
            </w:r>
            <w:r w:rsidRPr="00F01040">
              <w:rPr>
                <w:vertAlign w:val="subscript"/>
              </w:rPr>
              <w:t>1</w:t>
            </w:r>
          </w:p>
        </w:tc>
        <w:tc>
          <w:tcPr>
            <w:tcW w:w="1148" w:type="dxa"/>
          </w:tcPr>
          <w:p w14:paraId="5F30B3EF" w14:textId="77777777" w:rsidR="00B870E9" w:rsidRPr="000E309B" w:rsidRDefault="00B870E9" w:rsidP="00CC2BC7">
            <w:pPr>
              <w:jc w:val="center"/>
            </w:pPr>
            <w:r w:rsidRPr="000E309B">
              <w:t>X</w:t>
            </w:r>
          </w:p>
        </w:tc>
        <w:tc>
          <w:tcPr>
            <w:tcW w:w="419" w:type="dxa"/>
          </w:tcPr>
          <w:p w14:paraId="6A73BEC6" w14:textId="77777777" w:rsidR="00B870E9" w:rsidRPr="000E309B" w:rsidRDefault="00B870E9" w:rsidP="00CC2BC7">
            <w:r w:rsidRPr="000E309B">
              <w:t>O</w:t>
            </w:r>
            <w:r w:rsidRPr="00F01040">
              <w:rPr>
                <w:vertAlign w:val="subscript"/>
              </w:rPr>
              <w:t>2</w:t>
            </w:r>
          </w:p>
        </w:tc>
      </w:tr>
      <w:tr w:rsidR="00B870E9" w:rsidRPr="000E309B" w14:paraId="4A64042A" w14:textId="77777777" w:rsidTr="00CC2BC7">
        <w:trPr>
          <w:cnfStyle w:val="000000100000" w:firstRow="0" w:lastRow="0" w:firstColumn="0" w:lastColumn="0" w:oddVBand="0" w:evenVBand="0" w:oddHBand="1" w:evenHBand="0" w:firstRowFirstColumn="0" w:firstRowLastColumn="0" w:lastRowFirstColumn="0" w:lastRowLastColumn="0"/>
          <w:trHeight w:val="311"/>
          <w:jc w:val="center"/>
        </w:trPr>
        <w:tc>
          <w:tcPr>
            <w:tcW w:w="728" w:type="dxa"/>
          </w:tcPr>
          <w:p w14:paraId="16CDF038" w14:textId="77777777" w:rsidR="00B870E9" w:rsidRPr="000E309B" w:rsidRDefault="00B870E9" w:rsidP="00CC2BC7">
            <w:r w:rsidRPr="000E309B">
              <w:t>N</w:t>
            </w:r>
            <w:r w:rsidRPr="00F01040">
              <w:rPr>
                <w:vertAlign w:val="subscript"/>
              </w:rPr>
              <w:t>2</w:t>
            </w:r>
          </w:p>
        </w:tc>
        <w:tc>
          <w:tcPr>
            <w:tcW w:w="1148" w:type="dxa"/>
          </w:tcPr>
          <w:p w14:paraId="75855767" w14:textId="77777777" w:rsidR="00B870E9" w:rsidRPr="000E309B" w:rsidRDefault="00B870E9" w:rsidP="00CC2BC7">
            <w:pPr>
              <w:jc w:val="center"/>
            </w:pPr>
            <w:r w:rsidRPr="000E309B">
              <w:t>O</w:t>
            </w:r>
            <w:r w:rsidRPr="00F01040">
              <w:rPr>
                <w:vertAlign w:val="subscript"/>
              </w:rPr>
              <w:t>3</w:t>
            </w:r>
          </w:p>
        </w:tc>
        <w:tc>
          <w:tcPr>
            <w:tcW w:w="419" w:type="dxa"/>
          </w:tcPr>
          <w:p w14:paraId="1776FA10" w14:textId="77777777" w:rsidR="00B870E9" w:rsidRPr="000E309B" w:rsidRDefault="00B870E9" w:rsidP="00CC2BC7"/>
        </w:tc>
      </w:tr>
      <w:tr w:rsidR="00B870E9" w:rsidRPr="000E309B" w14:paraId="266C5A7E" w14:textId="77777777" w:rsidTr="00CC2BC7">
        <w:trPr>
          <w:trHeight w:val="314"/>
          <w:jc w:val="center"/>
        </w:trPr>
        <w:tc>
          <w:tcPr>
            <w:tcW w:w="728" w:type="dxa"/>
          </w:tcPr>
          <w:p w14:paraId="7A009C9E" w14:textId="77777777" w:rsidR="00B870E9" w:rsidRPr="000E309B" w:rsidRDefault="00B870E9" w:rsidP="00CC2BC7">
            <w:r w:rsidRPr="000E309B">
              <w:t>N</w:t>
            </w:r>
            <w:r w:rsidRPr="00F01040">
              <w:rPr>
                <w:vertAlign w:val="subscript"/>
              </w:rPr>
              <w:t>2</w:t>
            </w:r>
          </w:p>
        </w:tc>
        <w:tc>
          <w:tcPr>
            <w:tcW w:w="1148" w:type="dxa"/>
          </w:tcPr>
          <w:p w14:paraId="04853FAE" w14:textId="77777777" w:rsidR="00B870E9" w:rsidRPr="000E309B" w:rsidRDefault="00B870E9" w:rsidP="00CC2BC7">
            <w:pPr>
              <w:jc w:val="center"/>
            </w:pPr>
          </w:p>
        </w:tc>
        <w:tc>
          <w:tcPr>
            <w:tcW w:w="419" w:type="dxa"/>
          </w:tcPr>
          <w:p w14:paraId="06E8A771" w14:textId="77777777" w:rsidR="00B870E9" w:rsidRPr="000E309B" w:rsidRDefault="00B870E9" w:rsidP="00CC2BC7">
            <w:pPr>
              <w:keepNext/>
            </w:pPr>
            <w:r w:rsidRPr="000E309B">
              <w:t>O</w:t>
            </w:r>
            <w:r w:rsidRPr="00F01040">
              <w:rPr>
                <w:vertAlign w:val="subscript"/>
              </w:rPr>
              <w:t>4</w:t>
            </w:r>
          </w:p>
        </w:tc>
      </w:tr>
    </w:tbl>
    <w:p w14:paraId="7F02EFBB" w14:textId="77777777" w:rsidR="00267067" w:rsidRDefault="00267067" w:rsidP="00267067">
      <w:pPr>
        <w:pStyle w:val="NoSpacing"/>
      </w:pPr>
    </w:p>
    <w:p w14:paraId="2283114A" w14:textId="7DECC307" w:rsidR="00170EC2" w:rsidRDefault="00170EC2" w:rsidP="00170EC2">
      <w:r>
        <w:t>One limitation of this design is that it does not allow for the examination of changes in any specific customer's satisfaction score before and after the program implementation. Instead, the researcher can only compare the average customer satisfaction scores between the pretest and posttest samples in each group. This limitation reduces the internal validity of the design compared to designs that use the same subjects for pretest and posttest measurements.</w:t>
      </w:r>
    </w:p>
    <w:p w14:paraId="06FC6CEA" w14:textId="77777777" w:rsidR="00170EC2" w:rsidRDefault="00170EC2" w:rsidP="00170EC2">
      <w:r>
        <w:t>Despite its lower internal validity, the separate pretest/posttest samples design can still be a valuable tool for collecting quasi-experimental data when it is not possible to obtain pretest and posttest data from the same subjects. This design allows researchers to gather evidence on the impact of a treatment or intervention, even in situations where tracking individual participants over time is not feasible.</w:t>
      </w:r>
    </w:p>
    <w:p w14:paraId="00922ECC" w14:textId="77777777" w:rsidR="00170EC2" w:rsidRDefault="00170EC2" w:rsidP="00170EC2">
      <w:r>
        <w:t xml:space="preserve">In the customer satisfaction example, the separate pretest/posttest samples design enables the company to assess the overall effectiveness of the new online service program by comparing the average satisfaction scores between the treatment and control groups before and after the </w:t>
      </w:r>
      <w:r>
        <w:lastRenderedPageBreak/>
        <w:t>implementation. While this design may not provide insights into individual-level changes, it can still offer valuable information on the program's impact at the group level.</w:t>
      </w:r>
    </w:p>
    <w:p w14:paraId="177F138A" w14:textId="77777777" w:rsidR="00170EC2" w:rsidRDefault="00170EC2" w:rsidP="00170EC2">
      <w:r>
        <w:t>When using the separate pretest/posttest samples design, researchers should be aware of its limitations and interpret the results accordingly. They should consider potential confounding variables that may influence the outcomes and acknowledge the design's reduced ability to establish causal relationships compared to true experimental designs.</w:t>
      </w:r>
    </w:p>
    <w:p w14:paraId="47565092" w14:textId="7D802B9D" w:rsidR="00F01040" w:rsidRDefault="00F01040" w:rsidP="00F01040">
      <w:pPr>
        <w:pStyle w:val="Heading4"/>
      </w:pPr>
      <w:r>
        <w:t>N</w:t>
      </w:r>
      <w:r w:rsidR="00D14B33" w:rsidRPr="000E309B">
        <w:t xml:space="preserve">onequivalent </w:t>
      </w:r>
      <w:r>
        <w:t>D</w:t>
      </w:r>
      <w:r w:rsidR="00D14B33" w:rsidRPr="000E309B">
        <w:t xml:space="preserve">ependent </w:t>
      </w:r>
      <w:r>
        <w:t>V</w:t>
      </w:r>
      <w:r w:rsidR="00D14B33" w:rsidRPr="000E309B">
        <w:t xml:space="preserve">ariable </w:t>
      </w:r>
    </w:p>
    <w:p w14:paraId="32C7CDFC" w14:textId="77777777" w:rsidR="00BA669C" w:rsidRDefault="00BA669C" w:rsidP="00BA669C">
      <w:r>
        <w:t>The nonequivalent dependent variable design is a single-group quasi-experimental design that uses two outcome measures to assess the impact of a treatment. One of the outcome measures is theoretically expected to be influenced by the treatment, while the other measure is not. By comparing the changes in these two measures before and after the treatment, researchers can gain insights into the treatment's effectiveness.</w:t>
      </w:r>
    </w:p>
    <w:p w14:paraId="512E665B" w14:textId="78C1B751" w:rsidR="00BA669C" w:rsidRDefault="00BA669C" w:rsidP="00BA669C">
      <w:r>
        <w:t xml:space="preserve">To illustrate this concept, consider a scenario where a new calculus curriculum is introduced to a group of high school students. In this case, the researcher would expect the new curriculum to influence the students' posttest calculus scores but not their algebra scores. The algebra scores serve as a control measure, as they are not directly related to the treatment (the new calculus curriculum). However, </w:t>
      </w:r>
      <w:r w:rsidR="00D422DE">
        <w:t>algebra</w:t>
      </w:r>
      <w:r>
        <w:t xml:space="preserve"> scores may still vary due to extraneous factors such as history (e.g., a school-wide initiative to improve math performance) or maturation (e.g., students' natural cognitive development over time).</w:t>
      </w:r>
    </w:p>
    <w:p w14:paraId="7BE6C03B" w14:textId="157BD10F" w:rsidR="00BA669C" w:rsidRDefault="00BA669C" w:rsidP="00BA669C">
      <w:r>
        <w:t xml:space="preserve">The design notation for the nonequivalent dependent variable design is shown in </w:t>
      </w:r>
      <w:r w:rsidR="00D422DE">
        <w:t>the following table</w:t>
      </w:r>
      <w:r>
        <w:t xml:space="preserve">, where </w:t>
      </w:r>
      <w:r w:rsidRPr="002A118A">
        <w:rPr>
          <w:i/>
          <w:iCs/>
        </w:rPr>
        <w:t>N</w:t>
      </w:r>
      <w:r>
        <w:t xml:space="preserve"> represents the single group of participants, </w:t>
      </w:r>
      <w:r w:rsidRPr="002A118A">
        <w:rPr>
          <w:i/>
          <w:iCs/>
        </w:rPr>
        <w:t>O1</w:t>
      </w:r>
      <w:r>
        <w:t xml:space="preserve"> and </w:t>
      </w:r>
      <w:r w:rsidRPr="002A118A">
        <w:rPr>
          <w:i/>
          <w:iCs/>
        </w:rPr>
        <w:t>O2</w:t>
      </w:r>
      <w:r>
        <w:t xml:space="preserve"> represent the pretest and posttest measures for the treatment variable (calculus scores), and </w:t>
      </w:r>
      <w:r w:rsidRPr="002A118A">
        <w:rPr>
          <w:i/>
          <w:iCs/>
        </w:rPr>
        <w:t>O3</w:t>
      </w:r>
      <w:r>
        <w:t xml:space="preserve"> and </w:t>
      </w:r>
      <w:r w:rsidRPr="002A118A">
        <w:rPr>
          <w:i/>
          <w:iCs/>
        </w:rPr>
        <w:t>O4</w:t>
      </w:r>
      <w:r>
        <w:t xml:space="preserve"> represent the pretest and posttest measures for the control variable (algebra scores).</w:t>
      </w:r>
    </w:p>
    <w:tbl>
      <w:tblPr>
        <w:tblStyle w:val="ListTable1Light-Accent3"/>
        <w:tblW w:w="2295" w:type="dxa"/>
        <w:jc w:val="center"/>
        <w:tblBorders>
          <w:top w:val="single" w:sz="4" w:space="0" w:color="auto"/>
          <w:bottom w:val="single" w:sz="4" w:space="0" w:color="auto"/>
        </w:tblBorders>
        <w:tblLook w:val="0400" w:firstRow="0" w:lastRow="0" w:firstColumn="0" w:lastColumn="0" w:noHBand="0" w:noVBand="1"/>
      </w:tblPr>
      <w:tblGrid>
        <w:gridCol w:w="700"/>
        <w:gridCol w:w="560"/>
        <w:gridCol w:w="561"/>
        <w:gridCol w:w="474"/>
      </w:tblGrid>
      <w:tr w:rsidR="00D422DE" w:rsidRPr="000E309B" w14:paraId="77B8D4CF" w14:textId="77777777" w:rsidTr="00CC2BC7">
        <w:trPr>
          <w:cnfStyle w:val="000000100000" w:firstRow="0" w:lastRow="0" w:firstColumn="0" w:lastColumn="0" w:oddVBand="0" w:evenVBand="0" w:oddHBand="1" w:evenHBand="0" w:firstRowFirstColumn="0" w:firstRowLastColumn="0" w:lastRowFirstColumn="0" w:lastRowLastColumn="0"/>
          <w:trHeight w:val="315"/>
          <w:jc w:val="center"/>
        </w:trPr>
        <w:tc>
          <w:tcPr>
            <w:tcW w:w="700" w:type="dxa"/>
          </w:tcPr>
          <w:p w14:paraId="27C01DEC" w14:textId="77777777" w:rsidR="00D422DE" w:rsidRPr="000E309B" w:rsidRDefault="00D422DE" w:rsidP="00CC2BC7">
            <w:r w:rsidRPr="000E309B">
              <w:t>N</w:t>
            </w:r>
          </w:p>
        </w:tc>
        <w:tc>
          <w:tcPr>
            <w:tcW w:w="560" w:type="dxa"/>
          </w:tcPr>
          <w:p w14:paraId="1048B423" w14:textId="77777777" w:rsidR="00D422DE" w:rsidRPr="000E309B" w:rsidRDefault="00D422DE" w:rsidP="00CC2BC7">
            <w:r w:rsidRPr="000E309B">
              <w:t>O</w:t>
            </w:r>
            <w:r w:rsidRPr="00F01040">
              <w:rPr>
                <w:vertAlign w:val="subscript"/>
              </w:rPr>
              <w:t>1</w:t>
            </w:r>
          </w:p>
        </w:tc>
        <w:tc>
          <w:tcPr>
            <w:tcW w:w="561" w:type="dxa"/>
          </w:tcPr>
          <w:p w14:paraId="50336E8B" w14:textId="77777777" w:rsidR="00D422DE" w:rsidRPr="000E309B" w:rsidRDefault="00D422DE" w:rsidP="00CC2BC7">
            <w:r>
              <w:t>X</w:t>
            </w:r>
          </w:p>
        </w:tc>
        <w:tc>
          <w:tcPr>
            <w:tcW w:w="474" w:type="dxa"/>
          </w:tcPr>
          <w:p w14:paraId="60249D71" w14:textId="77777777" w:rsidR="00D422DE" w:rsidRPr="000E309B" w:rsidRDefault="00D422DE" w:rsidP="00CC2BC7">
            <w:r w:rsidRPr="000E309B">
              <w:t>O</w:t>
            </w:r>
            <w:r w:rsidRPr="00F01040">
              <w:rPr>
                <w:vertAlign w:val="subscript"/>
              </w:rPr>
              <w:t>2</w:t>
            </w:r>
          </w:p>
        </w:tc>
      </w:tr>
      <w:tr w:rsidR="00D422DE" w:rsidRPr="000E309B" w14:paraId="057236A4" w14:textId="77777777" w:rsidTr="00CC2BC7">
        <w:trPr>
          <w:trHeight w:val="314"/>
          <w:jc w:val="center"/>
        </w:trPr>
        <w:tc>
          <w:tcPr>
            <w:tcW w:w="700" w:type="dxa"/>
          </w:tcPr>
          <w:p w14:paraId="08C90476" w14:textId="77777777" w:rsidR="00D422DE" w:rsidRPr="000E309B" w:rsidRDefault="00D422DE" w:rsidP="00CC2BC7">
            <w:r w:rsidRPr="000E309B">
              <w:t>N</w:t>
            </w:r>
          </w:p>
        </w:tc>
        <w:tc>
          <w:tcPr>
            <w:tcW w:w="560" w:type="dxa"/>
          </w:tcPr>
          <w:p w14:paraId="22BCCEB4" w14:textId="77777777" w:rsidR="00D422DE" w:rsidRPr="000E309B" w:rsidRDefault="00D422DE" w:rsidP="00CC2BC7">
            <w:r w:rsidRPr="000E309B">
              <w:t>O</w:t>
            </w:r>
            <w:r w:rsidRPr="00F01040">
              <w:rPr>
                <w:vertAlign w:val="subscript"/>
              </w:rPr>
              <w:t>3</w:t>
            </w:r>
          </w:p>
        </w:tc>
        <w:tc>
          <w:tcPr>
            <w:tcW w:w="561" w:type="dxa"/>
          </w:tcPr>
          <w:p w14:paraId="40528CD5" w14:textId="77777777" w:rsidR="00D422DE" w:rsidRPr="000E309B" w:rsidRDefault="00D422DE" w:rsidP="00CC2BC7"/>
        </w:tc>
        <w:tc>
          <w:tcPr>
            <w:tcW w:w="474" w:type="dxa"/>
          </w:tcPr>
          <w:p w14:paraId="39F19F1F" w14:textId="77777777" w:rsidR="00D422DE" w:rsidRPr="000E309B" w:rsidRDefault="00D422DE" w:rsidP="00CC2BC7">
            <w:r w:rsidRPr="000E309B">
              <w:t>O</w:t>
            </w:r>
            <w:r w:rsidRPr="00F01040">
              <w:rPr>
                <w:vertAlign w:val="subscript"/>
              </w:rPr>
              <w:t>4</w:t>
            </w:r>
          </w:p>
        </w:tc>
      </w:tr>
    </w:tbl>
    <w:p w14:paraId="7BCA21D6" w14:textId="77777777" w:rsidR="002A118A" w:rsidRDefault="002A118A" w:rsidP="002A118A">
      <w:pPr>
        <w:pStyle w:val="NoSpacing"/>
      </w:pPr>
    </w:p>
    <w:p w14:paraId="131C2347" w14:textId="1FB19C69" w:rsidR="00BA669C" w:rsidRDefault="00BA669C" w:rsidP="00BA669C">
      <w:r>
        <w:t>In the high school example, the researcher would administer a pretest to assess the students' initial calculus and algebra knowledge. After implementing the new calculus curriculum (the treatment), the researcher would administer a posttest to measure the students' calculus and algebra performance. By comparing the changes in calculus scores (</w:t>
      </w:r>
      <w:r w:rsidRPr="002A118A">
        <w:rPr>
          <w:i/>
          <w:iCs/>
        </w:rPr>
        <w:t>O1</w:t>
      </w:r>
      <w:r>
        <w:t xml:space="preserve"> to </w:t>
      </w:r>
      <w:r w:rsidRPr="002A118A">
        <w:rPr>
          <w:i/>
          <w:iCs/>
        </w:rPr>
        <w:t>O2</w:t>
      </w:r>
      <w:r>
        <w:t>) and algebra scores (</w:t>
      </w:r>
      <w:r w:rsidRPr="002A118A">
        <w:rPr>
          <w:i/>
          <w:iCs/>
        </w:rPr>
        <w:t>O3</w:t>
      </w:r>
      <w:r>
        <w:t xml:space="preserve"> to </w:t>
      </w:r>
      <w:r w:rsidRPr="002A118A">
        <w:rPr>
          <w:i/>
          <w:iCs/>
        </w:rPr>
        <w:t>O4</w:t>
      </w:r>
      <w:r>
        <w:t>), the researcher can determine whether the new curriculum had a specific impact on calculus performance, as intended.</w:t>
      </w:r>
    </w:p>
    <w:p w14:paraId="4CDD6513" w14:textId="77777777" w:rsidR="00BA669C" w:rsidRDefault="00BA669C" w:rsidP="00BA669C">
      <w:r>
        <w:t>One advantage of the nonequivalent dependent variable design is that it does not require a separate control group, which can be useful when it is not feasible or ethical to have a comparison group that does not receive the treatment. However, this design has weaker internal validity compared to designs that use a separate control group, as it is more susceptible to threats such as history and maturation.</w:t>
      </w:r>
    </w:p>
    <w:p w14:paraId="6E211102" w14:textId="77777777" w:rsidR="00BA669C" w:rsidRDefault="00BA669C" w:rsidP="00BA669C">
      <w:r>
        <w:lastRenderedPageBreak/>
        <w:t>A variation of the nonequivalent dependent variable design is the pattern matching design. In this approach, the researcher uses multiple outcome variables and develops a theory that predicts how much each variable will be affected by the treatment. After collecting data, the researcher compares the observed patterns of change in the outcome variables to the theoretically predicted patterns. The degree of correspondence between the theoretical and observed patterns helps to strengthen the internal validity of the study.</w:t>
      </w:r>
    </w:p>
    <w:p w14:paraId="7991089D" w14:textId="77777777" w:rsidR="00BA669C" w:rsidRDefault="00BA669C" w:rsidP="00BA669C">
      <w:r>
        <w:t>For example, in the high school calculus curriculum study, the researcher might predict that the new curriculum will lead to a significant improvement in calculus scores but only a slight improvement in algebra scores. If the observed data closely match this predicted pattern, it provides stronger evidence for the effectiveness of the new curriculum and helps to alleviate concerns about internal validity threats.</w:t>
      </w:r>
    </w:p>
    <w:p w14:paraId="3833217D" w14:textId="7D963056" w:rsidR="00071189" w:rsidRPr="00071189" w:rsidRDefault="00AE71C9" w:rsidP="006E34D6">
      <w:pPr>
        <w:pStyle w:val="Heading3"/>
      </w:pPr>
      <w:bookmarkStart w:id="139" w:name="_Toc169156760"/>
      <w:r>
        <w:t>S</w:t>
      </w:r>
      <w:r w:rsidR="00D14B33" w:rsidRPr="000E309B">
        <w:t xml:space="preserve">trengths and </w:t>
      </w:r>
      <w:r>
        <w:t>W</w:t>
      </w:r>
      <w:r w:rsidR="00D14B33" w:rsidRPr="000E309B">
        <w:t xml:space="preserve">eaknesses of </w:t>
      </w:r>
      <w:r>
        <w:t>E</w:t>
      </w:r>
      <w:r w:rsidR="00D14B33" w:rsidRPr="000E309B">
        <w:t xml:space="preserve">xperimental </w:t>
      </w:r>
      <w:r>
        <w:t>R</w:t>
      </w:r>
      <w:r w:rsidR="00D14B33" w:rsidRPr="000E309B">
        <w:t>esearch</w:t>
      </w:r>
      <w:bookmarkEnd w:id="139"/>
    </w:p>
    <w:p w14:paraId="6EAE45C1" w14:textId="77777777" w:rsidR="007E5B14" w:rsidRDefault="007E5B14" w:rsidP="007E5B14">
      <w:r>
        <w:t>Experimental research is a powerful tool for establishing causal relationships between variables, but it also has its strengths and weaknesses. Understanding these aspects is crucial for researchers to design effective experiments and interpret their results accurately.</w:t>
      </w:r>
    </w:p>
    <w:p w14:paraId="5082A73E" w14:textId="45777E94" w:rsidR="009C1B97" w:rsidRDefault="009C1B97" w:rsidP="006E34D6">
      <w:pPr>
        <w:pStyle w:val="Heading4"/>
      </w:pPr>
      <w:r>
        <w:t>S</w:t>
      </w:r>
      <w:r w:rsidR="00D14B33" w:rsidRPr="000E309B">
        <w:t>trengths</w:t>
      </w:r>
    </w:p>
    <w:p w14:paraId="55A9E882" w14:textId="77777777" w:rsidR="007E5B14" w:rsidRDefault="007E5B14" w:rsidP="009D1E8D">
      <w:pPr>
        <w:pStyle w:val="ListParagraph"/>
        <w:numPr>
          <w:ilvl w:val="0"/>
          <w:numId w:val="301"/>
        </w:numPr>
      </w:pPr>
      <w:r w:rsidRPr="003F60B9">
        <w:rPr>
          <w:b/>
          <w:bCs/>
        </w:rPr>
        <w:t>Control</w:t>
      </w:r>
      <w:r>
        <w:t>: One of the main advantages of experimental research, especially when conducted in lab settings, is the high degree of control the researcher has over the conditions to which participants are exposed. This control allows for the manipulation of independent variables and the minimization of confounding factors, enhancing the internal validity of the study.</w:t>
      </w:r>
    </w:p>
    <w:p w14:paraId="0D520465" w14:textId="77777777" w:rsidR="007E5B14" w:rsidRDefault="007E5B14" w:rsidP="009D1E8D">
      <w:pPr>
        <w:pStyle w:val="ListParagraph"/>
        <w:numPr>
          <w:ilvl w:val="0"/>
          <w:numId w:val="301"/>
        </w:numPr>
      </w:pPr>
      <w:r w:rsidRPr="003F60B9">
        <w:rPr>
          <w:b/>
          <w:bCs/>
        </w:rPr>
        <w:t>Replicability</w:t>
      </w:r>
      <w:r>
        <w:t>: Experiments are generally easier to replicate than other data collection methods, particularly when conducted in a lab setting. Replicability is essential for establishing the reliability and generalizability of research findings.</w:t>
      </w:r>
    </w:p>
    <w:p w14:paraId="140268A9" w14:textId="77777777" w:rsidR="007E5B14" w:rsidRDefault="007E5B14" w:rsidP="009D1E8D">
      <w:pPr>
        <w:pStyle w:val="ListParagraph"/>
        <w:numPr>
          <w:ilvl w:val="0"/>
          <w:numId w:val="301"/>
        </w:numPr>
      </w:pPr>
      <w:r w:rsidRPr="003F60B9">
        <w:rPr>
          <w:b/>
          <w:bCs/>
        </w:rPr>
        <w:t>Treatment design</w:t>
      </w:r>
      <w:r>
        <w:t>: Proper experimental treatment design is a critical task in experimental research. To ensure the adequacy and appropriateness of the treatment, researchers should:</w:t>
      </w:r>
    </w:p>
    <w:p w14:paraId="304C212B" w14:textId="353BA3C3" w:rsidR="007E5B14" w:rsidRDefault="007E5B14" w:rsidP="006E40DE">
      <w:pPr>
        <w:pStyle w:val="ListParagraph"/>
        <w:numPr>
          <w:ilvl w:val="1"/>
          <w:numId w:val="301"/>
        </w:numPr>
      </w:pPr>
      <w:r>
        <w:t>Use pre-validated tasks when available</w:t>
      </w:r>
      <w:r w:rsidR="006E40DE">
        <w:t>.</w:t>
      </w:r>
    </w:p>
    <w:p w14:paraId="73A14935" w14:textId="4C065298" w:rsidR="007E5B14" w:rsidRDefault="007E5B14" w:rsidP="006E40DE">
      <w:pPr>
        <w:pStyle w:val="ListParagraph"/>
        <w:numPr>
          <w:ilvl w:val="1"/>
          <w:numId w:val="301"/>
        </w:numPr>
      </w:pPr>
      <w:r>
        <w:t>Conduct treatment manipulation checks by debriefing subjects after performing the assigned task</w:t>
      </w:r>
      <w:r w:rsidR="006E40DE">
        <w:t>.</w:t>
      </w:r>
    </w:p>
    <w:p w14:paraId="0D826740" w14:textId="299B7A7F" w:rsidR="007E5B14" w:rsidRDefault="007E5B14" w:rsidP="006E40DE">
      <w:pPr>
        <w:pStyle w:val="ListParagraph"/>
        <w:numPr>
          <w:ilvl w:val="1"/>
          <w:numId w:val="301"/>
        </w:numPr>
      </w:pPr>
      <w:r>
        <w:t>Conduct pilot tests, repeatedly if necessary</w:t>
      </w:r>
      <w:r w:rsidR="006E40DE">
        <w:t>.</w:t>
      </w:r>
    </w:p>
    <w:p w14:paraId="5EBFB26D" w14:textId="4CB7157B" w:rsidR="007E5B14" w:rsidRDefault="007E5B14" w:rsidP="006E40DE">
      <w:pPr>
        <w:pStyle w:val="ListParagraph"/>
        <w:numPr>
          <w:ilvl w:val="1"/>
          <w:numId w:val="301"/>
        </w:numPr>
      </w:pPr>
      <w:r>
        <w:t>Use tasks that are simpler and more familiar to the respondents than complex or unfamiliar tasks</w:t>
      </w:r>
      <w:r w:rsidR="006E40DE">
        <w:t>.</w:t>
      </w:r>
    </w:p>
    <w:p w14:paraId="7B2CF7EE" w14:textId="26BFE421" w:rsidR="007E5B14" w:rsidRDefault="007E5B14" w:rsidP="006E40DE">
      <w:pPr>
        <w:pStyle w:val="Heading4"/>
      </w:pPr>
      <w:r>
        <w:t>Weaknesses</w:t>
      </w:r>
    </w:p>
    <w:p w14:paraId="65154F62" w14:textId="77777777" w:rsidR="007E5B14" w:rsidRDefault="007E5B14" w:rsidP="006E40DE">
      <w:pPr>
        <w:pStyle w:val="ListParagraph"/>
        <w:numPr>
          <w:ilvl w:val="0"/>
          <w:numId w:val="302"/>
        </w:numPr>
      </w:pPr>
      <w:r w:rsidRPr="003F60B9">
        <w:rPr>
          <w:b/>
          <w:bCs/>
        </w:rPr>
        <w:t>Methodological challenges</w:t>
      </w:r>
      <w:r>
        <w:t>: Experimental research is one of the most challenging research designs and is often beset with methodological problems, such as:</w:t>
      </w:r>
    </w:p>
    <w:p w14:paraId="196AB436" w14:textId="77777777" w:rsidR="007E5B14" w:rsidRDefault="007E5B14" w:rsidP="00433466">
      <w:pPr>
        <w:pStyle w:val="ListParagraph"/>
        <w:numPr>
          <w:ilvl w:val="1"/>
          <w:numId w:val="302"/>
        </w:numPr>
      </w:pPr>
      <w:r>
        <w:t>Lack of theoretical foundation: Much of current experimental research is atheoretical, leading to ad hoc, potentially illogical, and meaningless hypotheses.</w:t>
      </w:r>
    </w:p>
    <w:p w14:paraId="2D9030E5" w14:textId="77777777" w:rsidR="007E5B14" w:rsidRDefault="007E5B14" w:rsidP="00433466">
      <w:pPr>
        <w:pStyle w:val="ListParagraph"/>
        <w:numPr>
          <w:ilvl w:val="1"/>
          <w:numId w:val="302"/>
        </w:numPr>
      </w:pPr>
      <w:r>
        <w:lastRenderedPageBreak/>
        <w:t>Unreliable and invalid measurement instruments: Many measurement instruments used in experimental research are not tested for reliability and validity, making results incomparable across studies.</w:t>
      </w:r>
    </w:p>
    <w:p w14:paraId="0FB07A4A" w14:textId="77777777" w:rsidR="007E5B14" w:rsidRDefault="007E5B14" w:rsidP="00433466">
      <w:pPr>
        <w:pStyle w:val="ListParagraph"/>
        <w:numPr>
          <w:ilvl w:val="1"/>
          <w:numId w:val="302"/>
        </w:numPr>
      </w:pPr>
      <w:r>
        <w:t>Inappropriate research designs: Some experimental studies use irrelevant dependent variables, lack interaction effects, have no experimental controls, or use nonequivalent stimuli across treatment groups, compromising internal validity.</w:t>
      </w:r>
    </w:p>
    <w:p w14:paraId="00502C19" w14:textId="77777777" w:rsidR="007E5B14" w:rsidRDefault="007E5B14" w:rsidP="00433466">
      <w:pPr>
        <w:pStyle w:val="ListParagraph"/>
        <w:numPr>
          <w:ilvl w:val="1"/>
          <w:numId w:val="302"/>
        </w:numPr>
      </w:pPr>
      <w:r>
        <w:t>Inappropriate tasks: The treatments or tasks used in experimental research may be diverse, incomparable, inconsistent across studies, and sometimes inappropriate for the subject population, introducing threats to internal validity and generating non-interpretable findings.</w:t>
      </w:r>
    </w:p>
    <w:p w14:paraId="1EB86BF0" w14:textId="77777777" w:rsidR="007E5B14" w:rsidRDefault="007E5B14" w:rsidP="006E40DE">
      <w:pPr>
        <w:pStyle w:val="ListParagraph"/>
        <w:numPr>
          <w:ilvl w:val="0"/>
          <w:numId w:val="302"/>
        </w:numPr>
      </w:pPr>
      <w:r w:rsidRPr="003F60B9">
        <w:rPr>
          <w:b/>
          <w:bCs/>
        </w:rPr>
        <w:t>Resource constraints</w:t>
      </w:r>
      <w:r>
        <w:t>: Time, funding, and the research topic itself may limit a researcher's ability to conduct experiments. In some cases, such as medical and health sciences, experimenting could require denying needed treatment to patients, raising ethical concerns.</w:t>
      </w:r>
    </w:p>
    <w:p w14:paraId="5253825D" w14:textId="77777777" w:rsidR="007E5B14" w:rsidRDefault="007E5B14" w:rsidP="006E40DE">
      <w:pPr>
        <w:pStyle w:val="ListParagraph"/>
        <w:numPr>
          <w:ilvl w:val="0"/>
          <w:numId w:val="302"/>
        </w:numPr>
      </w:pPr>
      <w:r w:rsidRPr="003F60B9">
        <w:rPr>
          <w:b/>
          <w:bCs/>
        </w:rPr>
        <w:t>Ethical considerations</w:t>
      </w:r>
      <w:r>
        <w:t>: Experimental research often involves providing a benefit or treatment to one group while withholding it from another, which can raise ethical concerns. While business research may not involve life-or-death situations, there could still be potential harm to a group of customers denied a benefit given to another group.</w:t>
      </w:r>
    </w:p>
    <w:p w14:paraId="3794138A" w14:textId="77777777" w:rsidR="007E5B14" w:rsidRDefault="007E5B14" w:rsidP="006E40DE">
      <w:pPr>
        <w:pStyle w:val="ListParagraph"/>
        <w:numPr>
          <w:ilvl w:val="0"/>
          <w:numId w:val="302"/>
        </w:numPr>
      </w:pPr>
      <w:r w:rsidRPr="003F60B9">
        <w:rPr>
          <w:b/>
          <w:bCs/>
        </w:rPr>
        <w:t>Limited external validity</w:t>
      </w:r>
      <w:r>
        <w:t>: While experiments excel at establishing causal relationships, they may lack external validity. The highly controlled conditions of an experiment may not accurately reflect real-world situations, limiting the generalizability of the findings to other contexts or populations.</w:t>
      </w:r>
    </w:p>
    <w:p w14:paraId="566C92C4" w14:textId="0EC045A8" w:rsidR="006E34D6" w:rsidRDefault="007E5B14" w:rsidP="007E5B14">
      <w:r>
        <w:t>In summary, experimental research offers researchers a powerful tool for establishing causal relationships, but it also comes with unique challenges and limitations. Researchers must carefully consider the strengths and weaknesses of experimental designs when planning their studies and interpreting their results. By addressing methodological issues, ensuring ethical practices, and acknowledging the limitations of their findings, researchers can leverage the power of experimental research while minimizing its potential drawbacks.</w:t>
      </w:r>
    </w:p>
    <w:p w14:paraId="759BB8DE" w14:textId="77777777" w:rsidR="00B51A10" w:rsidRDefault="00B51A10" w:rsidP="002E3E28">
      <w:pPr>
        <w:pStyle w:val="Heading3"/>
      </w:pPr>
      <w:bookmarkStart w:id="140" w:name="_Toc169156761"/>
      <w:r w:rsidRPr="00B51A10">
        <w:t>Applications of Experimental Research in Various Fields</w:t>
      </w:r>
      <w:bookmarkEnd w:id="140"/>
    </w:p>
    <w:p w14:paraId="11479A6F" w14:textId="77777777" w:rsidR="00A64C8F" w:rsidRDefault="00A64C8F" w:rsidP="00A64C8F">
      <w:r>
        <w:t>Experimental research has wide-ranging applications across diverse fields, from psychology and medicine to education and business. By employing rigorous experimental designs, researchers in these domains can test hypotheses, establish cause-and-effect relationships, and develop evidence-based practices. This section will explore the unique challenges and opportunities of applying experimental research in various disciplines.</w:t>
      </w:r>
    </w:p>
    <w:p w14:paraId="26BC8E38" w14:textId="0B17BE00" w:rsidR="00A64C8F" w:rsidRDefault="00A64C8F" w:rsidP="00A64C8F">
      <w:r>
        <w:t>In psychology, experimental research has been instrumental in advancing our understanding of human behavior, cognition, and emotion. For example, classic experiments by Milgram</w:t>
      </w:r>
      <w:r w:rsidR="00401313">
        <w:t xml:space="preserve"> </w:t>
      </w:r>
      <w:r w:rsidR="00401313">
        <w:fldChar w:fldCharType="begin"/>
      </w:r>
      <w:r w:rsidR="007C07B4">
        <w:instrText xml:space="preserve"> ADDIN ZOTERO_ITEM CSL_CITATION {"citationID":"ALukQKjy","properties":{"formattedCitation":"[35]","plainCitation":"[35]","noteIndex":0},"citationItems":[{"id":45,"uris":["http://zotero.org/users/5015692/items/BMITNVPM"],"itemData":{"id":45,"type":"article-journal","container-title":"The Journal of abnormal and social psychology","issue":"4","page":"371","title":"Behavioral study of obedience.","volume":"67","author":[{"family":"Milgram","given":"Stanley"}],"issued":{"date-parts":[["1963"]]}}}],"schema":"https://github.com/citation-style-language/schema/raw/master/csl-citation.json"} </w:instrText>
      </w:r>
      <w:r w:rsidR="00401313">
        <w:fldChar w:fldCharType="separate"/>
      </w:r>
      <w:r w:rsidR="007C07B4" w:rsidRPr="007C07B4">
        <w:t>[35]</w:t>
      </w:r>
      <w:r w:rsidR="00401313">
        <w:fldChar w:fldCharType="end"/>
      </w:r>
      <w:r>
        <w:t xml:space="preserve"> on obedience to authority and Asch</w:t>
      </w:r>
      <w:r w:rsidR="003E49C7">
        <w:t xml:space="preserve"> </w:t>
      </w:r>
      <w:r w:rsidR="003E49C7">
        <w:fldChar w:fldCharType="begin"/>
      </w:r>
      <w:r w:rsidR="007C07B4">
        <w:instrText xml:space="preserve"> ADDIN ZOTERO_ITEM CSL_CITATION {"citationID":"U89ReIVy","properties":{"formattedCitation":"[102]","plainCitation":"[102]","noteIndex":0},"citationItems":[{"id":340,"uris":["http://zotero.org/users/5015692/items/EHJTSN25"],"itemData":{"id":340,"type":"article-journal","abstract":"The investigations described in this series are concerned with the conditions of independence and lack of independence in the face of group pressure. The abstract temper of present-day theory and investigation in this region rests to a considerable degree on a neglect of the cognitive and emotional experiences that are part of the individual's psychological field. The understanding of social influences will require the study of a wide range of conditions and of the interrelated operations of different psychological functions. A group of seven to nine individuals was gathered in a classroom to take part in what appeared to be a simple experiment in visual discrimination. The subjects were all male, white college students, ranging in age from 17 to 25; the mean age was 20. For certain purposes a large number of critical subjects was required for the present experiment. The present report is based on a total of 123 subjects. The task consisted of the comparison of a standard line with three other lines, one of which was equal in length to the standard. We investigated some of the conditions responsible for independence and lack of independence in the face of arbitrary group pressure. To this end we produced a disagreement between a group and one individual member about a clear and simple issue of fact. The interview, which followed the experimental session, provided qualitative evidence concerning the effects produced by the majority, The particular properties of the experimental situation and their relation to more usual social contradictions were described. (PsycINFO Database Record (c) 2016 APA, all rights reserved)","container-title":"Psychological Monographs: General and Applied","DOI":"10.1037/h0093718","ISSN":"0096-9753(Print)","issue":"9","note":"publisher-place: US\npublisher: American Psychological Association","page":"1-70","title":"Studies of independence and conformity: I. A minority of one against a unanimous majority.","volume":"70","author":[{"family":"Asch","given":"Solomon E."}],"issued":{"date-parts":[["1956"]]}}}],"schema":"https://github.com/citation-style-language/schema/raw/master/csl-citation.json"} </w:instrText>
      </w:r>
      <w:r w:rsidR="003E49C7">
        <w:fldChar w:fldCharType="separate"/>
      </w:r>
      <w:r w:rsidR="007C07B4" w:rsidRPr="007C07B4">
        <w:t>[102]</w:t>
      </w:r>
      <w:r w:rsidR="003E49C7">
        <w:fldChar w:fldCharType="end"/>
      </w:r>
      <w:r>
        <w:t xml:space="preserve"> on conformity have shed light on the powerful influence of social pressures on individual behavior. More recently, experimental studies have contributed to </w:t>
      </w:r>
      <w:r>
        <w:lastRenderedPageBreak/>
        <w:t>the development of effective interventions for mental health conditions, such as cognitive-behavioral therapy for depression and exposure therapy for anxiety disorders.</w:t>
      </w:r>
    </w:p>
    <w:p w14:paraId="27E42EA4" w14:textId="2DB7ACEA" w:rsidR="00A64C8F" w:rsidRDefault="00A64C8F" w:rsidP="00A64C8F">
      <w:r>
        <w:t>Medical research relies heavily on experimental designs, particularly randomized controlled trials (RCTs), to evaluate the safety and efficacy of new treatments, drugs, and medical devices. RCTs involve randomly assigning participants to treatment and control groups, enabling researchers to isolate the effects of the intervention while minimizing potential confound</w:t>
      </w:r>
      <w:r w:rsidR="00D842FE">
        <w:t>ing variables</w:t>
      </w:r>
      <w:r>
        <w:t>. For instance, a groundbreaking RCT by the Women's Health Initiative</w:t>
      </w:r>
      <w:r w:rsidR="002C7F6C">
        <w:t xml:space="preserve"> </w:t>
      </w:r>
      <w:r w:rsidR="002C7F6C">
        <w:fldChar w:fldCharType="begin"/>
      </w:r>
      <w:r w:rsidR="007C07B4">
        <w:instrText xml:space="preserve"> ADDIN ZOTERO_ITEM CSL_CITATION {"citationID":"sAZ42pUc","properties":{"formattedCitation":"[103]","plainCitation":"[103]","noteIndex":0},"citationItems":[{"id":341,"uris":["http://zotero.org/users/5015692/items/W86ZPVKD"],"itemData":{"id":341,"type":"article-journal","abstract":"ContextDespite decades of accumulated observational evidence, the balance of\nrisks and benefits for hormone use in healthy postmenopausal women remains\nuncertain.ObjectiveTo assess the major health benefits and risks of the most commonly used\ncombined hormone preparation in the United States.DesignEstrogen plus progestin component of the Women's Health Initiative,\na randomized controlled primary prevention trial (planned duration, 8.5 years)\nin which 16608 postmenopausal women aged 50-79 years with an intact uterus\nat baseline were recruited by 40 US clinical centers in 1993-1998.InterventionsParticipants received conjugated equine estrogens, 0.625 mg/d, plus\nmedroxyprogesterone acetate, 2.5 mg/d, in 1 tablet (n = 8506) or placebo (n\n= 8102).Main Outcomes MeasuresThe primary outcome was coronary heart disease (CHD) (nonfatal myocardial\ninfarction and CHD death), with invasive breast cancer as the primary adverse\noutcome. A global index summarizing the balance of risks and benefits included\nthe 2 primary outcomes plus stroke, pulmonary embolism (PE), endometrial cancer,\ncolorectal cancer, hip fracture, and death due to other causes.ResultsOn May 31, 2002, after a mean of 5.2 years of follow-up, the data and\nsafety monitoring board recommended stopping the trial of estrogen plus progestin\nvs placebo because the test statistic for invasive breast cancer exceeded\nthe stopping boundary for this adverse effect and the global index statistic\nsupported risks exceeding benefits. This report includes data on the major\nclinical outcomes through April 30, 2002. Estimated hazard ratios (HRs) (nominal\n95% confidence intervals [CIs]) were as follows: CHD, 1.29 (1.02-1.63) with\n286 cases; breast cancer, 1.26 (1.00-1.59) with 290 cases; stroke, 1.41 (1.07-1.85)\nwith 212 cases; PE, 2.13 (1.39-3.25) with 101 cases; colorectal cancer, 0.63\n(0.43-0.92) with 112 cases; endometrial cancer, 0.83 (0.47-1.47) with 47 cases;\nhip fracture, 0.66 (0.45-0.98) with 106 cases; and death due to other causes,\n0.92 (0.74-1.14) with 331 cases. Corresponding HRs (nominal 95% CIs) for composite\noutcomes were 1.22 (1.09-1.36) for total cardiovascular disease (arterial\nand venous disease), 1.03 (0.90-1.17) for total cancer, 0.76 (0.69-0.85) for\ncombined fractures, 0.98 (0.82-1.18) for total mortality, and 1.15 (1.03-1.28)\nfor the global index. Absolute excess risks per 10 000 person-years attributable\nto estrogen plus progestin were 7 more CHD events, 8 more strokes, 8 more\nPEs, and 8 more invasive breast cancers, while absolute risk reductions per\n10 000 person-years were 6 fewer colorectal cancers and 5 fewer hip fractures.\nThe absolute excess risk of events included in the global index was 19 per\n10 000 person-years.ConclusionsOverall health risks exceeded benefits from use of combined estrogen\nplus progestin for an average 5.2-year follow-up among healthy postmenopausal\nUS women. All-cause mortality was not affected during the trial. The risk-benefit\nprofile found in this trial is not consistent with the requirements for a\nviable intervention for primary prevention of chronic diseases, and the results\nindicate that this regimen should not be initiated or continued for primary\nprevention of CHD.","container-title":"JAMA","DOI":"10.1001/jama.288.3.321","ISSN":"0098-7484","issue":"3","journalAbbreviation":"JAMA","page":"321-333","title":"Risks and Benefits of Estrogen Plus Progestin in Healthy Postmenopausal WomenPrincipal Results From the Women's Health Initiative Randomized Controlled Trial","volume":"288","author":[{"literal":"Writing Group for the Women's Health Initiative Investigators"}],"issued":{"date-parts":[["2002",7,17]]}}}],"schema":"https://github.com/citation-style-language/schema/raw/master/csl-citation.json"} </w:instrText>
      </w:r>
      <w:r w:rsidR="002C7F6C">
        <w:fldChar w:fldCharType="separate"/>
      </w:r>
      <w:r w:rsidR="007C07B4" w:rsidRPr="007C07B4">
        <w:t>[103]</w:t>
      </w:r>
      <w:r w:rsidR="002C7F6C">
        <w:fldChar w:fldCharType="end"/>
      </w:r>
      <w:r>
        <w:t xml:space="preserve"> demonstrated the risks associated with hormone replacement therapy in postmenopausal women, leading to significant changes in clinical practice and public health guidelines.</w:t>
      </w:r>
    </w:p>
    <w:p w14:paraId="1EA8A110" w14:textId="7E4DBE88" w:rsidR="00A64C8F" w:rsidRDefault="00A64C8F" w:rsidP="00A64C8F">
      <w:r>
        <w:t>In the field of education, experimental research has been used to identify effective teaching strategies, assess the impact of educational interventions, and inform policy decisions. Researchers have conducted experiments to evaluate the effectiveness of various instructional approaches, such as direct instruction, problem-based learning, and cooperative learning. For example, a study by Hattie</w:t>
      </w:r>
      <w:r w:rsidR="00383D6C">
        <w:t xml:space="preserve"> </w:t>
      </w:r>
      <w:r w:rsidR="00383D6C">
        <w:fldChar w:fldCharType="begin"/>
      </w:r>
      <w:r w:rsidR="007C07B4">
        <w:instrText xml:space="preserve"> ADDIN ZOTERO_ITEM CSL_CITATION {"citationID":"Y1fqMbAG","properties":{"formattedCitation":"[104]","plainCitation":"[104]","noteIndex":0},"citationItems":[{"id":343,"uris":["http://zotero.org/users/5015692/items/WBAJTUTR"],"itemData":{"id":343,"type":"book","edition":"1","ISBN":"978-0-203-88733-2","publisher":"Routledge","title":"Visible Learning: A Synthesis of Over 800 Meta-Analyses Relating to Achievement","URL":"https://www.taylorfrancis.com/books/mono/10.4324/9780203887332/visible-learning-john-hattie","author":[{"family":"Hattie","given":"J"}],"issued":{"date-parts":[["2008"]]}}}],"schema":"https://github.com/citation-style-language/schema/raw/master/csl-citation.json"} </w:instrText>
      </w:r>
      <w:r w:rsidR="00383D6C">
        <w:fldChar w:fldCharType="separate"/>
      </w:r>
      <w:r w:rsidR="007C07B4" w:rsidRPr="007C07B4">
        <w:t>[104]</w:t>
      </w:r>
      <w:r w:rsidR="00383D6C">
        <w:fldChar w:fldCharType="end"/>
      </w:r>
      <w:r>
        <w:t xml:space="preserve"> synthesized over 800 meta-analyses of educational interventions, identifying factors such as feedback, teacher clarity, and metacognitive strategies as having the greatest impact on student achievement.</w:t>
      </w:r>
    </w:p>
    <w:p w14:paraId="62A0AC19" w14:textId="31295A4D" w:rsidR="00A64C8F" w:rsidRDefault="00A64C8F" w:rsidP="00A64C8F">
      <w:r>
        <w:t>Experimental research also has important applications in business and management, particularly in areas such as marketing, organizational behavior, and human resource management. Marketers use experimental designs to test the effectiveness of different advertising strategies, product packaging, and pricing schemes. In a classic experiment, Ariely</w:t>
      </w:r>
      <w:r w:rsidR="00383D6C">
        <w:t xml:space="preserve"> </w:t>
      </w:r>
      <w:r w:rsidR="00383D6C">
        <w:fldChar w:fldCharType="begin"/>
      </w:r>
      <w:r w:rsidR="007C07B4">
        <w:instrText xml:space="preserve"> ADDIN ZOTERO_ITEM CSL_CITATION {"citationID":"Ppk7otEF","properties":{"formattedCitation":"[105]","plainCitation":"[105]","noteIndex":0},"citationItems":[{"id":344,"uris":["http://zotero.org/users/5015692/items/ALA44H7U"],"itemData":{"id":344,"type":"book","publisher":"HarperCollins New York","title":"Predictably irrational","author":[{"family":"Ariely","given":"Dan"},{"family":"Jones","given":"Simon"}],"issued":{"date-parts":[["2008"]]}}}],"schema":"https://github.com/citation-style-language/schema/raw/master/csl-citation.json"} </w:instrText>
      </w:r>
      <w:r w:rsidR="00383D6C">
        <w:fldChar w:fldCharType="separate"/>
      </w:r>
      <w:r w:rsidR="007C07B4" w:rsidRPr="007C07B4">
        <w:t>[105]</w:t>
      </w:r>
      <w:r w:rsidR="00383D6C">
        <w:fldChar w:fldCharType="end"/>
      </w:r>
      <w:r>
        <w:t xml:space="preserve"> demonstrated the power of "free" in shaping consumer behavior, showing that people are more likely to choose a free product over a superior alternative that costs only a small amount.</w:t>
      </w:r>
    </w:p>
    <w:p w14:paraId="4C6896B2" w14:textId="4B28BC28" w:rsidR="00A64C8F" w:rsidRDefault="00A64C8F" w:rsidP="00A64C8F">
      <w:r>
        <w:t>Organizational behavior researchers employ experiments to study factors that influence employee motivation, job satisfaction, and team performance. For instance, a study by Grant</w:t>
      </w:r>
      <w:r w:rsidR="00B72085">
        <w:t xml:space="preserve"> </w:t>
      </w:r>
      <w:r w:rsidR="00B72085">
        <w:fldChar w:fldCharType="begin"/>
      </w:r>
      <w:r w:rsidR="007C07B4">
        <w:instrText xml:space="preserve"> ADDIN ZOTERO_ITEM CSL_CITATION {"citationID":"JAgr43fg","properties":{"formattedCitation":"[106]","plainCitation":"[106]","noteIndex":0},"citationItems":[{"id":345,"uris":["http://zotero.org/users/5015692/items/FCJ85K8D"],"itemData":{"id":345,"type":"article-journal","abstract":"Does task significance increase job performance? Correlational designs and confounded manipulations have prevented researchers from assessing the causal impact of task significance on job performance. To address this gap, 3 field experiments examined the performance effects, relational mechanisms, and boundary conditions of task significance. In Experiment 1, fundraising callers who received a task significance intervention increased their levels of job performance relative to callers in 2 other conditions and to their own prior performance. In Experiment 2, task significance increased the job dedication and helping behavior of lifeguards, and these effects were mediated by increases in perceptions of social impact and social worth. In Experiment 3, conscientiousness and prosocial values moderated the effects of task significance on the performance of new fundraising callers. The results provide fresh insights into the effects, relational mechanisms, and boundary conditions of task significance, offering noteworthy implications for theory, research, and practice on job design, social information processing, and work motivation and performance. (PsycInfo Database Record (c) 2022 APA, all rights reserved)","container-title":"APA PsycNet","issue":"1","page":"108-124","title":"The significance of task significance: Job performance effects, relational mechanisms, and boundary conditions.","volume":"93","author":[{"literal":"Grant, A. M."}],"issued":{"date-parts":[["2008"]]}}}],"schema":"https://github.com/citation-style-language/schema/raw/master/csl-citation.json"} </w:instrText>
      </w:r>
      <w:r w:rsidR="00B72085">
        <w:fldChar w:fldCharType="separate"/>
      </w:r>
      <w:r w:rsidR="007C07B4" w:rsidRPr="007C07B4">
        <w:t>[106]</w:t>
      </w:r>
      <w:r w:rsidR="00B72085">
        <w:fldChar w:fldCharType="end"/>
      </w:r>
      <w:r>
        <w:t xml:space="preserve"> found that call center employees who were exposed to the beneficiaries of their work (in this case, scholarship recipients) showed significant increases in job performance and customer service ratings compared to a control group.</w:t>
      </w:r>
    </w:p>
    <w:p w14:paraId="760A9138" w14:textId="77777777" w:rsidR="00A64C8F" w:rsidRDefault="00A64C8F" w:rsidP="00A64C8F">
      <w:r>
        <w:t>While experimental research offers valuable insights across various fields, it is important to recognize the unique challenges and ethical considerations in each domain. In medical research, for example, experiments must adhere to strict ethical guidelines, such as obtaining informed consent and minimizing risks to participants. Educational researchers must be sensitive to the potential impact of their interventions on students' learning experiences and ensure equitable access to beneficial treatments.</w:t>
      </w:r>
    </w:p>
    <w:p w14:paraId="29F00330" w14:textId="4A8DA8CB" w:rsidR="00A64C8F" w:rsidRDefault="00A64C8F" w:rsidP="00A64C8F">
      <w:r>
        <w:t>As you explore the applications of experimental research in your own field of interest, consider the specific research questions, methodological challenges, and ethical implications involved. By understanding how experimental designs can be adapted to address the unique needs of different disciplines, you can develop a more versatile and impactful research toolkit.</w:t>
      </w:r>
    </w:p>
    <w:p w14:paraId="5327D69E" w14:textId="6100FA8B" w:rsidR="00A626FE" w:rsidRDefault="00254084" w:rsidP="00AE71C9">
      <w:pPr>
        <w:pStyle w:val="Heading3"/>
      </w:pPr>
      <w:bookmarkStart w:id="141" w:name="_Toc169156762"/>
      <w:r>
        <w:rPr>
          <w:noProof/>
        </w:rPr>
        <w:lastRenderedPageBreak/>
        <w:drawing>
          <wp:anchor distT="0" distB="0" distL="114300" distR="114300" simplePos="0" relativeHeight="251971668" behindDoc="0" locked="0" layoutInCell="1" allowOverlap="1" wp14:anchorId="7D98A100" wp14:editId="7ECD6E38">
            <wp:simplePos x="0" y="0"/>
            <wp:positionH relativeFrom="column">
              <wp:align>right</wp:align>
            </wp:positionH>
            <wp:positionV relativeFrom="paragraph">
              <wp:posOffset>0</wp:posOffset>
            </wp:positionV>
            <wp:extent cx="914400" cy="914400"/>
            <wp:effectExtent l="19050" t="19050" r="19050" b="19050"/>
            <wp:wrapSquare wrapText="bothSides"/>
            <wp:docPr id="95145547"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305552">
        <w:t>Summary of Chapter 9: Experimental Research</w:t>
      </w:r>
      <w:bookmarkEnd w:id="141"/>
    </w:p>
    <w:p w14:paraId="642E003E" w14:textId="77777777" w:rsidR="00376D9E" w:rsidRDefault="00376D9E" w:rsidP="00376D9E">
      <w:r>
        <w:t>In this chapter, you have explored the fundamental concepts and applications of experimental research, a powerful tool for establishing cause-and-effect relationships. By understanding the key features of experimental design, you can critically analyze research studies and design your own experiments to investigate important questions in your field. Here are the primary concepts covered in this chapter:</w:t>
      </w:r>
    </w:p>
    <w:p w14:paraId="5AC9A7E0" w14:textId="77777777" w:rsidR="00376D9E" w:rsidRDefault="00376D9E" w:rsidP="00CE0E6F">
      <w:pPr>
        <w:pStyle w:val="ListParagraph"/>
        <w:numPr>
          <w:ilvl w:val="0"/>
          <w:numId w:val="303"/>
        </w:numPr>
      </w:pPr>
      <w:r>
        <w:t>Experimental research involves manipulating one or more independent variables to observe their effect on the dependent variable, while controlling for extraneous factors.</w:t>
      </w:r>
    </w:p>
    <w:p w14:paraId="053A316B" w14:textId="77777777" w:rsidR="00376D9E" w:rsidRDefault="00376D9E" w:rsidP="00CE0E6F">
      <w:pPr>
        <w:pStyle w:val="ListParagraph"/>
        <w:numPr>
          <w:ilvl w:val="0"/>
          <w:numId w:val="303"/>
        </w:numPr>
      </w:pPr>
      <w:r>
        <w:t>Experiments can be conducted in laboratory or field settings, each with its own strengths and limitations in terms of internal and external validity.</w:t>
      </w:r>
    </w:p>
    <w:p w14:paraId="24867EB6" w14:textId="77777777" w:rsidR="00376D9E" w:rsidRDefault="00376D9E" w:rsidP="00CE0E6F">
      <w:pPr>
        <w:pStyle w:val="ListParagraph"/>
        <w:numPr>
          <w:ilvl w:val="0"/>
          <w:numId w:val="303"/>
        </w:numPr>
      </w:pPr>
      <w:r>
        <w:t>Actual experiments involve both manipulation of treatments and random assignment of participants, while quasi-experiments lack random assignment.</w:t>
      </w:r>
    </w:p>
    <w:p w14:paraId="56B7BF5E" w14:textId="77777777" w:rsidR="00376D9E" w:rsidRDefault="00376D9E" w:rsidP="00CE0E6F">
      <w:pPr>
        <w:pStyle w:val="ListParagraph"/>
        <w:numPr>
          <w:ilvl w:val="0"/>
          <w:numId w:val="303"/>
        </w:numPr>
      </w:pPr>
      <w:r>
        <w:t>The four basic concepts of experimental design are treatment and control groups, manipulation of treatments, random selection and assignment, and mitigation of threats to internal validity.</w:t>
      </w:r>
    </w:p>
    <w:p w14:paraId="62355C47" w14:textId="77777777" w:rsidR="00376D9E" w:rsidRDefault="00376D9E" w:rsidP="00CE0E6F">
      <w:pPr>
        <w:pStyle w:val="ListParagraph"/>
        <w:numPr>
          <w:ilvl w:val="0"/>
          <w:numId w:val="303"/>
        </w:numPr>
      </w:pPr>
      <w:r>
        <w:t>Replication and reproducibility are crucial for establishing the reliability and validity of experimental findings, and can be promoted through practices such as preregistration, open science, and transparent reporting.</w:t>
      </w:r>
    </w:p>
    <w:p w14:paraId="3421F58C" w14:textId="77777777" w:rsidR="00376D9E" w:rsidRDefault="00376D9E" w:rsidP="00CE0E6F">
      <w:pPr>
        <w:pStyle w:val="ListParagraph"/>
        <w:numPr>
          <w:ilvl w:val="0"/>
          <w:numId w:val="303"/>
        </w:numPr>
      </w:pPr>
      <w:r>
        <w:t>Two-group experimental designs, including the pretest/post-test control group design and the post-test-only control group design, are fundamental approaches to investigating the impact of a single independent variable.</w:t>
      </w:r>
    </w:p>
    <w:p w14:paraId="15D5C8F7" w14:textId="77777777" w:rsidR="00376D9E" w:rsidRDefault="00376D9E" w:rsidP="00CE0E6F">
      <w:pPr>
        <w:pStyle w:val="ListParagraph"/>
        <w:numPr>
          <w:ilvl w:val="0"/>
          <w:numId w:val="303"/>
        </w:numPr>
      </w:pPr>
      <w:r>
        <w:t>Factorial designs allow researchers to investigate the effects of multiple independent variables simultaneously and to examine both main effects and interaction effects.</w:t>
      </w:r>
    </w:p>
    <w:p w14:paraId="458B5BAF" w14:textId="77777777" w:rsidR="00376D9E" w:rsidRDefault="00376D9E" w:rsidP="00CE0E6F">
      <w:pPr>
        <w:pStyle w:val="ListParagraph"/>
        <w:numPr>
          <w:ilvl w:val="0"/>
          <w:numId w:val="303"/>
        </w:numPr>
      </w:pPr>
      <w:r>
        <w:t>Hybrid experimental designs, such as randomized block, Solomon four-group, and switched replication designs, offer flexibility in addressing specific research needs and minimizing potential confounds.</w:t>
      </w:r>
    </w:p>
    <w:p w14:paraId="0E492C02" w14:textId="77777777" w:rsidR="00376D9E" w:rsidRDefault="00376D9E" w:rsidP="00376D9E">
      <w:r>
        <w:t>By mastering these concepts, you will be well-equipped to design and conduct rigorous experiments that contribute to the advancement of knowledge in your field. Experimental research is a cornerstone of the scientific method, and the skills you develop in this class will serve you well throughout your academic and professional journey.</w:t>
      </w:r>
    </w:p>
    <w:p w14:paraId="2F2FE60F" w14:textId="1874C4D5" w:rsidR="008564EE" w:rsidRDefault="00376D9E" w:rsidP="00376D9E">
      <w:r>
        <w:t>As you continue to explore the world of research, think critically about the studies you encounter and consider how you can apply the principles of experimental design to your own research questions. By embracing the challenges and opportunities of experimental research, you can make valuable contributions to your field and help shape the future of scientific inquiry.</w:t>
      </w:r>
    </w:p>
    <w:p w14:paraId="5F2F1F16" w14:textId="77777777" w:rsidR="00E66504" w:rsidRPr="008564EE" w:rsidRDefault="00E66504" w:rsidP="00376D9E"/>
    <w:p w14:paraId="17DA562B" w14:textId="77777777" w:rsidR="00E66504" w:rsidRDefault="00E66504" w:rsidP="000E309B">
      <w:pPr>
        <w:spacing w:line="360" w:lineRule="auto"/>
        <w:sectPr w:rsidR="00E66504" w:rsidSect="00FD08D0">
          <w:headerReference w:type="default" r:id="rId252"/>
          <w:pgSz w:w="12240" w:h="15840"/>
          <w:pgMar w:top="1440" w:right="1440" w:bottom="1440" w:left="1440" w:header="720" w:footer="720" w:gutter="0"/>
          <w:cols w:space="720"/>
          <w:docGrid w:linePitch="299"/>
        </w:sectPr>
      </w:pPr>
    </w:p>
    <w:p w14:paraId="75EF0D46" w14:textId="5A135E22" w:rsidR="00BE2E2F" w:rsidRDefault="004F27BD" w:rsidP="00BE2E2F">
      <w:pPr>
        <w:pStyle w:val="Heading2"/>
      </w:pPr>
      <w:bookmarkStart w:id="142" w:name="_Toc169156763"/>
      <w:r>
        <w:rPr>
          <w:noProof/>
        </w:rPr>
        <w:lastRenderedPageBreak/>
        <w:drawing>
          <wp:anchor distT="0" distB="0" distL="114300" distR="114300" simplePos="0" relativeHeight="251913300" behindDoc="0" locked="0" layoutInCell="1" allowOverlap="1" wp14:anchorId="7B327995" wp14:editId="26DD63DB">
            <wp:simplePos x="0" y="0"/>
            <wp:positionH relativeFrom="column">
              <wp:align>right</wp:align>
            </wp:positionH>
            <wp:positionV relativeFrom="paragraph">
              <wp:posOffset>0</wp:posOffset>
            </wp:positionV>
            <wp:extent cx="1527048" cy="1527048"/>
            <wp:effectExtent l="0" t="0" r="0" b="0"/>
            <wp:wrapSquare wrapText="bothSides"/>
            <wp:docPr id="281275837" name="Picture 1" descr="A person standing behind a display cas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75837" name="Picture 1" descr="A person standing behind a display case with food&#10;&#10;Description automatically generated"/>
                    <pic:cNvPicPr/>
                  </pic:nvPicPr>
                  <pic:blipFill>
                    <a:blip r:embed="rId253" cstate="print">
                      <a:extLst>
                        <a:ext uri="{BEBA8EAE-BF5A-486C-A8C5-ECC9F3942E4B}">
                          <a14:imgProps xmlns:a14="http://schemas.microsoft.com/office/drawing/2010/main">
                            <a14:imgLayer r:embed="rId25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27048" cy="1527048"/>
                    </a:xfrm>
                    <a:prstGeom prst="rect">
                      <a:avLst/>
                    </a:prstGeom>
                  </pic:spPr>
                </pic:pic>
              </a:graphicData>
            </a:graphic>
            <wp14:sizeRelH relativeFrom="margin">
              <wp14:pctWidth>0</wp14:pctWidth>
            </wp14:sizeRelH>
            <wp14:sizeRelV relativeFrom="margin">
              <wp14:pctHeight>0</wp14:pctHeight>
            </wp14:sizeRelV>
          </wp:anchor>
        </w:drawing>
      </w:r>
      <w:r w:rsidR="00BE2E2F">
        <w:t>10</w:t>
      </w:r>
      <w:r w:rsidR="00CB0B52">
        <w:t>:</w:t>
      </w:r>
      <w:r w:rsidR="00BE2E2F">
        <w:t xml:space="preserve"> The Role of Statistics in Research</w:t>
      </w:r>
      <w:bookmarkEnd w:id="142"/>
    </w:p>
    <w:p w14:paraId="62BD92F0" w14:textId="0A7A7193" w:rsidR="00657067" w:rsidRDefault="00657067" w:rsidP="00657067">
      <w:pPr>
        <w:pStyle w:val="Heading3"/>
      </w:pPr>
      <w:bookmarkStart w:id="143" w:name="_Toc169156764"/>
      <w:r>
        <w:t>Introduction</w:t>
      </w:r>
      <w:bookmarkEnd w:id="143"/>
    </w:p>
    <w:p w14:paraId="4109EC28" w14:textId="22C8A7AD" w:rsidR="008955E9" w:rsidRDefault="00C60769" w:rsidP="00BE2E2F">
      <w:r w:rsidRPr="008955E9">
        <w:t>Maria owns a small bakery and wants to expand her business by offering delivery services. To determine whether this is a viable option, she collects data on her customers' preferences, including their willingness to pay for delivery and the distance they would want their orders delivered. By analyzing this data using basic statistical techniques, Maria gains valuable insights into the feasibility of introducing delivery services and can make an informed decision about how to grow her business.</w:t>
      </w:r>
    </w:p>
    <w:p w14:paraId="17001E3F" w14:textId="63C9BE43" w:rsidR="00C60769" w:rsidRDefault="00C60769" w:rsidP="00BE2E2F">
      <w:r>
        <w:t xml:space="preserve">Statistics play an indispensable role in modern research across virtually all disciplines, from the natural and social sciences to business and beyond. At its core, statistics is a set of tools that enable researchers to collect, organize, analyze, interpret, and present data in a meaningful way </w:t>
      </w:r>
      <w:r w:rsidR="004047E6">
        <w:fldChar w:fldCharType="begin"/>
      </w:r>
      <w:r w:rsidR="007C07B4">
        <w:instrText xml:space="preserve"> ADDIN ZOTERO_ITEM CSL_CITATION {"citationID":"R8IoMTUn","properties":{"formattedCitation":"[107]","plainCitation":"[107]","noteIndex":0},"citationItems":[{"id":371,"uris":["http://zotero.org/users/5015692/items/I4IIJUXF"],"itemData":{"id":371,"type":"book","abstract":"OpenIntro Statistics offers a traditional introduction to statistics at the college level. This textbook is widely used at the college level and offers an exceptional and accessible introduction for students from community colleges to the Ivy League. The textbook has been thoroughly vetted with an estimated 20,000 students using it annually.","edition":"4","title":"OpenIntro Statistics","URL":"https://leanpub.com/os","author":[{"family":"Diez","given":"David"},{"family":"Cetinkaya-Rundel","given":"Mine"},{"family":"Barr","given":"Christopher"}]}}],"schema":"https://github.com/citation-style-language/schema/raw/master/csl-citation.json"} </w:instrText>
      </w:r>
      <w:r w:rsidR="004047E6">
        <w:fldChar w:fldCharType="separate"/>
      </w:r>
      <w:r w:rsidR="007C07B4" w:rsidRPr="007C07B4">
        <w:t>[107]</w:t>
      </w:r>
      <w:r w:rsidR="004047E6">
        <w:fldChar w:fldCharType="end"/>
      </w:r>
      <w:r>
        <w:t>. It allows us to transform raw observations into actionable insights by uncovering patterns, relationships, and trends that may not be immediately apparent.</w:t>
      </w:r>
    </w:p>
    <w:p w14:paraId="38D32799" w14:textId="4F3DF580" w:rsidR="00BE2E2F" w:rsidRDefault="00BE2E2F" w:rsidP="00BE2E2F">
      <w:r>
        <w:t>Whether you're a student conducting your first study or a seasoned researcher, having a solid grasp of statistical concepts and methods is essential for designing robust experiments, drawing valid conclusions from your data, and effectively communicating your findings to others. However, for many students, the mere mention of the word "statistics" can evoke feelings of anxiety and trepidation.</w:t>
      </w:r>
    </w:p>
    <w:p w14:paraId="17A2E756" w14:textId="4E38920C" w:rsidR="00BE2E2F" w:rsidRDefault="00BE2E2F" w:rsidP="00BE2E2F">
      <w:r>
        <w:t>The good news is that you don't need to be a mathematical prodigy to understand and apply basic statistical principles in your research. This chapter aims to demystify the role of statistics in the research process, introducing key concepts and techniques in an accessible, reader-friendly manner. While we won't delve into the intricate mathematical formulas underpinning each statistical test, we will focus on developing your statistical literacy - the ability to understand, evaluate, and communicate statistical information</w:t>
      </w:r>
      <w:r w:rsidR="00401ABB">
        <w:t xml:space="preserve"> </w:t>
      </w:r>
      <w:r w:rsidR="00401ABB">
        <w:fldChar w:fldCharType="begin"/>
      </w:r>
      <w:r w:rsidR="007C07B4">
        <w:instrText xml:space="preserve"> ADDIN ZOTERO_ITEM CSL_CITATION {"citationID":"y9l4yHxM","properties":{"formattedCitation":"[108]","plainCitation":"[108]","noteIndex":0},"citationItems":[{"id":372,"uris":["http://zotero.org/users/5015692/items/22SRHTY8"],"itemData":{"id":372,"type":"article-journal","abstract":"In this paper, I will define statistical literacy (what it is and what it is not) and discuss how we can promote it in our introductory statistics courses, both in terms of teaching philosophy and curricular issues. I will discuss the important elements that comprise statistical literacy, and provide examples of how I promote each element in my courses. I will stress the importance of and ways to move beyond the \"what\" of statistics to the \"how\" and \"why\" of statistics in order to accomplish the goals of promoting good citizenship and preparing skilled research scientists.","container-title":"Journal of Statistics Education","issue":"3","title":"Statistical Literacy as a Goal for Introductory Statistics Courses","volume":"10","author":[{"family":"Rumsey","given":"Deborah"}],"issued":{"date-parts":[["2002"]]}}}],"schema":"https://github.com/citation-style-language/schema/raw/master/csl-citation.json"} </w:instrText>
      </w:r>
      <w:r w:rsidR="00401ABB">
        <w:fldChar w:fldCharType="separate"/>
      </w:r>
      <w:r w:rsidR="007C07B4" w:rsidRPr="007C07B4">
        <w:t>[108]</w:t>
      </w:r>
      <w:r w:rsidR="00401ABB">
        <w:fldChar w:fldCharType="end"/>
      </w:r>
      <w:r>
        <w:t>.</w:t>
      </w:r>
    </w:p>
    <w:p w14:paraId="66F1917C" w14:textId="2A9CCE76" w:rsidR="005306FB" w:rsidRDefault="00BA2FE5" w:rsidP="005306FB">
      <w:pPr>
        <w:pStyle w:val="IntenseQuote"/>
      </w:pPr>
      <w:r>
        <w:rPr>
          <w:noProof/>
        </w:rPr>
        <w:drawing>
          <wp:anchor distT="0" distB="0" distL="114300" distR="114300" simplePos="0" relativeHeight="251954260" behindDoc="0" locked="0" layoutInCell="1" allowOverlap="1" wp14:anchorId="5CA93EEF" wp14:editId="6625C9F6">
            <wp:simplePos x="0" y="0"/>
            <wp:positionH relativeFrom="column">
              <wp:align>right</wp:align>
            </wp:positionH>
            <wp:positionV relativeFrom="paragraph">
              <wp:posOffset>0</wp:posOffset>
            </wp:positionV>
            <wp:extent cx="914400" cy="914400"/>
            <wp:effectExtent l="19050" t="19050" r="19050" b="19050"/>
            <wp:wrapSquare wrapText="bothSides"/>
            <wp:docPr id="1089283853"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5306FB">
        <w:t>Objectives</w:t>
      </w:r>
    </w:p>
    <w:p w14:paraId="00E47B6D" w14:textId="77777777" w:rsidR="005306FB" w:rsidRDefault="005306FB" w:rsidP="005306FB">
      <w:pPr>
        <w:pStyle w:val="Quote"/>
      </w:pPr>
      <w:r>
        <w:t>Explain and discuss the role of statistics in the research process, including how statistics aid in summarizing data, making inferences about populations, testing hypotheses, quantifying uncertainty, and effectively communicating findings.</w:t>
      </w:r>
    </w:p>
    <w:p w14:paraId="585FBAFF" w14:textId="77777777" w:rsidR="005306FB" w:rsidRDefault="005306FB" w:rsidP="005306FB">
      <w:pPr>
        <w:pStyle w:val="Quote"/>
      </w:pPr>
      <w:r>
        <w:t>Understand and apply the basic concepts of descriptive statistics, including measures of central tendency (mean, median, mode) and measures of variability (range, variance, standard deviation), to summarize and describe datasets and gain a clear understanding of the key characteristics of the data.</w:t>
      </w:r>
    </w:p>
    <w:p w14:paraId="6B959D88" w14:textId="77777777" w:rsidR="005306FB" w:rsidRDefault="005306FB" w:rsidP="005306FB">
      <w:pPr>
        <w:pStyle w:val="Quote"/>
      </w:pPr>
      <w:r>
        <w:lastRenderedPageBreak/>
        <w:t>Outline the steps of hypothesis testing, from formulating the null and alternative hypotheses, setting the significance level, and choosing the appropriate statistical test, to calculating the test statistic and p-value, and interpreting the results in the context of the study.</w:t>
      </w:r>
    </w:p>
    <w:p w14:paraId="65C947FD" w14:textId="77777777" w:rsidR="005306FB" w:rsidRDefault="005306FB" w:rsidP="005306FB">
      <w:pPr>
        <w:pStyle w:val="Quote"/>
      </w:pPr>
      <w:r>
        <w:t>Comprehend the meaning and interpretation of confidence intervals and p-values as measures of precision and statistical significance of research findings, respectively, including the strengths and limitations of these concepts and the need to consider them in the context of study design, sample size, and other factors.</w:t>
      </w:r>
    </w:p>
    <w:p w14:paraId="456446FD" w14:textId="75DBB02A" w:rsidR="005306FB" w:rsidRDefault="005306FB" w:rsidP="005306FB">
      <w:pPr>
        <w:pStyle w:val="Quote"/>
      </w:pPr>
      <w:r>
        <w:t>Identify and differentiate between common parametric statistical tests, such as t-tests, ANOVA, Pearson's correlation, and linear regression, and understand their applications, assumptions, and appropriate use in various research scenarios, as well as recognize when non-parametric alternatives may be more suitable.</w:t>
      </w:r>
    </w:p>
    <w:p w14:paraId="5F917E0B" w14:textId="77777777" w:rsidR="00BE2E2F" w:rsidRDefault="00BE2E2F" w:rsidP="00BE2E2F">
      <w:pPr>
        <w:pStyle w:val="Heading3"/>
      </w:pPr>
      <w:bookmarkStart w:id="144" w:name="_Toc169156765"/>
      <w:r>
        <w:t>The Importance of Statistics in Research</w:t>
      </w:r>
      <w:bookmarkEnd w:id="144"/>
    </w:p>
    <w:p w14:paraId="6B9D67DA" w14:textId="77777777" w:rsidR="00BE2E2F" w:rsidRDefault="00BE2E2F" w:rsidP="00BE2E2F">
      <w:r>
        <w:t>At its heart, research is about answering questions and solving problems through the systematic collection and analysis of data. Statistics provide researchers with a powerful toolkit for achieving these goals, enabling them to:</w:t>
      </w:r>
    </w:p>
    <w:p w14:paraId="10A5F9B4" w14:textId="7BEFA23E" w:rsidR="00BE2E2F" w:rsidRDefault="00BE2E2F" w:rsidP="00BE2E2F">
      <w:pPr>
        <w:pStyle w:val="ListParagraph"/>
        <w:numPr>
          <w:ilvl w:val="0"/>
          <w:numId w:val="324"/>
        </w:numPr>
        <w:spacing w:line="259" w:lineRule="auto"/>
      </w:pPr>
      <w:r w:rsidRPr="00A00EE4">
        <w:rPr>
          <w:b/>
          <w:bCs/>
        </w:rPr>
        <w:t>Summarize and describe data</w:t>
      </w:r>
      <w:r>
        <w:t>: Descriptive statistics allow researchers to condense large datasets into a few key measures, such as the mean, median, mode, and standard deviation, providing a clear and concise snapshot of the data</w:t>
      </w:r>
      <w:r w:rsidR="00821336">
        <w:t xml:space="preserve"> </w:t>
      </w:r>
      <w:r w:rsidR="00821336">
        <w:fldChar w:fldCharType="begin"/>
      </w:r>
      <w:r w:rsidR="007C07B4">
        <w:instrText xml:space="preserve"> ADDIN ZOTERO_ITEM CSL_CITATION {"citationID":"s6RwCHWL","properties":{"formattedCitation":"[109]","plainCitation":"[109]","noteIndex":0},"citationItems":[{"id":373,"uris":["http://zotero.org/users/5015692/items/LRQCW89R"],"itemData":{"id":373,"type":"book","abstract":"Statistics: The Art and Science of Learning From Data, 5th Edition helps you understand what statistics is all about and learn the right questions to ask when analyzing data, instead of just memorizing procedures. It makes accessible the ideas that have turned statistics into a central science of modern life, without compromising essential material. Students often find this book enjoyable to read and stay engaged with the wide variety of real-world data in the examples and exercises. Based on the authors' belief that it's important for you to learn and analyze both quantitative and categorial data, this text pays greater attention to the analysis of proportions than many other introductory statistics texts.","edition":"5","ISBN":"978-0-13-687999-2","publisher":"Pearson","title":"Statistics: The Art and Science of Learning from Data","author":[{"family":"Agresti","given":"Alan"},{"family":"Franklin","given":"Christine"},{"family":"Klingenberg","given":"Bernhard"}],"issued":{"date-parts":[["2021"]]}}}],"schema":"https://github.com/citation-style-language/schema/raw/master/csl-citation.json"} </w:instrText>
      </w:r>
      <w:r w:rsidR="00821336">
        <w:fldChar w:fldCharType="separate"/>
      </w:r>
      <w:r w:rsidR="007C07B4" w:rsidRPr="007C07B4">
        <w:t>[109]</w:t>
      </w:r>
      <w:r w:rsidR="00821336">
        <w:fldChar w:fldCharType="end"/>
      </w:r>
      <w:r>
        <w:t>.</w:t>
      </w:r>
    </w:p>
    <w:p w14:paraId="4A692A42" w14:textId="77777777" w:rsidR="00BE2E2F" w:rsidRDefault="00BE2E2F" w:rsidP="00BE2E2F">
      <w:pPr>
        <w:pStyle w:val="ListParagraph"/>
        <w:numPr>
          <w:ilvl w:val="0"/>
          <w:numId w:val="324"/>
        </w:numPr>
        <w:spacing w:line="259" w:lineRule="auto"/>
      </w:pPr>
      <w:r w:rsidRPr="00A00EE4">
        <w:rPr>
          <w:b/>
          <w:bCs/>
        </w:rPr>
        <w:t>Make inferences about populations</w:t>
      </w:r>
      <w:r>
        <w:t>: Inferential statistics enable researchers to draw conclusions about entire populations based on data from a representative sample. This is particularly valuable when studying large groups where surveying every individual is impractical or impossible.</w:t>
      </w:r>
    </w:p>
    <w:p w14:paraId="3F8704D6" w14:textId="66DCB79C" w:rsidR="00BE2E2F" w:rsidRDefault="00BE2E2F" w:rsidP="00BE2E2F">
      <w:pPr>
        <w:pStyle w:val="ListParagraph"/>
        <w:numPr>
          <w:ilvl w:val="0"/>
          <w:numId w:val="324"/>
        </w:numPr>
        <w:spacing w:line="259" w:lineRule="auto"/>
      </w:pPr>
      <w:r w:rsidRPr="00A00EE4">
        <w:rPr>
          <w:b/>
          <w:bCs/>
        </w:rPr>
        <w:t>Test hypotheses and draw conclusions</w:t>
      </w:r>
      <w:r>
        <w:t>: Statistics provide a framework for testing research hypotheses - tentative explanations or predictions about the relationship between variables. By comparing observed data to what would be expected if the hypothesis were true, researchers can determine whether their findings support or refute their initial ideas.</w:t>
      </w:r>
    </w:p>
    <w:p w14:paraId="39D15DEF" w14:textId="554F21F3" w:rsidR="00BE2E2F" w:rsidRDefault="00BE2E2F" w:rsidP="00BE2E2F">
      <w:pPr>
        <w:pStyle w:val="ListParagraph"/>
        <w:numPr>
          <w:ilvl w:val="0"/>
          <w:numId w:val="324"/>
        </w:numPr>
        <w:spacing w:line="259" w:lineRule="auto"/>
      </w:pPr>
      <w:r w:rsidRPr="00A00EE4">
        <w:rPr>
          <w:b/>
          <w:bCs/>
        </w:rPr>
        <w:t>Quantify uncertainty and make predictions</w:t>
      </w:r>
      <w:r>
        <w:t>: No study is perfect, and there will always be some degree of uncertainty in research findings. Statistics help researchers quantify this uncertainty through measures like confidence intervals and p-values, allowing them to make informed judgments about the reliability and generalizability of their results</w:t>
      </w:r>
      <w:r w:rsidR="00AB60B2">
        <w:t xml:space="preserve"> </w:t>
      </w:r>
      <w:r w:rsidR="00AB60B2">
        <w:fldChar w:fldCharType="begin"/>
      </w:r>
      <w:r w:rsidR="007C07B4">
        <w:instrText xml:space="preserve"> ADDIN ZOTERO_ITEM CSL_CITATION {"citationID":"fJsNpD5y","properties":{"formattedCitation":"[110]","plainCitation":"[110]","noteIndex":0},"citationItems":[{"id":"AMPxj4oI/aAjexrma","uris":["http://zotero.org/users/5015692/items/B2BRPNBY"],"itemData":{"id":374,"type":"article-journal","abstract":"Misinterpretation and abuse of statistical tests, confidence intervals, and statistical power have been decried for decades, yet remain rampant. A key problem is that there are no interpretations of these concepts that are at once simple, intuitive, correct, and foolproof. Instead, correct use and interpretation of these statistics requires an attention to detail which seems to tax the patience of working scientists. This high cognitive demand has led to an epidemic of shortcut definitions and interpretations that are simply wrong, sometimes disastrously so—and yet these misinterpretations dominate much of the scientific literature. In light of this problem, we provide definitions and a discussion of basic statistics that are more general and critical than typically found in traditional introductory expositions. Our goal is to provide a resource for instructors, researchers, and consumers of statistics whose knowledge of statistical theory and technique may be limited but who wish to avoid and spot misinterpretations. We emphasize how violation of often unstated analysis protocols (such as selecting analyses for presentation based on the P values they produce) can lead to small P values even if the declared test hypothesis is correct, and can lead to large P values even if that hypothesis is incorrect. We then provide an explanatory list of 25 misinterpretations of P values, confidence intervals, and power. We conclude with guidelines for improving statistical interpretation and reporting.","container-title":"European Journal of Epidemiology","DOI":"10.1007/s10654-016-0149-3","ISSN":"1573-7284","issue":"4","journalAbbreviation":"European Journal of Epidemiology","page":"337-350","title":"Statistical tests, P values, confidence intervals, and power: a guide to misinterpretations","volume":"31","author":[{"family":"Greenland","given":"Sander"},{"family":"Senn","given":"Stephen J."},{"family":"Rothman","given":"Kenneth J."},{"family":"Carlin","given":"John B."},{"family":"Poole","given":"Charles"},{"family":"Goodman","given":"Steven N."},{"family":"Altman","given":"Douglas G."}],"issued":{"date-parts":[["2016",4,1]]}}}],"schema":"https://github.com/citation-style-language/schema/raw/master/csl-citation.json"} </w:instrText>
      </w:r>
      <w:r w:rsidR="00AB60B2">
        <w:fldChar w:fldCharType="separate"/>
      </w:r>
      <w:r w:rsidR="007C07B4" w:rsidRPr="007C07B4">
        <w:t>[110]</w:t>
      </w:r>
      <w:r w:rsidR="00AB60B2">
        <w:fldChar w:fldCharType="end"/>
      </w:r>
      <w:r>
        <w:t>.</w:t>
      </w:r>
    </w:p>
    <w:p w14:paraId="300D6BA6" w14:textId="320396FB" w:rsidR="00BE2E2F" w:rsidRDefault="00BE2E2F" w:rsidP="00BE2E2F">
      <w:pPr>
        <w:pStyle w:val="ListParagraph"/>
        <w:numPr>
          <w:ilvl w:val="0"/>
          <w:numId w:val="324"/>
        </w:numPr>
        <w:spacing w:line="259" w:lineRule="auto"/>
      </w:pPr>
      <w:r w:rsidRPr="00A00EE4">
        <w:rPr>
          <w:b/>
          <w:bCs/>
        </w:rPr>
        <w:t>Communicate findings effectively</w:t>
      </w:r>
      <w:r>
        <w:t xml:space="preserve">: Statistical techniques enable researchers to present their data in a clear, concise, and compelling manner </w:t>
      </w:r>
      <w:r w:rsidR="00614CD8">
        <w:t>using</w:t>
      </w:r>
      <w:r>
        <w:t xml:space="preserve"> graphs, charts, and tables. This helps convey complex information to diverse audiences, from fellow researchers to policymakers and the </w:t>
      </w:r>
      <w:r w:rsidR="00614CD8">
        <w:t>public</w:t>
      </w:r>
      <w:r>
        <w:t>.</w:t>
      </w:r>
    </w:p>
    <w:p w14:paraId="2C60376E" w14:textId="77777777" w:rsidR="00265EB7" w:rsidRDefault="00265EB7" w:rsidP="00265EB7">
      <w:pPr>
        <w:pStyle w:val="Heading3"/>
      </w:pPr>
      <w:bookmarkStart w:id="145" w:name="_Toc169156766"/>
      <w:r>
        <w:t>Introduction to Descriptive Statistics</w:t>
      </w:r>
      <w:bookmarkEnd w:id="145"/>
    </w:p>
    <w:p w14:paraId="3505C83A" w14:textId="6B883BBA" w:rsidR="00BE2E2F" w:rsidRDefault="006049A1" w:rsidP="00BE2E2F">
      <w:r>
        <w:t xml:space="preserve">When embarking on any data analysis project, one of the most crucial initial steps is to gain a comprehensive understanding of your dataset. This is where descriptive statistics come into play. </w:t>
      </w:r>
      <w:r>
        <w:lastRenderedPageBreak/>
        <w:t>By employing these techniques, you can effectively summarize and describe the key characteristics of your data, providing a clear and concise overview of the variables you are interested in studying. When working with numerical data, two fundamental aspects to consider are central tendency and variability</w:t>
      </w:r>
      <w:r w:rsidR="00614CD8">
        <w:t xml:space="preserve"> </w:t>
      </w:r>
      <w:r w:rsidR="00614CD8">
        <w:fldChar w:fldCharType="begin"/>
      </w:r>
      <w:r w:rsidR="007C07B4">
        <w:instrText xml:space="preserve"> ADDIN ZOTERO_ITEM CSL_CITATION {"citationID":"ffW580uS","properties":{"formattedCitation":"[107]","plainCitation":"[107]","noteIndex":0},"citationItems":[{"id":371,"uris":["http://zotero.org/users/5015692/items/I4IIJUXF"],"itemData":{"id":371,"type":"book","abstract":"OpenIntro Statistics offers a traditional introduction to statistics at the college level. This textbook is widely used at the college level and offers an exceptional and accessible introduction for students from community colleges to the Ivy League. The textbook has been thoroughly vetted with an estimated 20,000 students using it annually.","edition":"4","title":"OpenIntro Statistics","URL":"https://leanpub.com/os","author":[{"family":"Diez","given":"David"},{"family":"Cetinkaya-Rundel","given":"Mine"},{"family":"Barr","given":"Christopher"}]}}],"schema":"https://github.com/citation-style-language/schema/raw/master/csl-citation.json"} </w:instrText>
      </w:r>
      <w:r w:rsidR="00614CD8">
        <w:fldChar w:fldCharType="separate"/>
      </w:r>
      <w:r w:rsidR="007C07B4" w:rsidRPr="007C07B4">
        <w:t>[107]</w:t>
      </w:r>
      <w:r w:rsidR="00614CD8">
        <w:fldChar w:fldCharType="end"/>
      </w:r>
      <w:r w:rsidR="00BE2E2F">
        <w:t>.</w:t>
      </w:r>
    </w:p>
    <w:p w14:paraId="793D9FEB" w14:textId="77777777" w:rsidR="00374569" w:rsidRDefault="00374569" w:rsidP="00374569">
      <w:pPr>
        <w:pStyle w:val="Heading4"/>
      </w:pPr>
      <w:r>
        <w:t>Central Tendency: Understanding the "Average"</w:t>
      </w:r>
    </w:p>
    <w:p w14:paraId="7450AE40" w14:textId="77777777" w:rsidR="00374569" w:rsidRDefault="00374569" w:rsidP="00374569">
      <w:r>
        <w:t>Central tendency refers to the concept of identifying the "typical" or "average" value within a dataset. It gives you an idea of where the center point of your data lies. There are three widely used measures of central tendency, each with its own strengths and weaknesses:</w:t>
      </w:r>
    </w:p>
    <w:p w14:paraId="0118DDA6" w14:textId="5044E343" w:rsidR="00374569" w:rsidRDefault="00374569" w:rsidP="007A0F47">
      <w:pPr>
        <w:pStyle w:val="ListParagraph"/>
        <w:numPr>
          <w:ilvl w:val="0"/>
          <w:numId w:val="390"/>
        </w:numPr>
      </w:pPr>
      <w:r w:rsidRPr="007A0F47">
        <w:rPr>
          <w:b/>
          <w:bCs/>
        </w:rPr>
        <w:t>Mean</w:t>
      </w:r>
      <w:r>
        <w:t>: The mean is calculated by summing up all the values in your dataset and dividing the result by the total number of observations. It represents the arithmetic average of your data. However, it's important to note that the mean is sensitive to extreme values or outliers, which can skew the result.</w:t>
      </w:r>
    </w:p>
    <w:p w14:paraId="2785487E" w14:textId="14DBEB4C" w:rsidR="00374569" w:rsidRDefault="00374569" w:rsidP="007A0F47">
      <w:pPr>
        <w:pStyle w:val="ListParagraph"/>
        <w:numPr>
          <w:ilvl w:val="0"/>
          <w:numId w:val="390"/>
        </w:numPr>
      </w:pPr>
      <w:r w:rsidRPr="007A0F47">
        <w:rPr>
          <w:b/>
          <w:bCs/>
        </w:rPr>
        <w:t>Median</w:t>
      </w:r>
      <w:r>
        <w:t xml:space="preserve">: The median is determined by arranging your data in ascending or descending order and selecting the middle value. If you have an even number of observations, the median is calculated by </w:t>
      </w:r>
      <w:r w:rsidR="0023350F">
        <w:t>finding</w:t>
      </w:r>
      <w:r>
        <w:t xml:space="preserve"> the </w:t>
      </w:r>
      <w:r w:rsidR="00EF08D5">
        <w:t>mean</w:t>
      </w:r>
      <w:r>
        <w:t xml:space="preserve"> of the two middle numbers. The median is less influenced by outliers compared to the mean, making it a more robust measure of central tendency.</w:t>
      </w:r>
    </w:p>
    <w:p w14:paraId="500B8D5A" w14:textId="7A59FE1F" w:rsidR="00374569" w:rsidRDefault="00374569" w:rsidP="007A0F47">
      <w:pPr>
        <w:pStyle w:val="ListParagraph"/>
        <w:numPr>
          <w:ilvl w:val="0"/>
          <w:numId w:val="390"/>
        </w:numPr>
      </w:pPr>
      <w:r w:rsidRPr="007A0F47">
        <w:rPr>
          <w:b/>
          <w:bCs/>
        </w:rPr>
        <w:t>Mode</w:t>
      </w:r>
      <w:r>
        <w:t>: The mode represents the value that appears most frequently in your dataset. Unlike the mean and median, a distribution can have multiple modes (bimodal or multimodal) if more than one value occurs with the highest frequency. In some cases, there might be no mode at all if all values appear with equal frequency.</w:t>
      </w:r>
    </w:p>
    <w:p w14:paraId="6E9BB835" w14:textId="77777777" w:rsidR="00374569" w:rsidRDefault="00374569" w:rsidP="00D87298">
      <w:pPr>
        <w:pStyle w:val="Heading4"/>
      </w:pPr>
      <w:r>
        <w:t>Variability: Measuring the Spread of Data</w:t>
      </w:r>
    </w:p>
    <w:p w14:paraId="233F8EFA" w14:textId="77777777" w:rsidR="00374569" w:rsidRDefault="00374569" w:rsidP="00374569">
      <w:r>
        <w:t>While measures of central tendency provide valuable insights into the typical value within your dataset, they don't give you any information about how much the individual data points deviate from that center point. This is where measures of variability, also known as measures of dispersion, come into the picture. These measures quantify the spread or dispersion of your data:</w:t>
      </w:r>
    </w:p>
    <w:p w14:paraId="7B4C7E21" w14:textId="18B55205" w:rsidR="00374569" w:rsidRDefault="00374569" w:rsidP="00335549">
      <w:pPr>
        <w:pStyle w:val="ListParagraph"/>
        <w:numPr>
          <w:ilvl w:val="0"/>
          <w:numId w:val="392"/>
        </w:numPr>
      </w:pPr>
      <w:r w:rsidRPr="00335549">
        <w:rPr>
          <w:b/>
          <w:bCs/>
        </w:rPr>
        <w:t>Range</w:t>
      </w:r>
      <w:r>
        <w:t>: The range is the simplest measure of variability and is calculated by finding the difference between the largest and smallest values in your dataset. Although it's easy to compute, the range has limitations. It is highly sensitive to outliers and doesn't provide any information about the distribution of data between the extremes.</w:t>
      </w:r>
    </w:p>
    <w:p w14:paraId="63387161" w14:textId="2AEEAF68" w:rsidR="00374569" w:rsidRDefault="00374569" w:rsidP="00335549">
      <w:pPr>
        <w:pStyle w:val="ListParagraph"/>
        <w:numPr>
          <w:ilvl w:val="0"/>
          <w:numId w:val="392"/>
        </w:numPr>
      </w:pPr>
      <w:r w:rsidRPr="00335549">
        <w:rPr>
          <w:b/>
          <w:bCs/>
        </w:rPr>
        <w:t>Variance</w:t>
      </w:r>
      <w:r>
        <w:t>: The variance measures how far, on average, each data point deviates from the mean. It is calculated by taking the average of the squared differences between each value and the mean. A higher variance indicates that the data points are more spread out from the central value.</w:t>
      </w:r>
    </w:p>
    <w:p w14:paraId="679A939D" w14:textId="2A3F8804" w:rsidR="00374569" w:rsidRDefault="00374569" w:rsidP="00335549">
      <w:pPr>
        <w:pStyle w:val="ListParagraph"/>
        <w:numPr>
          <w:ilvl w:val="0"/>
          <w:numId w:val="392"/>
        </w:numPr>
      </w:pPr>
      <w:r w:rsidRPr="00335549">
        <w:rPr>
          <w:b/>
          <w:bCs/>
        </w:rPr>
        <w:t>Standard Deviation</w:t>
      </w:r>
      <w:r>
        <w:t>: The standard deviation is the square root of the variance and is expressed in the same units as the original data. Like the variance, a larger standard deviation suggests that the data points are more dispersed from the mean. The standard deviation is often preferred over the variance because it is easier to interpret and relates directly to the scale of the data.</w:t>
      </w:r>
    </w:p>
    <w:p w14:paraId="06D950E1" w14:textId="77777777" w:rsidR="00374569" w:rsidRDefault="00374569" w:rsidP="004559C4">
      <w:pPr>
        <w:pStyle w:val="Heading4"/>
      </w:pPr>
      <w:r>
        <w:lastRenderedPageBreak/>
        <w:t>The Power of Descriptive Statistics</w:t>
      </w:r>
    </w:p>
    <w:p w14:paraId="608952E2" w14:textId="77777777" w:rsidR="00374569" w:rsidRDefault="00374569" w:rsidP="00374569">
      <w:r>
        <w:t>By combining measures of central tendency and variability, you can gain a robust understanding of the distribution of your data. These descriptive statistics help you identify potential outliers, assess the shape of your data (e.g., whether it follows a normal distribution or is skewed), and compare different groups or variables within your dataset.</w:t>
      </w:r>
    </w:p>
    <w:p w14:paraId="46E81E20" w14:textId="77777777" w:rsidR="00374569" w:rsidRDefault="00374569" w:rsidP="00374569">
      <w:r>
        <w:t>For example, let's say you are analyzing the test scores of students in a particular class. By calculating the mean, median, and mode, you can determine the average performance and identify any unusual patterns, such as a bimodal distribution indicating two distinct groups of students. Additionally, by computing the range, variance, and standard deviation, you can assess how much the individual scores vary from the average and whether there are any students whose scores are significantly higher or lower than their peers.</w:t>
      </w:r>
    </w:p>
    <w:p w14:paraId="7D063368" w14:textId="77777777" w:rsidR="00374569" w:rsidRDefault="00374569" w:rsidP="00374569">
      <w:r>
        <w:t>As you progress in your research journey, mastering the art of quickly summarizing and visualizing your data using descriptive statistics will be an invaluable skill. It will enable you to communicate your findings effectively, identify patterns and trends, and make informed decisions based on the characteristics of your dataset.</w:t>
      </w:r>
    </w:p>
    <w:p w14:paraId="7B12B9EB" w14:textId="77777777" w:rsidR="00374569" w:rsidRDefault="00374569" w:rsidP="004921CB">
      <w:pPr>
        <w:pStyle w:val="Heading4"/>
      </w:pPr>
      <w:r>
        <w:t>Real-World Applications</w:t>
      </w:r>
    </w:p>
    <w:p w14:paraId="1C44B5BE" w14:textId="77777777" w:rsidR="00374569" w:rsidRDefault="00374569" w:rsidP="00374569">
      <w:r>
        <w:t>Descriptive statistics find applications across various fields, from social sciences and healthcare to business and engineering. For instance, a marketing analyst might use descriptive statistics to summarize customer survey responses, identifying the average satisfaction rating and the dispersion of opinions. In the medical field, researchers often employ descriptive statistics to report patient characteristics, such as the mean age, median blood pressure, and the range of symptom severity.</w:t>
      </w:r>
    </w:p>
    <w:p w14:paraId="0D91A945" w14:textId="77777777" w:rsidR="00374569" w:rsidRDefault="00374569" w:rsidP="00374569">
      <w:r>
        <w:t>By understanding and applying descriptive statistics, you can uncover meaningful insights from your data and lay the foundation for more advanced statistical analyses. As you continue to explore the fascinating world of research and data analysis, keep in mind the power of descriptive statistics in helping you make sense of the numbers and tell a compelling story with your data.</w:t>
      </w:r>
    </w:p>
    <w:p w14:paraId="37C73B59" w14:textId="77777777" w:rsidR="00471F40" w:rsidRDefault="00471F40" w:rsidP="00C72D2C">
      <w:pPr>
        <w:pStyle w:val="Heading3"/>
      </w:pPr>
      <w:bookmarkStart w:id="146" w:name="_Toc169156767"/>
      <w:r>
        <w:t>Hypothesis Testing: A Cornerstone of Inferential Statistics</w:t>
      </w:r>
      <w:bookmarkEnd w:id="146"/>
    </w:p>
    <w:p w14:paraId="4F98930D" w14:textId="2BDB9BE4" w:rsidR="00471F40" w:rsidRDefault="00471F40" w:rsidP="00471F40">
      <w:r>
        <w:t>As you embark on your own research projects, understanding the principles and applications of hypothesis testing will be invaluable. It will help you design rigorous studies, analyze data effectively, and draw valid conclusions based on empirical evidence. Remember, hypothesis testing is a tool for learning from data, not a definitive answer to research questions. Always consider the broader context and limitations of your study when interpreting the results of hypothesis tests.</w:t>
      </w:r>
    </w:p>
    <w:p w14:paraId="06E456B2" w14:textId="59BF143A" w:rsidR="00BE2E2F" w:rsidRDefault="00C72D2C" w:rsidP="00BE2E2F">
      <w:r>
        <w:t xml:space="preserve">As a research student, one of the most crucial concepts you will encounter is hypothesis testing. At its core, hypothesis testing is a systematic and evidence-based approach to evaluating the plausibility of a hypothesis about a population using sample data </w:t>
      </w:r>
      <w:r w:rsidR="00B06C52">
        <w:fldChar w:fldCharType="begin"/>
      </w:r>
      <w:r w:rsidR="007C07B4">
        <w:instrText xml:space="preserve"> ADDIN ZOTERO_ITEM CSL_CITATION {"citationID":"kXYFJI50","properties":{"formattedCitation":"[107]","plainCitation":"[107]","noteIndex":0},"citationItems":[{"id":371,"uris":["http://zotero.org/users/5015692/items/I4IIJUXF"],"itemData":{"id":371,"type":"book","abstract":"OpenIntro Statistics offers a traditional introduction to statistics at the college level. This textbook is widely used at the college level and offers an exceptional and accessible introduction for students from community colleges to the Ivy League. The textbook has been thoroughly vetted with an estimated 20,000 students using it annually.","edition":"4","title":"OpenIntro Statistics","URL":"https://leanpub.com/os","author":[{"family":"Diez","given":"David"},{"family":"Cetinkaya-Rundel","given":"Mine"},{"family":"Barr","given":"Christopher"}]}}],"schema":"https://github.com/citation-style-language/schema/raw/master/csl-citation.json"} </w:instrText>
      </w:r>
      <w:r w:rsidR="00B06C52">
        <w:fldChar w:fldCharType="separate"/>
      </w:r>
      <w:r w:rsidR="007C07B4" w:rsidRPr="007C07B4">
        <w:t>[107]</w:t>
      </w:r>
      <w:r w:rsidR="00B06C52">
        <w:fldChar w:fldCharType="end"/>
      </w:r>
      <w:r w:rsidR="00BE2E2F">
        <w:t xml:space="preserve">. </w:t>
      </w:r>
      <w:r w:rsidR="00F73808">
        <w:t xml:space="preserve">It allows researchers to go </w:t>
      </w:r>
      <w:r w:rsidR="00F73808">
        <w:lastRenderedPageBreak/>
        <w:t>beyond mere description and make informed judgments about the validity of their ideas and predictions.</w:t>
      </w:r>
    </w:p>
    <w:p w14:paraId="1AA50A2A" w14:textId="77777777" w:rsidR="00A02349" w:rsidRDefault="00A02349" w:rsidP="00A02349">
      <w:pPr>
        <w:pStyle w:val="Heading4"/>
      </w:pPr>
      <w:r>
        <w:t>Understanding Hypotheses</w:t>
      </w:r>
    </w:p>
    <w:p w14:paraId="00FB8CF5" w14:textId="53E62A7A" w:rsidR="00A02349" w:rsidRDefault="00A02349" w:rsidP="00A02349">
      <w:r>
        <w:t>In research, hypotheses are tentative explanations or predictions about the relationship between variables or the outcome of an experiment. They serve as the foundation for designing studies and analyzing data. Hypothesis testing provides a framework for putting these ideas to the test and determining whether they are supported by empirical evidence.</w:t>
      </w:r>
    </w:p>
    <w:p w14:paraId="4D5B510B" w14:textId="5E2FFB5C" w:rsidR="00A02349" w:rsidRDefault="0040768C" w:rsidP="0040768C">
      <w:pPr>
        <w:pStyle w:val="Heading4"/>
      </w:pPr>
      <w:r>
        <w:t>T</w:t>
      </w:r>
      <w:r w:rsidR="00A02349">
        <w:t>he Hypothesis Testing Process</w:t>
      </w:r>
    </w:p>
    <w:p w14:paraId="2F15107F" w14:textId="4F2E3A0E" w:rsidR="00A02349" w:rsidRDefault="00A02349" w:rsidP="0040768C">
      <w:r>
        <w:t>To conduct a hypothesis test, researchers follow a step-by-step procedure that ensures a rigorous and systematic evaluation of their hypotheses. Let's break down each step:</w:t>
      </w:r>
    </w:p>
    <w:p w14:paraId="5626ACCE" w14:textId="77777777" w:rsidR="00A02349" w:rsidRDefault="00A02349" w:rsidP="00F4734F">
      <w:r w:rsidRPr="00F4734F">
        <w:rPr>
          <w:b/>
          <w:bCs/>
        </w:rPr>
        <w:t>Step 1</w:t>
      </w:r>
      <w:r>
        <w:t>: Formulating the Null and Alternative Hypotheses</w:t>
      </w:r>
    </w:p>
    <w:p w14:paraId="7E2751B4" w14:textId="65510650" w:rsidR="00A02349" w:rsidRDefault="00A02349" w:rsidP="00F4734F">
      <w:r>
        <w:t>The first step involves stating two competing hypotheses: the null hypothesis (</w:t>
      </w:r>
      <w:r w:rsidRPr="00351C8E">
        <w:rPr>
          <w:i/>
          <w:iCs/>
        </w:rPr>
        <w:t>H0</w:t>
      </w:r>
      <w:r>
        <w:t>) and the alternative hypothesis (</w:t>
      </w:r>
      <w:r w:rsidRPr="00351C8E">
        <w:rPr>
          <w:i/>
          <w:iCs/>
        </w:rPr>
        <w:t>Ha</w:t>
      </w:r>
      <w:r>
        <w:t xml:space="preserve"> or </w:t>
      </w:r>
      <w:r w:rsidRPr="00351C8E">
        <w:rPr>
          <w:i/>
          <w:iCs/>
        </w:rPr>
        <w:t>H1</w:t>
      </w:r>
      <w:r>
        <w:t>). The null hypothesis proposes that there is no significant difference or relationship between the variables being studied. In contrast, the alternative hypothesis suggests that a difference or relationship does exist.</w:t>
      </w:r>
    </w:p>
    <w:p w14:paraId="4576677E" w14:textId="6EC073D8" w:rsidR="00A02349" w:rsidRDefault="00A02349" w:rsidP="00F4734F">
      <w:r>
        <w:t>For example, suppose a researcher is investigating the effectiveness of a new study technique for improving exam scores. The null hypothesis might state that there is no difference in exam performance between students who use the new technique and those who do</w:t>
      </w:r>
      <w:r w:rsidR="003E5E21">
        <w:t xml:space="preserve"> not</w:t>
      </w:r>
      <w:r>
        <w:t>. The alternative hypothesis would propose that there is a significant difference in scores between the two groups.</w:t>
      </w:r>
    </w:p>
    <w:p w14:paraId="784128C6" w14:textId="77777777" w:rsidR="00A02349" w:rsidRDefault="00A02349" w:rsidP="00F4734F">
      <w:r w:rsidRPr="008A0BDA">
        <w:rPr>
          <w:b/>
          <w:bCs/>
        </w:rPr>
        <w:t>Step 2</w:t>
      </w:r>
      <w:r>
        <w:t>: Setting the Significance Level</w:t>
      </w:r>
    </w:p>
    <w:p w14:paraId="76C628E4" w14:textId="77777777" w:rsidR="00A02349" w:rsidRDefault="00A02349" w:rsidP="00F4734F">
      <w:r>
        <w:t>The significance level, represented by the Greek letter alpha (α), is the probability threshold for rejecting the null hypothesis. It represents the maximum acceptable risk of committing a Type I error, which occurs when a true null hypothesis is mistakenly rejected. Commonly used alpha levels are 0.05 and 0.01, meaning that researchers are willing to accept a 5% or 1% chance, respectively, of rejecting a true null hypothesis.</w:t>
      </w:r>
    </w:p>
    <w:p w14:paraId="5E0F69EA" w14:textId="77777777" w:rsidR="00A02349" w:rsidRDefault="00A02349" w:rsidP="00F4734F">
      <w:r w:rsidRPr="006E5C44">
        <w:rPr>
          <w:b/>
          <w:bCs/>
        </w:rPr>
        <w:t>Step 3</w:t>
      </w:r>
      <w:r>
        <w:t>: Choosing the Appropriate Statistical Test</w:t>
      </w:r>
    </w:p>
    <w:p w14:paraId="105F1B9D" w14:textId="77777777" w:rsidR="00A02349" w:rsidRDefault="00A02349" w:rsidP="00F4734F">
      <w:r>
        <w:t>Selecting the right statistical test is crucial for accurately evaluating the hypothesis. The choice depends on various factors, such as the research question, study design, number and type of variables, and assumptions about the data. Some common tests include:</w:t>
      </w:r>
    </w:p>
    <w:p w14:paraId="10412417" w14:textId="3D30B153" w:rsidR="00A02349" w:rsidRDefault="00A02349" w:rsidP="006E5C44">
      <w:pPr>
        <w:pStyle w:val="ListParagraph"/>
        <w:numPr>
          <w:ilvl w:val="0"/>
          <w:numId w:val="393"/>
        </w:numPr>
      </w:pPr>
      <w:r w:rsidRPr="00993996">
        <w:t>t-tests</w:t>
      </w:r>
      <w:r>
        <w:t>: Used to compare means between two groups</w:t>
      </w:r>
      <w:r w:rsidR="00993996">
        <w:t>.</w:t>
      </w:r>
    </w:p>
    <w:p w14:paraId="2E1242AD" w14:textId="100F9A97" w:rsidR="00A02349" w:rsidRDefault="00A02349" w:rsidP="006E5C44">
      <w:pPr>
        <w:pStyle w:val="ListParagraph"/>
        <w:numPr>
          <w:ilvl w:val="0"/>
          <w:numId w:val="393"/>
        </w:numPr>
      </w:pPr>
      <w:r w:rsidRPr="00993996">
        <w:t>Chi-square tests</w:t>
      </w:r>
      <w:r>
        <w:t>: Used to assess the association between categorical variables</w:t>
      </w:r>
      <w:r w:rsidR="00993996">
        <w:t>.</w:t>
      </w:r>
    </w:p>
    <w:p w14:paraId="0D94A2CB" w14:textId="41AA59BD" w:rsidR="00A02349" w:rsidRDefault="00A02349" w:rsidP="006E5C44">
      <w:pPr>
        <w:pStyle w:val="ListParagraph"/>
        <w:numPr>
          <w:ilvl w:val="0"/>
          <w:numId w:val="393"/>
        </w:numPr>
      </w:pPr>
      <w:r w:rsidRPr="00993996">
        <w:t>ANOVA (Analysis of Variance)</w:t>
      </w:r>
      <w:r>
        <w:t>: Used to compare means across multiple groups</w:t>
      </w:r>
      <w:r w:rsidR="00993996">
        <w:t>.</w:t>
      </w:r>
    </w:p>
    <w:p w14:paraId="2572BCB0" w14:textId="77777777" w:rsidR="00A02349" w:rsidRDefault="00A02349" w:rsidP="00F4734F">
      <w:r w:rsidRPr="00993996">
        <w:rPr>
          <w:b/>
          <w:bCs/>
        </w:rPr>
        <w:t>Step 4</w:t>
      </w:r>
      <w:r>
        <w:t>: Calculating the Test Statistic and p-Value</w:t>
      </w:r>
    </w:p>
    <w:p w14:paraId="3DBD7E22" w14:textId="77777777" w:rsidR="00A02349" w:rsidRDefault="00A02349" w:rsidP="00F4734F">
      <w:r>
        <w:lastRenderedPageBreak/>
        <w:t>Once the appropriate test is chosen, researchers calculate two key values: the test statistic and the p-value. The test statistic is a standardized value that quantifies the difference between the observed data and what would be expected if the null hypothesis were true. The p-value represents the probability of obtaining a test statistic as extreme or more extreme than the observed one, assuming the null hypothesis is true.</w:t>
      </w:r>
    </w:p>
    <w:p w14:paraId="7DD15045" w14:textId="6A37788B" w:rsidR="00A02349" w:rsidRDefault="00A02349" w:rsidP="00F4734F">
      <w:r w:rsidRPr="009E5E7E">
        <w:rPr>
          <w:b/>
          <w:bCs/>
        </w:rPr>
        <w:t>Step 5</w:t>
      </w:r>
      <w:r>
        <w:t xml:space="preserve">: </w:t>
      </w:r>
      <w:r w:rsidR="009E5E7E">
        <w:t>Deciding</w:t>
      </w:r>
      <w:r>
        <w:t xml:space="preserve"> and Interpreting the Results</w:t>
      </w:r>
    </w:p>
    <w:p w14:paraId="62015BCE" w14:textId="77777777" w:rsidR="00A02349" w:rsidRDefault="00A02349" w:rsidP="00F4734F">
      <w:r>
        <w:t>The final step involves comparing the p-value to the pre-specified significance level (α). If the p-value is less than α, the null hypothesis is rejected in favor of the alternative hypothesis. This suggests that the observed results are unlikely to have occurred by chance alone and that there is a significant difference or relationship between the variables.</w:t>
      </w:r>
    </w:p>
    <w:p w14:paraId="4F980985" w14:textId="77777777" w:rsidR="00A02349" w:rsidRDefault="00A02349" w:rsidP="00F4734F">
      <w:r>
        <w:t>However, if the p-value is greater than α, there is insufficient evidence to reject the null hypothesis. This doesn't necessarily mean that the null hypothesis is true; it simply means that the data did not provide strong enough evidence to support the alternative hypothesis.</w:t>
      </w:r>
    </w:p>
    <w:p w14:paraId="686572E2" w14:textId="77777777" w:rsidR="007813B4" w:rsidRDefault="007813B4" w:rsidP="007813B4">
      <w:pPr>
        <w:pStyle w:val="Heading4"/>
      </w:pPr>
      <w:r>
        <w:t>Limitations and Considerations</w:t>
      </w:r>
    </w:p>
    <w:p w14:paraId="16F54024" w14:textId="6CABC16C" w:rsidR="007813B4" w:rsidRDefault="007813B4" w:rsidP="007813B4">
      <w:r>
        <w:t xml:space="preserve">While hypothesis testing is a powerful tool, it's essential to understand its limitations and potential pitfalls. A statistically significant result (p &lt; α) does not always imply practical or clinical significance </w:t>
      </w:r>
      <w:r w:rsidR="00D40F81">
        <w:fldChar w:fldCharType="begin"/>
      </w:r>
      <w:r w:rsidR="00D40F81">
        <w:instrText xml:space="preserve"> ADDIN ZOTERO_ITEM CSL_CITATION {"citationID":"VtdML81c","properties":{"formattedCitation":"[111]","plainCitation":"[111]","noteIndex":0},"citationItems":[{"id":375,"uris":["http://zotero.org/users/5015692/items/HDFKSLJT"],"itemData":{"id":375,"type":"article-journal","container-title":"The American Statistician","DOI":"10.1080/00031305.2019.1583913","ISSN":"0003-1305","issue":"sup1","journalAbbreviation":"The American Statistician","note":"publisher: Taylor &amp; Francis","page":"1-19","title":"Moving to a World Beyond “p</w:instrText>
      </w:r>
      <w:r w:rsidR="00D40F81">
        <w:rPr>
          <w:rFonts w:ascii="Arial" w:hAnsi="Arial" w:cs="Arial"/>
        </w:rPr>
        <w:instrText> </w:instrText>
      </w:r>
      <w:r w:rsidR="00D40F81">
        <w:instrText>&lt;</w:instrText>
      </w:r>
      <w:r w:rsidR="00D40F81">
        <w:rPr>
          <w:rFonts w:ascii="Arial" w:hAnsi="Arial" w:cs="Arial"/>
        </w:rPr>
        <w:instrText> </w:instrText>
      </w:r>
      <w:r w:rsidR="00D40F81">
        <w:instrText>0.05</w:instrText>
      </w:r>
      <w:r w:rsidR="00D40F81">
        <w:rPr>
          <w:rFonts w:cs="Aptos"/>
        </w:rPr>
        <w:instrText>”</w:instrText>
      </w:r>
      <w:r w:rsidR="00D40F81">
        <w:instrText xml:space="preserve">","volume":"73","author":[{"family":"Wasserstein","given":"Ronald L."},{"family":"Schirm","given":"Allen L."},{"family":"Lazar","given":"Nicole A."}],"issued":{"date-parts":[["2019",3,29]]}}}],"schema":"https://github.com/citation-style-language/schema/raw/master/csl-citation.json"} </w:instrText>
      </w:r>
      <w:r w:rsidR="00D40F81">
        <w:fldChar w:fldCharType="separate"/>
      </w:r>
      <w:r w:rsidR="00D40F81" w:rsidRPr="007C07B4">
        <w:t>[111]</w:t>
      </w:r>
      <w:r w:rsidR="00D40F81">
        <w:fldChar w:fldCharType="end"/>
      </w:r>
      <w:r w:rsidR="00D40F81">
        <w:t xml:space="preserve">. </w:t>
      </w:r>
      <w:r>
        <w:t xml:space="preserve"> The effect size, which measures the magnitude of the difference or relationship, should also be considered when interpreting results.</w:t>
      </w:r>
    </w:p>
    <w:p w14:paraId="7702D208" w14:textId="0C98BFA0" w:rsidR="007813B4" w:rsidRDefault="007813B4" w:rsidP="007813B4">
      <w:r>
        <w:t xml:space="preserve">Moreover, the binary nature of hypothesis testing (reject or fail to reject </w:t>
      </w:r>
      <w:r w:rsidRPr="0057260D">
        <w:rPr>
          <w:i/>
          <w:iCs/>
        </w:rPr>
        <w:t>H0</w:t>
      </w:r>
      <w:r>
        <w:t xml:space="preserve">) can oversimplify complex research questions and lead to an overemphasis on p-values. To address these concerns, researchers are increasingly focusing on effect sizes, confidence intervals, and other measures that provide a more comprehensive understanding of the results </w:t>
      </w:r>
      <w:r w:rsidR="005678F5">
        <w:fldChar w:fldCharType="begin"/>
      </w:r>
      <w:r w:rsidR="005678F5">
        <w:instrText xml:space="preserve"> ADDIN ZOTERO_ITEM CSL_CITATION {"citationID":"bncQ54fP","properties":{"formattedCitation":"[39]","plainCitation":"[39]","noteIndex":0},"citationItems":[{"id":377,"uris":["http://zotero.org/users/5015692/items/ITG8L9KI"],"itemData":{"id":377,"type":"book","abstract":"This is the first book to introduce the new statistics - effect sizes, confidence intervals, and meta-analysis - in an accessible way. It is chock full of practical examples and tips on how to analyze and report research results using these techniques. The book is invaluable to readers interested in meeting the new APA Publication Manual guidelines by adopting the new statistics - which are more informative than null hypothesis significance testing, and becoming widely used in many disciplines.\n\nAccompanying the book is the Exploratory Software for Confidence Intervals (ESCI) package, free software that runs under Excel and is accessible at www.thenewstatistics.com. The book’s exercises use ESCI's simulations, which are highly visual and interactive, to engage users and encourage exploration. Working with the simulations strengthens understanding of key statistical ideas. There are also many examples, and detailed guidance to show readers how to analyze their own data using the new statistics, and practical strategies for interpreting the results. A particular strength of the book is its explanation of meta-analysis, using simple diagrams and examples. Understanding meta-analysis is increasingly important, even at undergraduate levels, because medicine, psychology and many other disciplines now use meta-analysis to assemble the evidence needed for evidence-based practice.\n\nThe book’s pedagogical program, built on cognitive science principles, reinforces learning:\n\nBoxes provide \"evidence-based\" advice on the most effective statistical techniques.\nNumerous examples reinforce learning, and show that many disciplines are using the new statistics.\nGraphs are tied in with ESCI to make important concepts vividly clear and memorable.\nOpening overviews and end of chapter take-home messages summarize key points.\nExercises encourage exploration, deep understanding, and practical applications.\nThis highly accessible book is intended as the core text for any course that emphasizes the new statistics, or as a supplementary text for graduate and/or advanced undergraduate courses in statistics and research methods in departments of psychology, education, human development , nursing, and natural, social, and life sciences. Researchers and practitioners interested in understanding the new statistics, and future published research, will also appreciate this book. A basic familiarity with introductory statistics is assumed.","edition":"1","publisher":"Routledge","title":"Understanding The New Statistics","URL":"https://doi.org/10.4324/9780203807002","author":[{"family":"Cumming","given":"Geoff"}],"issued":{"date-parts":[["2013"]]}}}],"schema":"https://github.com/citation-style-language/schema/raw/master/csl-citation.json"} </w:instrText>
      </w:r>
      <w:r w:rsidR="005678F5">
        <w:fldChar w:fldCharType="separate"/>
      </w:r>
      <w:r w:rsidR="005678F5" w:rsidRPr="007C07B4">
        <w:t>[39]</w:t>
      </w:r>
      <w:r w:rsidR="005678F5">
        <w:fldChar w:fldCharType="end"/>
      </w:r>
      <w:r w:rsidR="007C6D94">
        <w:t>.</w:t>
      </w:r>
    </w:p>
    <w:p w14:paraId="3A24FEF3" w14:textId="77777777" w:rsidR="002B3014" w:rsidRDefault="002B3014" w:rsidP="002B3014">
      <w:pPr>
        <w:pStyle w:val="Heading4"/>
      </w:pPr>
      <w:r>
        <w:t>Real-World Applications</w:t>
      </w:r>
    </w:p>
    <w:p w14:paraId="38557104" w14:textId="77777777" w:rsidR="002B3014" w:rsidRDefault="002B3014" w:rsidP="002B3014">
      <w:r>
        <w:t>Hypothesis testing finds applications across various fields, from psychology and education to medicine and business. For example, a clinical trial might use hypothesis testing to determine whether a new drug is more effective than an existing treatment. In the business world, a marketing team could employ hypothesis testing to assess whether a new advertising campaign leads to increased sales.</w:t>
      </w:r>
    </w:p>
    <w:p w14:paraId="53C7B857" w14:textId="77777777" w:rsidR="00BE2E2F" w:rsidRDefault="00BE2E2F" w:rsidP="00BE2E2F">
      <w:pPr>
        <w:pStyle w:val="Heading3"/>
      </w:pPr>
      <w:bookmarkStart w:id="147" w:name="_Toc169156768"/>
      <w:r>
        <w:t>Values: Interpreting Statistical Significance</w:t>
      </w:r>
      <w:bookmarkEnd w:id="147"/>
    </w:p>
    <w:p w14:paraId="7F1E8EB5" w14:textId="304D2A49" w:rsidR="00781029" w:rsidRDefault="00781029" w:rsidP="00781029">
      <w:r>
        <w:t>Two key concepts closely tied to hypothesis testing are confidence intervals and p-values. These tools provide complementary information about the precision and significance of research findings, helping researchers make informed judgments about the reliability and generalizability of their results.</w:t>
      </w:r>
    </w:p>
    <w:p w14:paraId="33870BC9" w14:textId="7D94D4F6" w:rsidR="00781029" w:rsidRDefault="00781029" w:rsidP="00781029">
      <w:pPr>
        <w:pStyle w:val="Heading4"/>
      </w:pPr>
      <w:r>
        <w:t>Confidence Intervals</w:t>
      </w:r>
    </w:p>
    <w:p w14:paraId="5255BECC" w14:textId="14384AD3" w:rsidR="00781029" w:rsidRDefault="00781029" w:rsidP="00781029">
      <w:r>
        <w:t>Confidence intervals are a range of values that are likely to contain the true population parameter with a specified level of confidence, typically 95%</w:t>
      </w:r>
      <w:r w:rsidR="0050412D">
        <w:t xml:space="preserve">  </w:t>
      </w:r>
      <w:r w:rsidR="0050412D">
        <w:fldChar w:fldCharType="begin"/>
      </w:r>
      <w:r w:rsidR="0050412D">
        <w:instrText xml:space="preserve"> ADDIN ZOTERO_ITEM CSL_CITATION {"citationID":"cSAXn2wf","properties":{"formattedCitation":"[110]","plainCitation":"[110]","noteIndex":0},"citationItems":[{"id":"AMPxj4oI/aAjexrma","uris":["http://zotero.org/users/5015692/items/B2BRPNBY"],"itemData":{"id":374,"type":"article-journal","abstract":"Misinterpretation and abuse of statistical tests, confidence intervals, and statistical power have been decried for decades, yet remain rampant. A key problem is that there are no interpretations of these concepts that are at once simple, intuitive, correct, and foolproof. Instead, correct use and interpretation of these statistics requires an attention to detail which seems to tax the patience of working scientists. This high cognitive demand has led to an epidemic of shortcut definitions and interpretations that are simply wrong, sometimes disastrously so—and yet these misinterpretations dominate much of the scientific literature. In light of this problem, we provide definitions and a discussion of basic statistics that are more general and critical than typically found in traditional introductory expositions. Our goal is to provide a resource for instructors, researchers, and consumers of statistics whose knowledge of statistical theory and technique may be limited but who wish to avoid and spot misinterpretations. We emphasize how violation of often unstated analysis protocols (such as selecting analyses for presentation based on the P values they produce) can lead to small P values even if the declared test hypothesis is correct, and can lead to large P values even if that hypothesis is incorrect. We then provide an explanatory list of 25 misinterpretations of P values, confidence intervals, and power. We conclude with guidelines for improving statistical interpretation and reporting.","container-title":"European Journal of Epidemiology","DOI":"10.1007/s10654-016-0149-3","ISSN":"1573-7284","issue":"4","journalAbbreviation":"European Journal of Epidemiology","page":"337-350","title":"Statistical tests, P values, confidence intervals, and power: a guide to misinterpretations","volume":"31","author":[{"family":"Greenland","given":"Sander"},{"family":"Senn","given":"Stephen J."},{"family":"Rothman","given":"Kenneth J."},{"family":"Carlin","given":"John B."},{"family":"Poole","given":"Charles"},{"family":"Goodman","given":"Steven N."},{"family":"Altman","given":"Douglas G."}],"issued":{"date-parts":[["2016",4,1]]}}}],"schema":"https://github.com/citation-style-language/schema/raw/master/csl-citation.json"} </w:instrText>
      </w:r>
      <w:r w:rsidR="0050412D">
        <w:fldChar w:fldCharType="separate"/>
      </w:r>
      <w:r w:rsidR="0050412D" w:rsidRPr="007C07B4">
        <w:t>[110]</w:t>
      </w:r>
      <w:r w:rsidR="0050412D">
        <w:fldChar w:fldCharType="end"/>
      </w:r>
      <w:r w:rsidR="0050412D">
        <w:t xml:space="preserve">. </w:t>
      </w:r>
      <w:r>
        <w:t xml:space="preserve">In other words, a confidence interval is an </w:t>
      </w:r>
      <w:r>
        <w:lastRenderedPageBreak/>
        <w:t>estimate of where the true value of a population parameter (such as the mean) is likely to lie, based on the sample data. For example, if a study finds that the average height of a sample of adults is 68 inches with a 95% confidence interval of 67—69 inches, this means that if the study were repeated many times using the same methods and sampling from the same population, 95% of the intervals calculated from those repeated samples would contain the true population mean height.</w:t>
      </w:r>
    </w:p>
    <w:p w14:paraId="2373A64B" w14:textId="77777777" w:rsidR="00781029" w:rsidRDefault="00781029" w:rsidP="00781029">
      <w:r>
        <w:t>Confidence intervals offer several advantages over point estimates and hypothesis tests alone:</w:t>
      </w:r>
    </w:p>
    <w:p w14:paraId="12FB43B1" w14:textId="542555F2" w:rsidR="00781029" w:rsidRDefault="00781029" w:rsidP="004D01BB">
      <w:pPr>
        <w:pStyle w:val="ListParagraph"/>
        <w:numPr>
          <w:ilvl w:val="0"/>
          <w:numId w:val="395"/>
        </w:numPr>
      </w:pPr>
      <w:r>
        <w:t>They provide a measure of precision, indicating how much uncertainty is associated with the estimate. Narrow intervals suggest greater precision, while wide intervals imply more variability and less certainty. This information can help researchers and readers gauge the reliability of the findings.</w:t>
      </w:r>
    </w:p>
    <w:p w14:paraId="2FCCF1E6" w14:textId="6F8805D6" w:rsidR="00781029" w:rsidRDefault="00781029" w:rsidP="004D01BB">
      <w:pPr>
        <w:pStyle w:val="ListParagraph"/>
        <w:numPr>
          <w:ilvl w:val="0"/>
          <w:numId w:val="395"/>
        </w:numPr>
      </w:pPr>
      <w:r>
        <w:t>They are expressed in the same units as the original data, making them easier to interpret and communicate to non-technical audiences. For instance, a confidence interval for a mean height is expressed in inches, which is more intuitive than a p-value or test statistic.</w:t>
      </w:r>
    </w:p>
    <w:p w14:paraId="21F58ABC" w14:textId="5C8779E8" w:rsidR="00781029" w:rsidRDefault="00781029" w:rsidP="004D01BB">
      <w:pPr>
        <w:pStyle w:val="ListParagraph"/>
        <w:numPr>
          <w:ilvl w:val="0"/>
          <w:numId w:val="395"/>
        </w:numPr>
      </w:pPr>
      <w:r>
        <w:t>They can be used to assess practical or clinical significance, not just statistical significance. For instance, a confidence interval that includes a minimum clinically important difference may suggest a treatment effect is meaningful, even if the result is not statistically significant. This is particularly relevant in fields like medicine, where the practical impact of a finding is often more important than its statistical significance.</w:t>
      </w:r>
    </w:p>
    <w:p w14:paraId="5611028C" w14:textId="7F1A4B71" w:rsidR="004C69AC" w:rsidRDefault="004C69AC" w:rsidP="004C69AC">
      <w:pPr>
        <w:pStyle w:val="Heading4"/>
      </w:pPr>
      <w:r>
        <w:t>P-Values</w:t>
      </w:r>
    </w:p>
    <w:p w14:paraId="71BA4FBC" w14:textId="16157770" w:rsidR="00781029" w:rsidRDefault="00781029" w:rsidP="00781029">
      <w:r>
        <w:t>P-values, on the other hand, indicate the probability of obtaining a result as extreme or more extreme than the observed data, assuming the null hypothesis is tru</w:t>
      </w:r>
      <w:r w:rsidR="002C3213">
        <w:t>e</w:t>
      </w:r>
      <w:r w:rsidR="004C69AC">
        <w:t xml:space="preserve">  </w:t>
      </w:r>
      <w:r w:rsidR="004C69AC">
        <w:fldChar w:fldCharType="begin"/>
      </w:r>
      <w:r w:rsidR="004C69AC">
        <w:instrText xml:space="preserve"> ADDIN ZOTERO_ITEM CSL_CITATION {"citationID":"eJSi0JIs","properties":{"formattedCitation":"[111]","plainCitation":"[111]","noteIndex":0},"citationItems":[{"id":375,"uris":["http://zotero.org/users/5015692/items/HDFKSLJT"],"itemData":{"id":375,"type":"article-journal","container-title":"The American Statistician","DOI":"10.1080/00031305.2019.1583913","ISSN":"0003-1305","issue":"sup1","journalAbbreviation":"The American Statistician","note":"publisher: Taylor &amp; Francis","page":"1-19","title":"Moving to a World Beyond “p</w:instrText>
      </w:r>
      <w:r w:rsidR="004C69AC">
        <w:rPr>
          <w:rFonts w:ascii="Arial" w:hAnsi="Arial" w:cs="Arial"/>
        </w:rPr>
        <w:instrText> </w:instrText>
      </w:r>
      <w:r w:rsidR="004C69AC">
        <w:instrText>&lt;</w:instrText>
      </w:r>
      <w:r w:rsidR="004C69AC">
        <w:rPr>
          <w:rFonts w:ascii="Arial" w:hAnsi="Arial" w:cs="Arial"/>
        </w:rPr>
        <w:instrText> </w:instrText>
      </w:r>
      <w:r w:rsidR="004C69AC">
        <w:instrText>0.05</w:instrText>
      </w:r>
      <w:r w:rsidR="004C69AC">
        <w:rPr>
          <w:rFonts w:cs="Aptos"/>
        </w:rPr>
        <w:instrText>”</w:instrText>
      </w:r>
      <w:r w:rsidR="004C69AC">
        <w:instrText xml:space="preserve">","volume":"73","author":[{"family":"Wasserstein","given":"Ronald L."},{"family":"Schirm","given":"Allen L."},{"family":"Lazar","given":"Nicole A."}],"issued":{"date-parts":[["2019",3,29]]}}}],"schema":"https://github.com/citation-style-language/schema/raw/master/csl-citation.json"} </w:instrText>
      </w:r>
      <w:r w:rsidR="004C69AC">
        <w:fldChar w:fldCharType="separate"/>
      </w:r>
      <w:r w:rsidR="004C69AC" w:rsidRPr="007C07B4">
        <w:t>[111]</w:t>
      </w:r>
      <w:r w:rsidR="004C69AC">
        <w:fldChar w:fldCharType="end"/>
      </w:r>
      <w:r w:rsidR="004C69AC">
        <w:t>.</w:t>
      </w:r>
      <w:r>
        <w:t xml:space="preserve"> In simpler terms, a p-value helps researchers determine the likelihood that their findings are due to chance rather than a real effect. For example, a p-value of 0.01 means that there is a 1% chance of observing a result as extreme as the one found in the study, if the null hypothesis (usually, that there is no effect or difference) is true.</w:t>
      </w:r>
    </w:p>
    <w:p w14:paraId="5E044593" w14:textId="4F4B07E5" w:rsidR="00781029" w:rsidRDefault="00781029" w:rsidP="00781029">
      <w:r>
        <w:t>Traditionally, p-values less than 0.05 have been considered statistically significant, suggesting strong evidence against the null hypothesis. However, this binary cutoff has come under scrutiny in recent years, with many researchers arguing that it can lead to an overemphasis on "significant" results and a disregard for the practical importance of the findings</w:t>
      </w:r>
      <w:r w:rsidR="002C3213">
        <w:t xml:space="preserve"> </w:t>
      </w:r>
      <w:r w:rsidR="002C3213">
        <w:fldChar w:fldCharType="begin"/>
      </w:r>
      <w:r w:rsidR="002C3213">
        <w:instrText xml:space="preserve"> ADDIN ZOTERO_ITEM CSL_CITATION {"citationID":"eJSi0JIs","properties":{"formattedCitation":"[111]","plainCitation":"[111]","noteIndex":0},"citationItems":[{"id":375,"uris":["http://zotero.org/users/5015692/items/HDFKSLJT"],"itemData":{"id":375,"type":"article-journal","container-title":"The American Statistician","DOI":"10.1080/00031305.2019.1583913","ISSN":"0003-1305","issue":"sup1","journalAbbreviation":"The American Statistician","note":"publisher: Taylor &amp; Francis","page":"1-19","title":"Moving to a World Beyond “p</w:instrText>
      </w:r>
      <w:r w:rsidR="002C3213">
        <w:rPr>
          <w:rFonts w:ascii="Arial" w:hAnsi="Arial" w:cs="Arial"/>
        </w:rPr>
        <w:instrText> </w:instrText>
      </w:r>
      <w:r w:rsidR="002C3213">
        <w:instrText>&lt;</w:instrText>
      </w:r>
      <w:r w:rsidR="002C3213">
        <w:rPr>
          <w:rFonts w:ascii="Arial" w:hAnsi="Arial" w:cs="Arial"/>
        </w:rPr>
        <w:instrText> </w:instrText>
      </w:r>
      <w:r w:rsidR="002C3213">
        <w:instrText>0.05</w:instrText>
      </w:r>
      <w:r w:rsidR="002C3213">
        <w:rPr>
          <w:rFonts w:cs="Aptos"/>
        </w:rPr>
        <w:instrText>”</w:instrText>
      </w:r>
      <w:r w:rsidR="002C3213">
        <w:instrText xml:space="preserve">","volume":"73","author":[{"family":"Wasserstein","given":"Ronald L."},{"family":"Schirm","given":"Allen L."},{"family":"Lazar","given":"Nicole A."}],"issued":{"date-parts":[["2019",3,29]]}}}],"schema":"https://github.com/citation-style-language/schema/raw/master/csl-citation.json"} </w:instrText>
      </w:r>
      <w:r w:rsidR="002C3213">
        <w:fldChar w:fldCharType="separate"/>
      </w:r>
      <w:r w:rsidR="002C3213" w:rsidRPr="007C07B4">
        <w:t>[111]</w:t>
      </w:r>
      <w:r w:rsidR="002C3213">
        <w:fldChar w:fldCharType="end"/>
      </w:r>
      <w:r w:rsidR="002C3213">
        <w:t>.</w:t>
      </w:r>
      <w:r>
        <w:t xml:space="preserve"> A small p-value does not necessarily imply a large or meaningful effect, and conversely, a large p-value does not always mean the effect is unimportant.</w:t>
      </w:r>
    </w:p>
    <w:p w14:paraId="180B5F58" w14:textId="70AE43E0" w:rsidR="00781029" w:rsidRDefault="00781029" w:rsidP="00781029">
      <w:r>
        <w:t>To address these concerns, the American Statistical Association has issued guidelines for interpreting and reporting p-values</w:t>
      </w:r>
      <w:r w:rsidR="001D4E5E">
        <w:t xml:space="preserve"> </w:t>
      </w:r>
      <w:r w:rsidR="001D4E5E">
        <w:fldChar w:fldCharType="begin"/>
      </w:r>
      <w:r w:rsidR="001D4E5E">
        <w:instrText xml:space="preserve"> ADDIN ZOTERO_ITEM CSL_CITATION {"citationID":"eJSi0JIs","properties":{"formattedCitation":"[111]","plainCitation":"[111]","noteIndex":0},"citationItems":[{"id":375,"uris":["http://zotero.org/users/5015692/items/HDFKSLJT"],"itemData":{"id":375,"type":"article-journal","container-title":"The American Statistician","DOI":"10.1080/00031305.2019.1583913","ISSN":"0003-1305","issue":"sup1","journalAbbreviation":"The American Statistician","note":"publisher: Taylor &amp; Francis","page":"1-19","title":"Moving to a World Beyond “p</w:instrText>
      </w:r>
      <w:r w:rsidR="001D4E5E">
        <w:rPr>
          <w:rFonts w:ascii="Arial" w:hAnsi="Arial" w:cs="Arial"/>
        </w:rPr>
        <w:instrText> </w:instrText>
      </w:r>
      <w:r w:rsidR="001D4E5E">
        <w:instrText>&lt;</w:instrText>
      </w:r>
      <w:r w:rsidR="001D4E5E">
        <w:rPr>
          <w:rFonts w:ascii="Arial" w:hAnsi="Arial" w:cs="Arial"/>
        </w:rPr>
        <w:instrText> </w:instrText>
      </w:r>
      <w:r w:rsidR="001D4E5E">
        <w:instrText>0.05</w:instrText>
      </w:r>
      <w:r w:rsidR="001D4E5E">
        <w:rPr>
          <w:rFonts w:cs="Aptos"/>
        </w:rPr>
        <w:instrText>”</w:instrText>
      </w:r>
      <w:r w:rsidR="001D4E5E">
        <w:instrText xml:space="preserve">","volume":"73","author":[{"family":"Wasserstein","given":"Ronald L."},{"family":"Schirm","given":"Allen L."},{"family":"Lazar","given":"Nicole A."}],"issued":{"date-parts":[["2019",3,29]]}}}],"schema":"https://github.com/citation-style-language/schema/raw/master/csl-citation.json"} </w:instrText>
      </w:r>
      <w:r w:rsidR="001D4E5E">
        <w:fldChar w:fldCharType="separate"/>
      </w:r>
      <w:r w:rsidR="001D4E5E" w:rsidRPr="007C07B4">
        <w:t>[111]</w:t>
      </w:r>
      <w:r w:rsidR="001D4E5E">
        <w:fldChar w:fldCharType="end"/>
      </w:r>
      <w:r w:rsidR="001D4E5E">
        <w:t>:</w:t>
      </w:r>
    </w:p>
    <w:p w14:paraId="73FA018E" w14:textId="174A0ECD" w:rsidR="00781029" w:rsidRDefault="00781029" w:rsidP="00D775E5">
      <w:pPr>
        <w:pStyle w:val="ListParagraph"/>
        <w:numPr>
          <w:ilvl w:val="0"/>
          <w:numId w:val="397"/>
        </w:numPr>
      </w:pPr>
      <w:r>
        <w:t xml:space="preserve">P-values should be considered as a continuous measure of evidence against the null hypothesis, not a binary indicator of significance. Rather than simply reporting whether a result is "significant" or "non-significant," researchers should interpret p-values as a </w:t>
      </w:r>
      <w:r>
        <w:lastRenderedPageBreak/>
        <w:t>gradient of evidence, with smaller values indicating stronger evidence against the null hypothesis.</w:t>
      </w:r>
    </w:p>
    <w:p w14:paraId="6CDA9A71" w14:textId="006706EC" w:rsidR="00781029" w:rsidRDefault="00781029" w:rsidP="00D775E5">
      <w:pPr>
        <w:pStyle w:val="ListParagraph"/>
        <w:numPr>
          <w:ilvl w:val="0"/>
          <w:numId w:val="397"/>
        </w:numPr>
      </w:pPr>
      <w:r>
        <w:t>P-values should be reported as exact values (e.g., p = 0.032) rather than relative to arbitrary thresholds (e.g., p &lt; 0.05). This practice ensures transparency and allows readers to interpret the results for themselves.</w:t>
      </w:r>
    </w:p>
    <w:p w14:paraId="2674FB91" w14:textId="0920B910" w:rsidR="00781029" w:rsidRDefault="00781029" w:rsidP="00D775E5">
      <w:pPr>
        <w:pStyle w:val="ListParagraph"/>
        <w:numPr>
          <w:ilvl w:val="0"/>
          <w:numId w:val="397"/>
        </w:numPr>
      </w:pPr>
      <w:r>
        <w:t xml:space="preserve">P-values should be interpreted in the context of the study design, sample size, and other factors that may influence their magnitude. For instance, a small p-value in a large, well-controlled study may be more compelling than a small p-value in a small, </w:t>
      </w:r>
      <w:r w:rsidR="00D775E5">
        <w:t>poorly designed</w:t>
      </w:r>
      <w:r>
        <w:t xml:space="preserve"> study.</w:t>
      </w:r>
    </w:p>
    <w:p w14:paraId="6C5A95ED" w14:textId="1CF4D4E4" w:rsidR="00781029" w:rsidRDefault="00781029" w:rsidP="00D775E5">
      <w:pPr>
        <w:pStyle w:val="ListParagraph"/>
        <w:numPr>
          <w:ilvl w:val="0"/>
          <w:numId w:val="397"/>
        </w:numPr>
      </w:pPr>
      <w:r>
        <w:t>P-values should be accompanied by effect sizes, confidence intervals, and other measures that provide a more complete picture of the results. These additional metrics can help researchers and readers assess the practical significance and precision of the findings, beyond just their statistical significance.</w:t>
      </w:r>
    </w:p>
    <w:p w14:paraId="782A4E4B" w14:textId="77777777" w:rsidR="00BE2E2F" w:rsidRDefault="00BE2E2F" w:rsidP="00BE2E2F">
      <w:pPr>
        <w:pStyle w:val="Heading3"/>
      </w:pPr>
      <w:bookmarkStart w:id="148" w:name="_Toc169156769"/>
      <w:r>
        <w:t>Parametric Statistical Tests and Their Application</w:t>
      </w:r>
      <w:bookmarkEnd w:id="148"/>
    </w:p>
    <w:p w14:paraId="06C08B91" w14:textId="77777777" w:rsidR="00A31EB9" w:rsidRDefault="00A31EB9" w:rsidP="00A31EB9">
      <w:r>
        <w:t>Parametric tests are a family of statistical methods that assume the data being analyzed comes from a known distribution, typically the normal distribution. These tests are widely used in research due to their power and flexibility but require certain assumptions to be met to produce valid results.</w:t>
      </w:r>
    </w:p>
    <w:p w14:paraId="3AAC4EBD" w14:textId="77777777" w:rsidR="00A31EB9" w:rsidRDefault="00A31EB9" w:rsidP="00A31EB9">
      <w:r>
        <w:t>Some common parametric tests include:</w:t>
      </w:r>
    </w:p>
    <w:p w14:paraId="0DBE82B6" w14:textId="77CD7D47" w:rsidR="00A31EB9" w:rsidRDefault="00A31EB9" w:rsidP="00A31EB9">
      <w:pPr>
        <w:pStyle w:val="ListParagraph"/>
        <w:numPr>
          <w:ilvl w:val="0"/>
          <w:numId w:val="399"/>
        </w:numPr>
      </w:pPr>
      <w:r w:rsidRPr="00A31EB9">
        <w:rPr>
          <w:b/>
          <w:bCs/>
        </w:rPr>
        <w:t>t-tests</w:t>
      </w:r>
      <w:r>
        <w:t>: Used to compare the means of two groups (independent samples) or to compare a sample mean to a known population value (one-sample). Paired t-tests are used when the same individuals are measured under two different conditions. For example, a researcher might use a t-test to compare the average test scores of students in a treatment group (who received a new teaching method) to those in a control group (who received the standard teaching method).</w:t>
      </w:r>
    </w:p>
    <w:p w14:paraId="56A01AB7" w14:textId="6C7B87EB" w:rsidR="00A31EB9" w:rsidRDefault="00A31EB9" w:rsidP="00A31EB9">
      <w:pPr>
        <w:pStyle w:val="ListParagraph"/>
        <w:numPr>
          <w:ilvl w:val="0"/>
          <w:numId w:val="399"/>
        </w:numPr>
      </w:pPr>
      <w:r w:rsidRPr="00A31EB9">
        <w:rPr>
          <w:b/>
          <w:bCs/>
        </w:rPr>
        <w:t>Analysis of Variance (ANOVA)</w:t>
      </w:r>
      <w:r>
        <w:t>: An extension of the t-test used to compare the means of three or more groups. One-way ANOVA examines the effect of a single factor on a dependent variable, while factorial ANOVA assesses the impact of multiple factors and their interactions. For instance, a one-way ANOVA could be used to compare the average weight loss among participants in three different diet groups (e.g., low-carb, low-fat, and Mediterranean), while a factorial ANOVA could examine the effects of both diet type and exercise frequency on weight loss.</w:t>
      </w:r>
    </w:p>
    <w:p w14:paraId="13FE85AF" w14:textId="44D894DD" w:rsidR="00A31EB9" w:rsidRDefault="00A31EB9" w:rsidP="00A31EB9">
      <w:pPr>
        <w:pStyle w:val="ListParagraph"/>
        <w:numPr>
          <w:ilvl w:val="0"/>
          <w:numId w:val="399"/>
        </w:numPr>
      </w:pPr>
      <w:r w:rsidRPr="00B71A5D">
        <w:rPr>
          <w:b/>
          <w:bCs/>
        </w:rPr>
        <w:t>Pearson's correlation</w:t>
      </w:r>
      <w:r>
        <w:t>: Measures the strength and direction of the linear relationship between two continuous variables. The correlation coefficient ranges from -1 (perfect negative correlation) to +1 (perfect positive correlation), with 0 indicating no linear association. For example, a researcher might use Pearson's correlation to assess the relationship between students' study time and their exam scores, with a positive correlation indicating that students who study more tend to achieve higher scores.</w:t>
      </w:r>
    </w:p>
    <w:p w14:paraId="152ECCFC" w14:textId="60A8E8E9" w:rsidR="00A31EB9" w:rsidRDefault="00A31EB9" w:rsidP="00A31EB9">
      <w:pPr>
        <w:pStyle w:val="ListParagraph"/>
        <w:numPr>
          <w:ilvl w:val="0"/>
          <w:numId w:val="399"/>
        </w:numPr>
      </w:pPr>
      <w:r w:rsidRPr="00B71A5D">
        <w:rPr>
          <w:b/>
          <w:bCs/>
        </w:rPr>
        <w:lastRenderedPageBreak/>
        <w:t>Linear regression</w:t>
      </w:r>
      <w:r>
        <w:t>: Predicts the value of a dependent variable based on one (simple regression) or more (multiple regression) independent variables. Regression models can be used to assess the relationship between variables, control confounding factors, and make predictions about future outcomes. For instance, a multiple regression analysis could be used to predict a person's blood pressure (dependent variable) based on their age, body mass index, and sodium intake (independent variables), while controlling for other factors like gender and family history of hypertension.</w:t>
      </w:r>
    </w:p>
    <w:p w14:paraId="5D3055CC" w14:textId="4096CCFA" w:rsidR="00A31EB9" w:rsidRDefault="00A31EB9" w:rsidP="00A31EB9">
      <w:r>
        <w:t>For parametric tests to yield reliable results, the following assumptions must be satisfied</w:t>
      </w:r>
      <w:r w:rsidR="008F638D">
        <w:t xml:space="preserve"> </w:t>
      </w:r>
      <w:r w:rsidR="008F638D">
        <w:fldChar w:fldCharType="begin"/>
      </w:r>
      <w:r w:rsidR="008F638D">
        <w:instrText xml:space="preserve"> ADDIN ZOTERO_ITEM CSL_CITATION {"citationID":"IJ6Fr1Ok","properties":{"formattedCitation":"[107]","plainCitation":"[107]","noteIndex":0},"citationItems":[{"id":371,"uris":["http://zotero.org/users/5015692/items/I4IIJUXF"],"itemData":{"id":371,"type":"book","abstract":"OpenIntro Statistics offers a traditional introduction to statistics at the college level. This textbook is widely used at the college level and offers an exceptional and accessible introduction for students from community colleges to the Ivy League. The textbook has been thoroughly vetted with an estimated 20,000 students using it annually.","edition":"4","title":"OpenIntro Statistics","URL":"https://leanpub.com/os","author":[{"family":"Diez","given":"David"},{"family":"Cetinkaya-Rundel","given":"Mine"},{"family":"Barr","given":"Christopher"}]}}],"schema":"https://github.com/citation-style-language/schema/raw/master/csl-citation.json"} </w:instrText>
      </w:r>
      <w:r w:rsidR="008F638D">
        <w:fldChar w:fldCharType="separate"/>
      </w:r>
      <w:r w:rsidR="008F638D" w:rsidRPr="007C07B4">
        <w:t>[107]</w:t>
      </w:r>
      <w:r w:rsidR="008F638D">
        <w:fldChar w:fldCharType="end"/>
      </w:r>
      <w:r w:rsidR="008F638D">
        <w:t>:</w:t>
      </w:r>
    </w:p>
    <w:p w14:paraId="333EB8E9" w14:textId="5CAA3155" w:rsidR="00A31EB9" w:rsidRDefault="00A31EB9" w:rsidP="008F638D">
      <w:pPr>
        <w:pStyle w:val="ListParagraph"/>
        <w:numPr>
          <w:ilvl w:val="0"/>
          <w:numId w:val="401"/>
        </w:numPr>
      </w:pPr>
      <w:r w:rsidRPr="008F638D">
        <w:rPr>
          <w:b/>
          <w:bCs/>
        </w:rPr>
        <w:t>Normality</w:t>
      </w:r>
      <w:r>
        <w:t>: The data should be approximately normally distributed. This means that the distribution of the data should follow a symmetrical, bell-shaped curve, with most values clustered around the mean and fewer values at the extremes. Normality can be assessed using graphical methods (e.g., histograms, Q-Q plots) or statistical tests (e.g., Shapiro-Wilk). If the data is not normally distributed, researchers may need to transform the data (e.g., using logarithms or square roots) or use non-parametric alternatives that do not assume normality.</w:t>
      </w:r>
    </w:p>
    <w:p w14:paraId="65D8C502" w14:textId="60445D7F" w:rsidR="00A31EB9" w:rsidRDefault="00A31EB9" w:rsidP="008F638D">
      <w:pPr>
        <w:pStyle w:val="ListParagraph"/>
        <w:numPr>
          <w:ilvl w:val="0"/>
          <w:numId w:val="401"/>
        </w:numPr>
      </w:pPr>
      <w:r w:rsidRPr="008F638D">
        <w:rPr>
          <w:b/>
          <w:bCs/>
        </w:rPr>
        <w:t>Homogeneity of variance</w:t>
      </w:r>
      <w:r>
        <w:t>: The variability of the data should be similar across groups or conditions. In other words, the spread of the data should be roughly equal for each group being compared. This assumption is important because many parametric tests, like t-tests and ANOVA, compare the means of different groups, and large differences in variability can affect the validity of these comparisons. Homogeneity of variance can be checked using Levene's test or by examining residual plots. If this assumption is violated, researchers may need to use alternative tests that are robust to unequal variances, such as Welch's t-test or the Brown-Forsythe ANOVA.</w:t>
      </w:r>
    </w:p>
    <w:p w14:paraId="61A65F83" w14:textId="02B771F6" w:rsidR="00A31EB9" w:rsidRDefault="00A31EB9" w:rsidP="008F638D">
      <w:pPr>
        <w:pStyle w:val="ListParagraph"/>
        <w:numPr>
          <w:ilvl w:val="0"/>
          <w:numId w:val="401"/>
        </w:numPr>
      </w:pPr>
      <w:r w:rsidRPr="00340505">
        <w:rPr>
          <w:b/>
          <w:bCs/>
        </w:rPr>
        <w:t>Independence</w:t>
      </w:r>
      <w:r>
        <w:t xml:space="preserve">: Observations should be independent of each other, meaning the value of one data point does not influence the value of another. In other words, the </w:t>
      </w:r>
      <w:r w:rsidR="008A5CB5">
        <w:t>measurements,</w:t>
      </w:r>
      <w:r>
        <w:t xml:space="preserve"> or responses of one participant should not be related to or affected by those of another participant. Violations of independence can occur when data is collected from related individuals (e.g., siblings) or when measurements are taken on the same person over time (e.g., in a repeated-measures design). When independence is violated, the results of parametric tests may be biased or misleading, and researchers may need to use specialized methods that account for the dependence in the data, such as mixed-effects models or generalized estimating equations.</w:t>
      </w:r>
    </w:p>
    <w:p w14:paraId="2E1F97E3" w14:textId="77777777" w:rsidR="00A31EB9" w:rsidRDefault="00A31EB9" w:rsidP="00A31EB9">
      <w:r>
        <w:t xml:space="preserve">When these assumptions are not met, researchers may need to transform their data (e.g., using logarithms or square roots) or use non-parametric alternatives that are less sensitive to departures from normality and homogeneity of variance. Non-parametric tests, such as the Mann-Whitney U test (a non-parametric alternative to the independent samples t-test) or the Kruskal-Wallis test (a non-parametric alternative to one-way ANOVA), do not assume a specific distribution of the data and are based on the ranks of the observations rather than their raw values. While these tests are </w:t>
      </w:r>
      <w:r>
        <w:lastRenderedPageBreak/>
        <w:t>generally less powerful than their parametric counterparts when the assumptions are met, they can be more appropriate and reliable when the assumptions are violated.</w:t>
      </w:r>
    </w:p>
    <w:p w14:paraId="1EACE16E" w14:textId="77777777" w:rsidR="00A31EB9" w:rsidRDefault="00A31EB9" w:rsidP="00A31EB9">
      <w:r>
        <w:t>It's important to note that while parametric tests are often the default choice in research, they are not always the most appropriate option. The choice of statistical test should be guided by the research question, study design, and nature of the data, rather than by convention or familiarity. Researchers should carefully consider the assumptions underlying each test and assess whether those assumptions are reasonable for their specific data set. In some cases, alternative methods, such as non-parametric tests, permutation tests, or bootstrap resampling, may be more suitable. Additionally, researchers should be transparent about the assumptions and limitations of their chosen statistical methods when reporting their findings.</w:t>
      </w:r>
    </w:p>
    <w:p w14:paraId="3F4A7226" w14:textId="77777777" w:rsidR="00BE2E2F" w:rsidRDefault="00BE2E2F" w:rsidP="00BE2E2F">
      <w:pPr>
        <w:pStyle w:val="Heading3"/>
      </w:pPr>
      <w:bookmarkStart w:id="149" w:name="_Toc169156770"/>
      <w:r>
        <w:t>Non-Parametric Tests for Data That Do Not Meet Parametric Assumptions</w:t>
      </w:r>
      <w:bookmarkEnd w:id="149"/>
    </w:p>
    <w:p w14:paraId="2609FD37" w14:textId="2BFA56F1" w:rsidR="00BE2E2F" w:rsidRDefault="00BE2E2F" w:rsidP="00BE2E2F">
      <w:r>
        <w:t>When the assumptions of parametric tests are violated, researchers can turn to non-parametric methods as a robust alternative. Non-parametric tests do not rely on the data following a specific distribution and are less sensitive to outliers and departures from normality</w:t>
      </w:r>
      <w:r w:rsidR="004C72DC">
        <w:t xml:space="preserve"> </w:t>
      </w:r>
      <w:r w:rsidR="003B4B0E">
        <w:fldChar w:fldCharType="begin"/>
      </w:r>
      <w:r w:rsidR="007C07B4">
        <w:instrText xml:space="preserve"> ADDIN ZOTERO_ITEM CSL_CITATION {"citationID":"qZRv2NJb","properties":{"formattedCitation":"[112]","plainCitation":"[112]","noteIndex":0},"citationItems":[{"id":379,"uris":["http://zotero.org/users/5015692/items/BVSFM2SI"],"itemData":{"id":379,"type":"article-journal","note":"publisher: New York, NY, USA: McGraw-Hill","title":"N. Castellan J (1988). Non parametric statistics for the Behavioural Sciences","author":[{"family":"Siegel","given":"Sidney"}]}}],"schema":"https://github.com/citation-style-language/schema/raw/master/csl-citation.json"} </w:instrText>
      </w:r>
      <w:r w:rsidR="003B4B0E">
        <w:fldChar w:fldCharType="separate"/>
      </w:r>
      <w:r w:rsidR="007C07B4" w:rsidRPr="007C07B4">
        <w:t>[112]</w:t>
      </w:r>
      <w:r w:rsidR="003B4B0E">
        <w:fldChar w:fldCharType="end"/>
      </w:r>
      <w:r>
        <w:t>.</w:t>
      </w:r>
    </w:p>
    <w:p w14:paraId="6843DF8D" w14:textId="77777777" w:rsidR="00BE2E2F" w:rsidRDefault="00BE2E2F" w:rsidP="00BE2E2F">
      <w:r>
        <w:t>Common non-parametric tests include:</w:t>
      </w:r>
    </w:p>
    <w:p w14:paraId="0EE40363" w14:textId="77777777" w:rsidR="00BE2E2F" w:rsidRDefault="00BE2E2F" w:rsidP="00BE2E2F">
      <w:pPr>
        <w:pStyle w:val="ListParagraph"/>
        <w:numPr>
          <w:ilvl w:val="0"/>
          <w:numId w:val="332"/>
        </w:numPr>
        <w:spacing w:line="259" w:lineRule="auto"/>
      </w:pPr>
      <w:r w:rsidRPr="009F7A4A">
        <w:rPr>
          <w:b/>
          <w:bCs/>
        </w:rPr>
        <w:t>Mann-Whitney U test</w:t>
      </w:r>
      <w:r>
        <w:t>: The non-parametric equivalent of the independent samples t-test, used to compare the medians of two groups. It ranks all observations from both groups and then compares the average rank between the groups.</w:t>
      </w:r>
    </w:p>
    <w:p w14:paraId="5C62944D" w14:textId="088B66AB" w:rsidR="00BE2E2F" w:rsidRDefault="00BE2E2F" w:rsidP="00BE2E2F">
      <w:pPr>
        <w:pStyle w:val="ListParagraph"/>
        <w:numPr>
          <w:ilvl w:val="0"/>
          <w:numId w:val="332"/>
        </w:numPr>
        <w:spacing w:line="259" w:lineRule="auto"/>
      </w:pPr>
      <w:r w:rsidRPr="009F7A4A">
        <w:rPr>
          <w:b/>
          <w:bCs/>
        </w:rPr>
        <w:t>Wilcoxon signed-rank test</w:t>
      </w:r>
      <w:r>
        <w:t xml:space="preserve">: The non-parametric version of the paired t-test, used to compare the medians of two related samples. It calculates the differences between pairs of observations and then ranks the absolute differences, </w:t>
      </w:r>
      <w:r w:rsidR="00F4736E">
        <w:t>considering</w:t>
      </w:r>
      <w:r>
        <w:t xml:space="preserve"> the sign of each difference.</w:t>
      </w:r>
    </w:p>
    <w:p w14:paraId="4CE035AC" w14:textId="77777777" w:rsidR="00BE2E2F" w:rsidRDefault="00BE2E2F" w:rsidP="00BE2E2F">
      <w:pPr>
        <w:pStyle w:val="ListParagraph"/>
        <w:numPr>
          <w:ilvl w:val="0"/>
          <w:numId w:val="332"/>
        </w:numPr>
        <w:spacing w:line="259" w:lineRule="auto"/>
      </w:pPr>
      <w:r w:rsidRPr="009F7A4A">
        <w:rPr>
          <w:b/>
          <w:bCs/>
        </w:rPr>
        <w:t>Kruskal-Wallis test</w:t>
      </w:r>
      <w:r>
        <w:t>: The non-parametric analogue of one-way ANOVA, used to compare the medians of three or more independent groups. Like the Mann-Whitney U test, it ranks all observations and then compares the average rank across groups.</w:t>
      </w:r>
    </w:p>
    <w:p w14:paraId="5077F04F" w14:textId="77777777" w:rsidR="00BE2E2F" w:rsidRDefault="00BE2E2F" w:rsidP="00BE2E2F">
      <w:pPr>
        <w:pStyle w:val="ListParagraph"/>
        <w:numPr>
          <w:ilvl w:val="0"/>
          <w:numId w:val="332"/>
        </w:numPr>
        <w:spacing w:line="259" w:lineRule="auto"/>
      </w:pPr>
      <w:r w:rsidRPr="009F7A4A">
        <w:rPr>
          <w:b/>
          <w:bCs/>
        </w:rPr>
        <w:t>Spearman's rank correlation</w:t>
      </w:r>
      <w:r>
        <w:t>: A non-parametric measure of the strength and direction of the monotonic relationship between two variables. It calculates the correlation between the ranks of the observations rather than their raw values.</w:t>
      </w:r>
    </w:p>
    <w:p w14:paraId="244AE4F6" w14:textId="77777777" w:rsidR="00BE2E2F" w:rsidRDefault="00BE2E2F" w:rsidP="00BE2E2F">
      <w:r>
        <w:t>While non-parametric tests offer greater flexibility and robustness compared to their parametric counterparts, they do have some limitations:</w:t>
      </w:r>
    </w:p>
    <w:p w14:paraId="683E782C" w14:textId="77777777" w:rsidR="00BE2E2F" w:rsidRDefault="00BE2E2F" w:rsidP="00BE2E2F">
      <w:pPr>
        <w:pStyle w:val="ListParagraph"/>
        <w:numPr>
          <w:ilvl w:val="0"/>
          <w:numId w:val="333"/>
        </w:numPr>
        <w:spacing w:line="259" w:lineRule="auto"/>
      </w:pPr>
      <w:r w:rsidRPr="009F7A4A">
        <w:rPr>
          <w:b/>
          <w:bCs/>
        </w:rPr>
        <w:t>Reduced power</w:t>
      </w:r>
      <w:r>
        <w:t>: Non-parametric tests are generally less powerful than parametric methods, meaning they may require larger sample sizes to detect significant differences or relationships.</w:t>
      </w:r>
    </w:p>
    <w:p w14:paraId="3F9522C6" w14:textId="77777777" w:rsidR="00BE2E2F" w:rsidRDefault="00BE2E2F" w:rsidP="00BE2E2F">
      <w:pPr>
        <w:pStyle w:val="ListParagraph"/>
        <w:numPr>
          <w:ilvl w:val="0"/>
          <w:numId w:val="333"/>
        </w:numPr>
        <w:spacing w:line="259" w:lineRule="auto"/>
      </w:pPr>
      <w:r w:rsidRPr="009F7A4A">
        <w:rPr>
          <w:b/>
          <w:bCs/>
        </w:rPr>
        <w:t>Loss of information</w:t>
      </w:r>
      <w:r>
        <w:t>: By ranking the data, non-parametric tests discard some information about the magnitude of differences between observations. This can make the results more difficult to interpret and generalize.</w:t>
      </w:r>
    </w:p>
    <w:p w14:paraId="5763EA42" w14:textId="77777777" w:rsidR="00BE2E2F" w:rsidRDefault="00BE2E2F" w:rsidP="00BE2E2F">
      <w:pPr>
        <w:pStyle w:val="ListParagraph"/>
        <w:numPr>
          <w:ilvl w:val="0"/>
          <w:numId w:val="333"/>
        </w:numPr>
        <w:spacing w:line="259" w:lineRule="auto"/>
      </w:pPr>
      <w:r w:rsidRPr="009F7A4A">
        <w:rPr>
          <w:b/>
          <w:bCs/>
        </w:rPr>
        <w:t>Difficulty handling complex designs</w:t>
      </w:r>
      <w:r>
        <w:t>: Non-parametric methods may be less suitable for analyzing studies with multiple factors, interactions, or covariates, as they do not easily accommodate these complexities.</w:t>
      </w:r>
    </w:p>
    <w:p w14:paraId="2F1EC822" w14:textId="49234E56" w:rsidR="00BE2E2F" w:rsidRDefault="00BE2E2F" w:rsidP="00BE2E2F">
      <w:r>
        <w:lastRenderedPageBreak/>
        <w:t xml:space="preserve">Despite these limitations, non-parametric tests play an essential role in research, particularly when working with small samples, skewed distributions, or ordinal data. </w:t>
      </w:r>
    </w:p>
    <w:p w14:paraId="4AF0983E" w14:textId="0580DCBE" w:rsidR="00BE2E2F" w:rsidRDefault="00BE2E2F" w:rsidP="00BE2E2F">
      <w:pPr>
        <w:pStyle w:val="Heading3"/>
      </w:pPr>
      <w:bookmarkStart w:id="150" w:name="_Toc169156771"/>
      <w:r>
        <w:t>Comparing Continuous Variables</w:t>
      </w:r>
      <w:bookmarkEnd w:id="150"/>
      <w:r>
        <w:t xml:space="preserve"> </w:t>
      </w:r>
    </w:p>
    <w:p w14:paraId="4510ACDD" w14:textId="0EC9CF26" w:rsidR="00780CE6" w:rsidRDefault="00780CE6" w:rsidP="00780CE6">
      <w:r>
        <w:t>One of the most common tasks in research is comparing the values of a continuous variable (e.g., weight, test scores, reaction times) between different groups or conditions. The choice of statistical test for these comparisons depends on whether the groups are independent (unpaired) or dependent (paired).</w:t>
      </w:r>
    </w:p>
    <w:p w14:paraId="39F07276" w14:textId="25EEE7D3" w:rsidR="00780CE6" w:rsidRDefault="00780CE6" w:rsidP="00780CE6">
      <w:pPr>
        <w:pStyle w:val="Heading4"/>
      </w:pPr>
      <w:r>
        <w:t>Independent Groups</w:t>
      </w:r>
    </w:p>
    <w:p w14:paraId="2BC47D31" w14:textId="77777777" w:rsidR="00780CE6" w:rsidRDefault="00780CE6" w:rsidP="00780CE6">
      <w:r>
        <w:t>Independent groups are those in which the observations in one group have no connection to the observations in the other group. In other words, the subjects in each group are separate and unrelated. Examples include:</w:t>
      </w:r>
    </w:p>
    <w:p w14:paraId="1FF766C5" w14:textId="0AAEBADF" w:rsidR="00780CE6" w:rsidRDefault="00780CE6" w:rsidP="00E56FAB">
      <w:pPr>
        <w:pStyle w:val="ListParagraph"/>
        <w:numPr>
          <w:ilvl w:val="0"/>
          <w:numId w:val="229"/>
        </w:numPr>
      </w:pPr>
      <w:r>
        <w:t>Comparing the effectiveness of a new drug versus a placebo in a randomized controlled trial, where each participant is assigned to only one treatment condition. In this case, the participants in the drug group are different from those in the placebo group, and their responses are not expected to be related.</w:t>
      </w:r>
    </w:p>
    <w:p w14:paraId="1C75C879" w14:textId="4A7C4548" w:rsidR="00780CE6" w:rsidRDefault="00780CE6" w:rsidP="00E56FAB">
      <w:pPr>
        <w:pStyle w:val="ListParagraph"/>
        <w:numPr>
          <w:ilvl w:val="0"/>
          <w:numId w:val="229"/>
        </w:numPr>
      </w:pPr>
      <w:r>
        <w:t>Examining differences in job satisfaction between male and female employees in a company, where each person belongs to only one gender category. Here, the male and female employees are separate individuals, and their job satisfaction scores are not inherently connected.</w:t>
      </w:r>
    </w:p>
    <w:p w14:paraId="11CB3210" w14:textId="6AAD4D51" w:rsidR="00780CE6" w:rsidRDefault="00780CE6" w:rsidP="00780CE6">
      <w:r>
        <w:t xml:space="preserve">In these cases, the appropriate parametric test is the independent samples t-test, which assesses whether the means of the two groups are significantly different from each other. This test assumes that the data in each group </w:t>
      </w:r>
      <w:r w:rsidR="00951DD4">
        <w:t>is</w:t>
      </w:r>
      <w:r>
        <w:t xml:space="preserve"> normally distributed and that the variances of the two groups are equal (homogeneity of variance). If these assumptions are met, the independent samples t-test is a powerful and reliable method for comparing the groups.</w:t>
      </w:r>
    </w:p>
    <w:p w14:paraId="79A129D3" w14:textId="77777777" w:rsidR="00780CE6" w:rsidRDefault="00780CE6" w:rsidP="00780CE6">
      <w:r>
        <w:t>However, if the assumptions of normality and homogeneity of variance are not met, the non-parametric Mann-Whitney U test can be used instead to compare the medians of the two groups. This test does not require the data to be normally distributed and is less sensitive to outliers or extreme values. The Mann-Whitney U test converts the continuous data into ranks and compares the average ranks between the two groups, rather than their means.</w:t>
      </w:r>
    </w:p>
    <w:p w14:paraId="36CE819C" w14:textId="54E5C187" w:rsidR="00780CE6" w:rsidRDefault="00F20AF7" w:rsidP="00F20AF7">
      <w:pPr>
        <w:pStyle w:val="Heading4"/>
      </w:pPr>
      <w:r>
        <w:t>Dependent Groups</w:t>
      </w:r>
    </w:p>
    <w:p w14:paraId="2B4EFE30" w14:textId="77777777" w:rsidR="00780CE6" w:rsidRDefault="00780CE6" w:rsidP="00780CE6">
      <w:r>
        <w:t>Dependent groups, on the other hand, are those in which the observations in one group are related to the observations in the other group. This can occur when:</w:t>
      </w:r>
    </w:p>
    <w:p w14:paraId="3C0EEAB0" w14:textId="2638DDF4" w:rsidR="00780CE6" w:rsidRDefault="00780CE6" w:rsidP="00F20AF7">
      <w:pPr>
        <w:pStyle w:val="ListParagraph"/>
        <w:numPr>
          <w:ilvl w:val="0"/>
          <w:numId w:val="229"/>
        </w:numPr>
      </w:pPr>
      <w:r>
        <w:t xml:space="preserve">The same individuals are measured under two different conditions, such as before and after an intervention or treatment. For example, a researcher might measure participants' blood pressure before and after they complete a stress-reduction program, to see if the program </w:t>
      </w:r>
      <w:r w:rsidR="00F20AF7">
        <w:t>influences</w:t>
      </w:r>
      <w:r>
        <w:t xml:space="preserve"> their cardiovascular health.</w:t>
      </w:r>
    </w:p>
    <w:p w14:paraId="07DFDAEE" w14:textId="34E09DC6" w:rsidR="00780CE6" w:rsidRDefault="00780CE6" w:rsidP="00F20AF7">
      <w:pPr>
        <w:pStyle w:val="ListParagraph"/>
        <w:numPr>
          <w:ilvl w:val="0"/>
          <w:numId w:val="229"/>
        </w:numPr>
      </w:pPr>
      <w:r>
        <w:lastRenderedPageBreak/>
        <w:t>The observations in one group are matched or paired with the observations in the other group based on some relevant characteristic, such as age, gender, or baseline performance. For instance, a study comparing the effects of two different teaching methods might match students in the two groups based on their pretest scores, to ensure that any differences in posttest scores are due to the teaching method rather than pre-existing differences in ability.</w:t>
      </w:r>
    </w:p>
    <w:p w14:paraId="43500FD5" w14:textId="77777777" w:rsidR="00780CE6" w:rsidRDefault="00780CE6" w:rsidP="00780CE6">
      <w:r>
        <w:t>For comparing dependent groups, the paired t-test is the appropriate parametric choice, as it accounts for the fact that the two sets of observations are not independent. The paired t-test calculates the differences between the paired observations in the two groups and then tests whether the average difference is significantly different from zero. Like the independent samples t-test, the paired t-test assumes that the differences between the paired observations are normally distributed.</w:t>
      </w:r>
    </w:p>
    <w:p w14:paraId="4582AE25" w14:textId="77777777" w:rsidR="00780CE6" w:rsidRDefault="00780CE6" w:rsidP="00780CE6">
      <w:r>
        <w:t>If the assumptions of the paired t-test are violated, the non-parametric Wilcoxon signed-rank test can be used as an alternative. This test also calculates the differences between the paired observations but then ranks the absolute values of these differences and compares the sum of the positive and negative ranks. The Wilcoxon signed-rank test is less powerful than the paired t-test when the assumptions are met but is more robust to violations of normality.</w:t>
      </w:r>
    </w:p>
    <w:p w14:paraId="75B20FFB" w14:textId="062C47BB" w:rsidR="00E43592" w:rsidRDefault="00E43592" w:rsidP="00E43592">
      <w:pPr>
        <w:pStyle w:val="Heading4"/>
      </w:pPr>
      <w:r>
        <w:t>More Than Two Groups</w:t>
      </w:r>
    </w:p>
    <w:p w14:paraId="0C64A45E" w14:textId="6A12FE48" w:rsidR="00780CE6" w:rsidRDefault="00780CE6" w:rsidP="00780CE6">
      <w:r>
        <w:t>When working with more than two independent groups, one-way ANOVA (analysis of variance) is the appropriate parametric test for comparing their means. ANOVA tests the null hypothesis that all group means are equal and produces an F-statistic that indicates the ratio of the variation between the groups to the variation within the groups. If the F-statistic is significant (usually at the 0.05 level), it suggests that at least one of the group means is different from the others.</w:t>
      </w:r>
    </w:p>
    <w:p w14:paraId="4F9B2E25" w14:textId="785A8949" w:rsidR="00780CE6" w:rsidRDefault="00780CE6" w:rsidP="00780CE6">
      <w:r>
        <w:t xml:space="preserve">However, ANOVA does not specify which </w:t>
      </w:r>
      <w:r w:rsidR="00FF186C">
        <w:t>groups</w:t>
      </w:r>
      <w:r>
        <w:t xml:space="preserve"> differ from each other. To determine this, researchers must conduct post-hoc tests, such as Tukey's HSD (</w:t>
      </w:r>
      <w:r w:rsidR="005B0ACE">
        <w:t>H</w:t>
      </w:r>
      <w:r>
        <w:t xml:space="preserve">onestly </w:t>
      </w:r>
      <w:r w:rsidR="005B0ACE">
        <w:t>S</w:t>
      </w:r>
      <w:r>
        <w:t xml:space="preserve">ignificant </w:t>
      </w:r>
      <w:r w:rsidR="005B0ACE">
        <w:t>D</w:t>
      </w:r>
      <w:r>
        <w:t>ifference) or Bonferroni corrections, which adjust for the fact that multiple comparisons are being made and control the overall Type I error rate (the probability of finding a false positive result).</w:t>
      </w:r>
    </w:p>
    <w:p w14:paraId="0FD0A7FC" w14:textId="77777777" w:rsidR="00780CE6" w:rsidRDefault="00780CE6" w:rsidP="00780CE6">
      <w:r>
        <w:t>If the assumptions of ANOVA (normality and homogeneity of variance) are not met, the non-parametric Kruskal-Wallis test can be used instead to compare the medians of the groups. Like the Mann-Whitney U test, the Kruskal-Wallis test is based on the ranks of the observations rather than their raw values and is less sensitive to outliers or non-normal distributions.</w:t>
      </w:r>
    </w:p>
    <w:p w14:paraId="0CC2E878" w14:textId="77777777" w:rsidR="00780CE6" w:rsidRDefault="00780CE6" w:rsidP="00780CE6">
      <w:r>
        <w:t>It's important to note that these tests only indicate whether there are significant differences between the groups; they do not provide information about the magnitude or practical significance of these differences. In other words, a statistically significant result (e.g., p &lt; 0.05) does not necessarily mean that the difference between the groups is large or meaningful in real-world terms.</w:t>
      </w:r>
    </w:p>
    <w:p w14:paraId="0905D69B" w14:textId="0067689B" w:rsidR="00780CE6" w:rsidRDefault="00780CE6" w:rsidP="00780CE6">
      <w:r>
        <w:lastRenderedPageBreak/>
        <w:t xml:space="preserve">To assess the size of the effect, researchers can calculate measures such as Cohen's d (for t-tests) or eta-squared (for ANOVA), which express the difference between the groups in standardized units </w:t>
      </w:r>
      <w:r w:rsidR="00484EA5">
        <w:t xml:space="preserve"> </w:t>
      </w:r>
      <w:r w:rsidR="00484EA5">
        <w:fldChar w:fldCharType="begin"/>
      </w:r>
      <w:r w:rsidR="00484EA5">
        <w:instrText xml:space="preserve"> ADDIN ZOTERO_ITEM CSL_CITATION {"citationID":"hENjB7F1","properties":{"formattedCitation":"[113]","plainCitation":"[113]","noteIndex":0},"citationItems":[{"id":380,"uris":["http://zotero.org/users/5015692/items/FMY6IJCF"],"itemData":{"id":380,"type":"article-journal","container-title":"Frontiers in psychology","ISSN":"1664-1078","journalAbbreviation":"Frontiers in psychology","note":"publisher: Frontiers","page":"62627","title":"Calculating and reporting effect sizes to facilitate cumulative science: a practical primer for t-tests and ANOVAs","volume":"4","author":[{"family":"Lakens","given":"Daniël"}],"issued":{"date-parts":[["2013"]]}}}],"schema":"https://github.com/citation-style-language/schema/raw/master/csl-citation.json"} </w:instrText>
      </w:r>
      <w:r w:rsidR="00484EA5">
        <w:fldChar w:fldCharType="separate"/>
      </w:r>
      <w:r w:rsidR="00484EA5" w:rsidRPr="007C07B4">
        <w:t>[113]</w:t>
      </w:r>
      <w:r w:rsidR="00484EA5">
        <w:fldChar w:fldCharType="end"/>
      </w:r>
      <w:r w:rsidR="00484EA5">
        <w:t xml:space="preserve">. </w:t>
      </w:r>
      <w:r>
        <w:t>Cohen's d is calculated as the difference between the group means divided by the pooled standard deviation and can be interpreted as small (d = 0.2), medium (d = 0.5), or large (d = 0.8) effects. Eta-squared represents the proportion of the total variance in the dependent variable that is explained by the grouping variable and ranges from 0 to 1.</w:t>
      </w:r>
    </w:p>
    <w:p w14:paraId="5C747E9E" w14:textId="77777777" w:rsidR="00780CE6" w:rsidRDefault="00780CE6" w:rsidP="00780CE6">
      <w:r>
        <w:t>When reporting the results of these comparisons, it's essential to include not only the test statistic and p-value but also the means (or medians) and standard deviations (or interquartile ranges) for each group, along with the confidence intervals for the differences between the groups. Confidence intervals provide a range of plausible values for the true difference between the groups and indicate the precision of the estimate. Reporting these descriptive statistics and confidence intervals allows readers to fully understand the nature and practical significance of the findings, beyond just the binary decision of whether the results are statistically significant or not.</w:t>
      </w:r>
    </w:p>
    <w:p w14:paraId="50C8896D" w14:textId="4E266054" w:rsidR="00BE2E2F" w:rsidRDefault="00FA32DE" w:rsidP="00BE2E2F">
      <w:pPr>
        <w:pStyle w:val="Heading3"/>
      </w:pPr>
      <w:bookmarkStart w:id="151" w:name="_Toc169156772"/>
      <w:r>
        <w:t>Analysis of Variance (ANOVA)</w:t>
      </w:r>
      <w:bookmarkEnd w:id="151"/>
    </w:p>
    <w:p w14:paraId="56D51A7B" w14:textId="373A13D2" w:rsidR="00D43947" w:rsidRDefault="00D43947" w:rsidP="00D43947">
      <w:r>
        <w:t>Analysis of Variance (ANOVA) is a powerful statistical technique used to compare the means of three or more groups simultaneously. It tests the null hypothesis that all group means are equal, while the alternative hypothesis states that at least one group mean differs from the others</w:t>
      </w:r>
      <w:r w:rsidR="00B61230">
        <w:t xml:space="preserve"> </w:t>
      </w:r>
      <w:r w:rsidR="00B61230">
        <w:fldChar w:fldCharType="begin"/>
      </w:r>
      <w:r w:rsidR="00B61230">
        <w:instrText xml:space="preserve"> ADDIN ZOTERO_ITEM CSL_CITATION {"citationID":"nyYZ4Wgn","properties":{"formattedCitation":"[107]","plainCitation":"[107]","noteIndex":0},"citationItems":[{"id":371,"uris":["http://zotero.org/users/5015692/items/I4IIJUXF"],"itemData":{"id":371,"type":"book","abstract":"OpenIntro Statistics offers a traditional introduction to statistics at the college level. This textbook is widely used at the college level and offers an exceptional and accessible introduction for students from community colleges to the Ivy League. The textbook has been thoroughly vetted with an estimated 20,000 students using it annually.","edition":"4","title":"OpenIntro Statistics","URL":"https://leanpub.com/os","author":[{"family":"Diez","given":"David"},{"family":"Cetinkaya-Rundel","given":"Mine"},{"family":"Barr","given":"Christopher"}]}}],"schema":"https://github.com/citation-style-language/schema/raw/master/csl-citation.json"} </w:instrText>
      </w:r>
      <w:r w:rsidR="00B61230">
        <w:fldChar w:fldCharType="separate"/>
      </w:r>
      <w:r w:rsidR="00B61230" w:rsidRPr="007C07B4">
        <w:t>[107]</w:t>
      </w:r>
      <w:r w:rsidR="00B61230">
        <w:fldChar w:fldCharType="end"/>
      </w:r>
      <w:r w:rsidR="00B61230">
        <w:t>.</w:t>
      </w:r>
      <w:r>
        <w:t xml:space="preserve"> In other words, ANOVA aims to determine whether the observed differences between the groups are due to random chance or to a systematic effect of the grouping variable on the dependent variable.</w:t>
      </w:r>
    </w:p>
    <w:p w14:paraId="0A14511D" w14:textId="3AF7B50A" w:rsidR="00830C81" w:rsidRDefault="00830C81" w:rsidP="006C5943">
      <w:pPr>
        <w:pStyle w:val="Heading4"/>
      </w:pPr>
      <w:r>
        <w:t>Basic Principle</w:t>
      </w:r>
    </w:p>
    <w:p w14:paraId="02B70C96" w14:textId="7CE57707" w:rsidR="00D43947" w:rsidRDefault="00D43947" w:rsidP="00D43947">
      <w:r>
        <w:t>The basic principle behind ANOVA is partitioning the total variability in the data into two components:</w:t>
      </w:r>
    </w:p>
    <w:p w14:paraId="6A7512AB" w14:textId="0062557F" w:rsidR="00D43947" w:rsidRDefault="00D43947" w:rsidP="00DB12DB">
      <w:pPr>
        <w:pStyle w:val="ListParagraph"/>
        <w:numPr>
          <w:ilvl w:val="0"/>
          <w:numId w:val="405"/>
        </w:numPr>
      </w:pPr>
      <w:r>
        <w:t>Between-group variability: This represents the differences in means among the groups being compared. If the grouping variable has a significant effect on the dependent variable, then the between-group variability should be larger than would be expected by chance.</w:t>
      </w:r>
    </w:p>
    <w:p w14:paraId="25644BD8" w14:textId="60A34252" w:rsidR="00D43947" w:rsidRDefault="00D43947" w:rsidP="00DB12DB">
      <w:pPr>
        <w:pStyle w:val="ListParagraph"/>
        <w:numPr>
          <w:ilvl w:val="0"/>
          <w:numId w:val="405"/>
        </w:numPr>
      </w:pPr>
      <w:r>
        <w:t>Within-group variability: This represents the natural variation or "noise" within each group, also known as error or residual variance. This variability is assumed to be random and unrelated to the grouping variable.</w:t>
      </w:r>
    </w:p>
    <w:p w14:paraId="79E41894" w14:textId="3E27A5A8" w:rsidR="00D43947" w:rsidRDefault="00D43947" w:rsidP="00D43947">
      <w:r>
        <w:t>ANOVA then calculates an F-statistic, which is the ratio of the between-group variability to the within-group variability. A large F-value suggests that the differences between the group means are greater than would be expected by chance alone, indicating a significant effect of the grouping variable on the outcome. The F-statistic is compared to a critical value from the F-distribution, which depends on the degrees of freedom for the numerator (between-group) and denominator (within-group) and the chosen significance level (usually 0.05).</w:t>
      </w:r>
    </w:p>
    <w:p w14:paraId="35B690A0" w14:textId="77777777" w:rsidR="00830C81" w:rsidRDefault="00830C81" w:rsidP="00D43947"/>
    <w:p w14:paraId="3E8FE3A5" w14:textId="5A3B72F9" w:rsidR="00D43947" w:rsidRDefault="00D43947" w:rsidP="00D43947">
      <w:r>
        <w:lastRenderedPageBreak/>
        <w:t>There are several types of ANOVA, each designed to handle different research designs and questions:</w:t>
      </w:r>
    </w:p>
    <w:p w14:paraId="311D10C7" w14:textId="33C25500" w:rsidR="00D43947" w:rsidRDefault="00830C81" w:rsidP="00830C81">
      <w:pPr>
        <w:pStyle w:val="Heading4"/>
      </w:pPr>
      <w:r>
        <w:t>Types of ANOVA</w:t>
      </w:r>
    </w:p>
    <w:p w14:paraId="431961FB" w14:textId="52C67A8B" w:rsidR="00D43947" w:rsidRDefault="00D43947" w:rsidP="006C5943">
      <w:pPr>
        <w:pStyle w:val="ListParagraph"/>
        <w:numPr>
          <w:ilvl w:val="0"/>
          <w:numId w:val="407"/>
        </w:numPr>
      </w:pPr>
      <w:r w:rsidRPr="006C5943">
        <w:rPr>
          <w:b/>
          <w:bCs/>
        </w:rPr>
        <w:t>One-way ANOVA</w:t>
      </w:r>
      <w:r>
        <w:t>: This is the simplest form of ANOVA and is used to compare the means of three or more independent groups on a single dependent variable. For example, a researcher might use one-way ANOVA to compare the effectiveness of three different teaching methods (e.g., lecture, discussion, and problem-based learning) on student exam scores. The null hypothesis would be that there is no difference in mean exam scores among the three teaching methods, while the alternative hypothesis would be that at least one method yields significantly different scores from the others.</w:t>
      </w:r>
    </w:p>
    <w:p w14:paraId="46DBC1BA" w14:textId="77B1E1D9" w:rsidR="00D43947" w:rsidRDefault="00D43947" w:rsidP="006C5943">
      <w:pPr>
        <w:pStyle w:val="ListParagraph"/>
        <w:numPr>
          <w:ilvl w:val="0"/>
          <w:numId w:val="407"/>
        </w:numPr>
      </w:pPr>
      <w:r w:rsidRPr="00D90A3D">
        <w:rPr>
          <w:b/>
          <w:bCs/>
        </w:rPr>
        <w:t>Factorial ANOVA</w:t>
      </w:r>
      <w:r>
        <w:t>: This type of ANOVA examines the effects of two or more independent variables (factors) on a dependent variable, as well as the interactions between the factors. A factorial ANOVA allows researchers to investigate the impact of multiple variables simultaneously and to determine whether the effect of one variable depends on the level of another variable. For instance, a 2x2 factorial ANOVA might investigate the impact of both gender (male vs. female) and treatment (drug vs. placebo) on blood pressure levels. This design would allow the researcher to test for main effects of gender and treatment, as well as the interaction between gender and treatment (i.e., whether the effect of the drug differs for males and females).</w:t>
      </w:r>
    </w:p>
    <w:p w14:paraId="650EB8AD" w14:textId="00AEEA59" w:rsidR="00D43947" w:rsidRDefault="00D43947" w:rsidP="006C5943">
      <w:pPr>
        <w:pStyle w:val="ListParagraph"/>
        <w:numPr>
          <w:ilvl w:val="0"/>
          <w:numId w:val="407"/>
        </w:numPr>
      </w:pPr>
      <w:r w:rsidRPr="00D90A3D">
        <w:rPr>
          <w:b/>
          <w:bCs/>
        </w:rPr>
        <w:t>Repeated measures ANOVA</w:t>
      </w:r>
      <w:r>
        <w:t>: This type of ANOVA is used when the same individuals are measured under three or more different conditions or time points. This design accounts for the fact that the observations within each person are likely to be correlated, as they come from the same individual. An example could be comparing anxiety levels in patients before, during, and after a therapy program. The repeated measures ANOVA would test whether there is a significant change in anxiety levels over time, while controlling for the fact that each patient's scores are related to their own baseline level of anxiety.</w:t>
      </w:r>
    </w:p>
    <w:p w14:paraId="49E18979" w14:textId="324DF9DA" w:rsidR="00070C63" w:rsidRDefault="00070C63" w:rsidP="00070C63">
      <w:pPr>
        <w:pStyle w:val="Heading4"/>
      </w:pPr>
      <w:r>
        <w:t>Assumptions</w:t>
      </w:r>
    </w:p>
    <w:p w14:paraId="38919167" w14:textId="5A675981" w:rsidR="00D43947" w:rsidRDefault="00D43947" w:rsidP="00D43947">
      <w:r>
        <w:t>Like other parametric tests, ANOVA has several assumptions that must be met for the results to be valid:</w:t>
      </w:r>
    </w:p>
    <w:p w14:paraId="3793EA3C" w14:textId="3AFC1710" w:rsidR="00D43947" w:rsidRDefault="00D43947" w:rsidP="00070C63">
      <w:pPr>
        <w:pStyle w:val="ListParagraph"/>
        <w:numPr>
          <w:ilvl w:val="0"/>
          <w:numId w:val="409"/>
        </w:numPr>
      </w:pPr>
      <w:r w:rsidRPr="00070C63">
        <w:rPr>
          <w:b/>
          <w:bCs/>
        </w:rPr>
        <w:t>Normality</w:t>
      </w:r>
      <w:r>
        <w:t>: The dependent variable should be approximately normally distributed within each group. This means that the distribution of scores within each group should follow a bell-shaped curve, with most scores clustered around the mean and fewer scores at the extremes. Deviations from normality can affect the accuracy of the F-test and the validity of the p-values.</w:t>
      </w:r>
    </w:p>
    <w:p w14:paraId="1CFCF2BA" w14:textId="01262A7F" w:rsidR="00D43947" w:rsidRDefault="00D43947" w:rsidP="00070C63">
      <w:pPr>
        <w:pStyle w:val="ListParagraph"/>
        <w:numPr>
          <w:ilvl w:val="0"/>
          <w:numId w:val="409"/>
        </w:numPr>
      </w:pPr>
      <w:r w:rsidRPr="000F1734">
        <w:rPr>
          <w:b/>
          <w:bCs/>
        </w:rPr>
        <w:t>Homogeneity of variance</w:t>
      </w:r>
      <w:r>
        <w:t xml:space="preserve">: The variability of the dependent variable should be similar across all groups. In other words, the spread of scores within each group should be roughly equal. If the variances are unequal (a condition known as heteroscedasticity), it can lead to </w:t>
      </w:r>
      <w:r>
        <w:lastRenderedPageBreak/>
        <w:t xml:space="preserve">inaccurate p-values and an increased risk of Type I errors (rejecting the null hypothesis when it is </w:t>
      </w:r>
      <w:r w:rsidR="000F1734">
        <w:t>true</w:t>
      </w:r>
      <w:r>
        <w:t>).</w:t>
      </w:r>
    </w:p>
    <w:p w14:paraId="0E01A59D" w14:textId="591C4F56" w:rsidR="00D43947" w:rsidRDefault="00D43947" w:rsidP="00070C63">
      <w:pPr>
        <w:pStyle w:val="ListParagraph"/>
        <w:numPr>
          <w:ilvl w:val="0"/>
          <w:numId w:val="409"/>
        </w:numPr>
      </w:pPr>
      <w:r w:rsidRPr="00B17109">
        <w:rPr>
          <w:b/>
          <w:bCs/>
        </w:rPr>
        <w:t>Independence</w:t>
      </w:r>
      <w:r>
        <w:t>: The observations within and between groups should be independent of each other. This means that the score of one individual should not be influenced by or related to the scores of other individuals in the same or different groups. Violations of independence can occur when data are collected from related individuals (e.g., siblings) or when the same individuals are tested repeatedly without sufficient washout periods between measurements.</w:t>
      </w:r>
    </w:p>
    <w:p w14:paraId="27E47F11" w14:textId="4C180D7C" w:rsidR="00D43947" w:rsidRDefault="00D43947" w:rsidP="00D43947">
      <w:r>
        <w:t xml:space="preserve">Violations of these assumptions can lead to inaccurate p-values and an increased risk of Type I or Type II errors (failing to reject the null hypothesis when it is </w:t>
      </w:r>
      <w:r w:rsidR="009B5B54">
        <w:t>false</w:t>
      </w:r>
      <w:r>
        <w:t>). In such cases, transforming the data (e.g., using logarithms or square roots) or using non-parametric alternatives like the Kruskal-Wallis test may be necessary. The Kruskal-Wallis test is a rank-based test that compares the medians of the groups rather than their means and does not assume normality or homogeneity of variance.</w:t>
      </w:r>
    </w:p>
    <w:p w14:paraId="7237811A" w14:textId="0E6FDD1A" w:rsidR="007B324C" w:rsidRDefault="007B324C" w:rsidP="007B324C">
      <w:pPr>
        <w:pStyle w:val="Heading4"/>
      </w:pPr>
      <w:r>
        <w:t>Reporting an ANOVA</w:t>
      </w:r>
    </w:p>
    <w:p w14:paraId="7BCC48F4" w14:textId="42F2A883" w:rsidR="00D43947" w:rsidRDefault="00D43947" w:rsidP="00D43947">
      <w:r>
        <w:t>When reporting the results of an ANOVA, it's important to include the following information:</w:t>
      </w:r>
    </w:p>
    <w:p w14:paraId="11E1E1D3" w14:textId="287E6FAA" w:rsidR="00D43947" w:rsidRDefault="00D43947" w:rsidP="009B5B54">
      <w:pPr>
        <w:pStyle w:val="ListParagraph"/>
        <w:numPr>
          <w:ilvl w:val="0"/>
          <w:numId w:val="411"/>
        </w:numPr>
      </w:pPr>
      <w:r>
        <w:t>The F-statistic, degrees of freedom, and p-value for the overall test of significance. The F-statistic represents the ratio of the between-group variability to the within-group variability, and the p-value indicates the probability of observing an F-value as large or larger than the one obtained, assuming the null hypothesis is true. A small p-value (typically less than 0.05) suggests that the observed differences between the groups are unlikely to be due to chance alone.</w:t>
      </w:r>
    </w:p>
    <w:p w14:paraId="3D54F990" w14:textId="00CBC25A" w:rsidR="00D43947" w:rsidRDefault="00D43947" w:rsidP="009B5B54">
      <w:pPr>
        <w:pStyle w:val="ListParagraph"/>
        <w:numPr>
          <w:ilvl w:val="0"/>
          <w:numId w:val="411"/>
        </w:numPr>
      </w:pPr>
      <w:r>
        <w:t>The means, standard deviations, and sample sizes for each group. These descriptive statistics provide information about the central tendency, variability, and precision of the estimates for each group and allow readers to assess the practical significance of the differences between the groups.</w:t>
      </w:r>
    </w:p>
    <w:p w14:paraId="3C69CCDE" w14:textId="2646C9F0" w:rsidR="00D43947" w:rsidRDefault="00D43947" w:rsidP="009B5B54">
      <w:pPr>
        <w:pStyle w:val="ListParagraph"/>
        <w:numPr>
          <w:ilvl w:val="0"/>
          <w:numId w:val="411"/>
        </w:numPr>
      </w:pPr>
      <w:r>
        <w:t xml:space="preserve">The results of post-hoc tests (if applicable) </w:t>
      </w:r>
      <w:r w:rsidR="00D01C5E">
        <w:t>to identify</w:t>
      </w:r>
      <w:r>
        <w:t xml:space="preserve"> which specific pairs of groups differ significantly from each other. If the overall F-test is significant, it indicates that at least one group differs from the others, but it does not specify which groups differ. Post-hoc tests, such as Tukey's HSD (honestly significant difference) or Bonferroni corrections, control the Type I error rate across multiple pairwise comparisons and identify the specific groups that differ significantly.</w:t>
      </w:r>
    </w:p>
    <w:p w14:paraId="11E4E061" w14:textId="64D0E6BD" w:rsidR="00D43947" w:rsidRDefault="00D43947" w:rsidP="009B5B54">
      <w:pPr>
        <w:pStyle w:val="ListParagraph"/>
        <w:numPr>
          <w:ilvl w:val="0"/>
          <w:numId w:val="411"/>
        </w:numPr>
      </w:pPr>
      <w:r>
        <w:t xml:space="preserve">Measures of effect size, such as eta-squared or partial eta-squared, to quantify the magnitude of the differences between the groups. Effect sizes provide a standardized measure of the strength of the relationship between the grouping variable and the dependent variable, independent of sample size. Eta-squared represents the proportion of the total variance in the dependent variable that is explained by the grouping variable, while </w:t>
      </w:r>
      <w:r>
        <w:lastRenderedPageBreak/>
        <w:t>partial eta-squared represents the proportion of the variance explained by the grouping variable after controlling for the effects of other variables in the model.</w:t>
      </w:r>
    </w:p>
    <w:p w14:paraId="2564E604" w14:textId="77777777" w:rsidR="00D43947" w:rsidRDefault="00D43947" w:rsidP="00D43947">
      <w:r>
        <w:t>As with all statistical techniques, ANOVA is a tool that should be used judiciously and in the context of a well-designed research study. Researchers should carefully consider the appropriateness of ANOVA for their specific research question, design, and data characteristics. They should also be aware of the assumptions underlying the test and take steps to assess and address any violations of these assumptions.</w:t>
      </w:r>
    </w:p>
    <w:p w14:paraId="5F7E49A9" w14:textId="77777777" w:rsidR="00D43947" w:rsidRDefault="00D43947" w:rsidP="00D43947">
      <w:r>
        <w:t>Furthermore, it's important to remember that a statistically significant result does not necessarily imply a practically significant or meaningful result. Small differences between groups can be statistically significant with large sample sizes, even if the practical impact of these differences is minimal. Conversely, large differences between groups may not reach statistical significance with small sample sizes, even if the practical importance of these differences is substantial.</w:t>
      </w:r>
    </w:p>
    <w:p w14:paraId="53ADCB6E" w14:textId="77777777" w:rsidR="00D43947" w:rsidRDefault="00D43947" w:rsidP="00D43947">
      <w:r>
        <w:t>Therefore, researchers should always interpret their ANOVA results in the context of their research question, previous findings, and the practical implications of their study. They should also consider alternative explanations for their findings and be cautious about making causal inferences from observational data.</w:t>
      </w:r>
    </w:p>
    <w:p w14:paraId="419E6D1C" w14:textId="77777777" w:rsidR="00BE2E2F" w:rsidRDefault="00BE2E2F" w:rsidP="00BE2E2F">
      <w:pPr>
        <w:pStyle w:val="Heading3"/>
      </w:pPr>
      <w:bookmarkStart w:id="152" w:name="_Toc169156773"/>
      <w:r>
        <w:t>Chi-Square and Other Tests for Association Between Categorical Variables</w:t>
      </w:r>
      <w:bookmarkEnd w:id="152"/>
    </w:p>
    <w:p w14:paraId="5A707B42" w14:textId="481CE76E" w:rsidR="0050394D" w:rsidRDefault="0050394D" w:rsidP="0050394D">
      <w:pPr>
        <w:pStyle w:val="Heading4"/>
      </w:pPr>
      <w:r>
        <w:t>Chi-Square Defined</w:t>
      </w:r>
    </w:p>
    <w:p w14:paraId="662B637E" w14:textId="3B3424B1" w:rsidR="00743742" w:rsidRDefault="00743742" w:rsidP="00743742">
      <w:r>
        <w:t>In addition to comparing means and medians, researchers often need to examine the relationship between two or more categorical variables. Categorical variables are those that have a fixed number of distinct values or categories, such as gender (male, female), political affiliation (Democrat, Republican, Independent), or disease status (healthy, mild, severe). These variables are typically measured on a nominal or ordinal scale, meaning that the categories are mutually exclusive and may or may not have a natural order.</w:t>
      </w:r>
    </w:p>
    <w:p w14:paraId="4AF6674A" w14:textId="22B72A2C" w:rsidR="00743742" w:rsidRDefault="00743742" w:rsidP="00743742">
      <w:r>
        <w:t>The most common statistical test for assessing the association between two categorical variables is the chi-square test of independence. This test compares the observed frequencies of cases in each cell of a contingency table to the frequencies that would be expected if there were no relationship between the variables</w:t>
      </w:r>
      <w:r w:rsidR="001D02EC">
        <w:t xml:space="preserve"> </w:t>
      </w:r>
      <w:r w:rsidR="001D02EC">
        <w:fldChar w:fldCharType="begin"/>
      </w:r>
      <w:r w:rsidR="001D02EC">
        <w:instrText xml:space="preserve"> ADDIN ZOTERO_ITEM CSL_CITATION {"citationID":"nMuwlN7x","properties":{"formattedCitation":"[109]","plainCitation":"[109]","noteIndex":0},"citationItems":[{"id":373,"uris":["http://zotero.org/users/5015692/items/LRQCW89R"],"itemData":{"id":373,"type":"book","abstract":"Statistics: The Art and Science of Learning From Data, 5th Edition helps you understand what statistics is all about and learn the right questions to ask when analyzing data, instead of just memorizing procedures. It makes accessible the ideas that have turned statistics into a central science of modern life, without compromising essential material. Students often find this book enjoyable to read and stay engaged with the wide variety of real-world data in the examples and exercises. Based on the authors' belief that it's important for you to learn and analyze both quantitative and categorial data, this text pays greater attention to the analysis of proportions than many other introductory statistics texts.","edition":"5","ISBN":"978-0-13-687999-2","publisher":"Pearson","title":"Statistics: The Art and Science of Learning from Data","author":[{"family":"Agresti","given":"Alan"},{"family":"Franklin","given":"Christine"},{"family":"Klingenberg","given":"Bernhard"}],"issued":{"date-parts":[["2021"]]}}}],"schema":"https://github.com/citation-style-language/schema/raw/master/csl-citation.json"} </w:instrText>
      </w:r>
      <w:r w:rsidR="001D02EC">
        <w:fldChar w:fldCharType="separate"/>
      </w:r>
      <w:r w:rsidR="001D02EC" w:rsidRPr="007C07B4">
        <w:t>[109]</w:t>
      </w:r>
      <w:r w:rsidR="001D02EC">
        <w:fldChar w:fldCharType="end"/>
      </w:r>
      <w:r w:rsidR="001D02EC">
        <w:t>.</w:t>
      </w:r>
      <w:r>
        <w:t xml:space="preserve"> In other words, the chi-square test examines whether the distribution of cases across the categories of one variable is independent of the distribution of cases across the categories of the other variable.</w:t>
      </w:r>
    </w:p>
    <w:p w14:paraId="4EE94988" w14:textId="3D00031F" w:rsidR="00743742" w:rsidRDefault="00743742" w:rsidP="0051350A">
      <w:r>
        <w:t xml:space="preserve">The chi-square statistic is calculated as the sum of the squared differences between the observed and expected frequencies, divided by the expected frequencies. A large chi-square value suggests that the observed frequencies differ significantly from the expected frequencies, indicating an association between the variables. </w:t>
      </w:r>
    </w:p>
    <w:p w14:paraId="66B6D24D" w14:textId="77777777" w:rsidR="00743742" w:rsidRDefault="00743742" w:rsidP="00743742">
      <w:r>
        <w:t xml:space="preserve">For example, suppose a researcher wants to know whether there is a relationship between gender and preference for a particular brand of soft drink. They survey 200 individuals and create a </w:t>
      </w:r>
      <w:r>
        <w:lastRenderedPageBreak/>
        <w:t>contingency table with two rows (male, female) and two columns (prefers Brand A, prefers Brand B). The observed frequencies in each cell are:</w:t>
      </w:r>
    </w:p>
    <w:tbl>
      <w:tblPr>
        <w:tblStyle w:val="GridTable5Dark-Accent1"/>
        <w:tblW w:w="0" w:type="auto"/>
        <w:jc w:val="center"/>
        <w:tblLook w:val="04A0" w:firstRow="1" w:lastRow="0" w:firstColumn="1" w:lastColumn="0" w:noHBand="0" w:noVBand="1"/>
      </w:tblPr>
      <w:tblGrid>
        <w:gridCol w:w="1075"/>
        <w:gridCol w:w="1080"/>
        <w:gridCol w:w="1080"/>
        <w:gridCol w:w="900"/>
      </w:tblGrid>
      <w:tr w:rsidR="009028FD" w14:paraId="55ECCE0D" w14:textId="77777777" w:rsidTr="005226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Pr>
          <w:p w14:paraId="17685769" w14:textId="77777777" w:rsidR="009028FD" w:rsidRDefault="009028FD" w:rsidP="00743742"/>
        </w:tc>
        <w:tc>
          <w:tcPr>
            <w:tcW w:w="1080" w:type="dxa"/>
          </w:tcPr>
          <w:p w14:paraId="18EE0C92" w14:textId="6F86C593" w:rsidR="009028FD" w:rsidRDefault="009028FD" w:rsidP="00C3649E">
            <w:pPr>
              <w:jc w:val="center"/>
              <w:cnfStyle w:val="100000000000" w:firstRow="1" w:lastRow="0" w:firstColumn="0" w:lastColumn="0" w:oddVBand="0" w:evenVBand="0" w:oddHBand="0" w:evenHBand="0" w:firstRowFirstColumn="0" w:firstRowLastColumn="0" w:lastRowFirstColumn="0" w:lastRowLastColumn="0"/>
            </w:pPr>
            <w:r>
              <w:t>Brand A</w:t>
            </w:r>
          </w:p>
        </w:tc>
        <w:tc>
          <w:tcPr>
            <w:tcW w:w="1080" w:type="dxa"/>
          </w:tcPr>
          <w:p w14:paraId="7F650411" w14:textId="088F67E9" w:rsidR="009028FD" w:rsidRDefault="009028FD" w:rsidP="00C3649E">
            <w:pPr>
              <w:jc w:val="center"/>
              <w:cnfStyle w:val="100000000000" w:firstRow="1" w:lastRow="0" w:firstColumn="0" w:lastColumn="0" w:oddVBand="0" w:evenVBand="0" w:oddHBand="0" w:evenHBand="0" w:firstRowFirstColumn="0" w:firstRowLastColumn="0" w:lastRowFirstColumn="0" w:lastRowLastColumn="0"/>
            </w:pPr>
            <w:r>
              <w:t>Brand B</w:t>
            </w:r>
          </w:p>
        </w:tc>
        <w:tc>
          <w:tcPr>
            <w:tcW w:w="900" w:type="dxa"/>
          </w:tcPr>
          <w:p w14:paraId="615A07DF" w14:textId="10C3D920" w:rsidR="009028FD" w:rsidRDefault="009028FD" w:rsidP="00C3649E">
            <w:pPr>
              <w:jc w:val="center"/>
              <w:cnfStyle w:val="100000000000" w:firstRow="1" w:lastRow="0" w:firstColumn="0" w:lastColumn="0" w:oddVBand="0" w:evenVBand="0" w:oddHBand="0" w:evenHBand="0" w:firstRowFirstColumn="0" w:firstRowLastColumn="0" w:lastRowFirstColumn="0" w:lastRowLastColumn="0"/>
            </w:pPr>
            <w:r>
              <w:t>Total</w:t>
            </w:r>
          </w:p>
        </w:tc>
      </w:tr>
      <w:tr w:rsidR="009028FD" w14:paraId="17189DF7" w14:textId="77777777" w:rsidTr="005226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Pr>
          <w:p w14:paraId="78A9B2F8" w14:textId="050FAE7D" w:rsidR="009028FD" w:rsidRDefault="009028FD" w:rsidP="00743742">
            <w:r>
              <w:t>Male</w:t>
            </w:r>
          </w:p>
        </w:tc>
        <w:tc>
          <w:tcPr>
            <w:tcW w:w="1080" w:type="dxa"/>
          </w:tcPr>
          <w:p w14:paraId="2143C3AA" w14:textId="00CFD1D4" w:rsidR="009028FD" w:rsidRDefault="009028FD" w:rsidP="00C3649E">
            <w:pPr>
              <w:jc w:val="center"/>
              <w:cnfStyle w:val="000000100000" w:firstRow="0" w:lastRow="0" w:firstColumn="0" w:lastColumn="0" w:oddVBand="0" w:evenVBand="0" w:oddHBand="1" w:evenHBand="0" w:firstRowFirstColumn="0" w:firstRowLastColumn="0" w:lastRowFirstColumn="0" w:lastRowLastColumn="0"/>
            </w:pPr>
            <w:r>
              <w:t>60</w:t>
            </w:r>
          </w:p>
        </w:tc>
        <w:tc>
          <w:tcPr>
            <w:tcW w:w="1080" w:type="dxa"/>
          </w:tcPr>
          <w:p w14:paraId="3FB61611" w14:textId="125EB228" w:rsidR="009028FD" w:rsidRDefault="009028FD" w:rsidP="00C3649E">
            <w:pPr>
              <w:jc w:val="center"/>
              <w:cnfStyle w:val="000000100000" w:firstRow="0" w:lastRow="0" w:firstColumn="0" w:lastColumn="0" w:oddVBand="0" w:evenVBand="0" w:oddHBand="1" w:evenHBand="0" w:firstRowFirstColumn="0" w:firstRowLastColumn="0" w:lastRowFirstColumn="0" w:lastRowLastColumn="0"/>
            </w:pPr>
            <w:r>
              <w:t>40</w:t>
            </w:r>
          </w:p>
        </w:tc>
        <w:tc>
          <w:tcPr>
            <w:tcW w:w="900" w:type="dxa"/>
          </w:tcPr>
          <w:p w14:paraId="477964B0" w14:textId="6839F8B9" w:rsidR="009028FD" w:rsidRDefault="009028FD" w:rsidP="00C3649E">
            <w:pPr>
              <w:jc w:val="center"/>
              <w:cnfStyle w:val="000000100000" w:firstRow="0" w:lastRow="0" w:firstColumn="0" w:lastColumn="0" w:oddVBand="0" w:evenVBand="0" w:oddHBand="1" w:evenHBand="0" w:firstRowFirstColumn="0" w:firstRowLastColumn="0" w:lastRowFirstColumn="0" w:lastRowLastColumn="0"/>
            </w:pPr>
            <w:r>
              <w:t>100</w:t>
            </w:r>
          </w:p>
        </w:tc>
      </w:tr>
      <w:tr w:rsidR="009028FD" w14:paraId="41BFCE1A" w14:textId="77777777" w:rsidTr="0052261F">
        <w:trPr>
          <w:jc w:val="center"/>
        </w:trPr>
        <w:tc>
          <w:tcPr>
            <w:cnfStyle w:val="001000000000" w:firstRow="0" w:lastRow="0" w:firstColumn="1" w:lastColumn="0" w:oddVBand="0" w:evenVBand="0" w:oddHBand="0" w:evenHBand="0" w:firstRowFirstColumn="0" w:firstRowLastColumn="0" w:lastRowFirstColumn="0" w:lastRowLastColumn="0"/>
            <w:tcW w:w="1075" w:type="dxa"/>
          </w:tcPr>
          <w:p w14:paraId="2670C108" w14:textId="08D4C1AE" w:rsidR="009028FD" w:rsidRDefault="009028FD" w:rsidP="00743742">
            <w:r>
              <w:t>Female</w:t>
            </w:r>
          </w:p>
        </w:tc>
        <w:tc>
          <w:tcPr>
            <w:tcW w:w="1080" w:type="dxa"/>
          </w:tcPr>
          <w:p w14:paraId="4EAA2181" w14:textId="3807812F" w:rsidR="009028FD" w:rsidRDefault="009028FD" w:rsidP="00C3649E">
            <w:pPr>
              <w:jc w:val="center"/>
              <w:cnfStyle w:val="000000000000" w:firstRow="0" w:lastRow="0" w:firstColumn="0" w:lastColumn="0" w:oddVBand="0" w:evenVBand="0" w:oddHBand="0" w:evenHBand="0" w:firstRowFirstColumn="0" w:firstRowLastColumn="0" w:lastRowFirstColumn="0" w:lastRowLastColumn="0"/>
            </w:pPr>
            <w:r>
              <w:t>50</w:t>
            </w:r>
          </w:p>
        </w:tc>
        <w:tc>
          <w:tcPr>
            <w:tcW w:w="1080" w:type="dxa"/>
          </w:tcPr>
          <w:p w14:paraId="6FD42448" w14:textId="28EDA784" w:rsidR="009028FD" w:rsidRDefault="009028FD" w:rsidP="00C3649E">
            <w:pPr>
              <w:jc w:val="center"/>
              <w:cnfStyle w:val="000000000000" w:firstRow="0" w:lastRow="0" w:firstColumn="0" w:lastColumn="0" w:oddVBand="0" w:evenVBand="0" w:oddHBand="0" w:evenHBand="0" w:firstRowFirstColumn="0" w:firstRowLastColumn="0" w:lastRowFirstColumn="0" w:lastRowLastColumn="0"/>
            </w:pPr>
            <w:r>
              <w:t>50</w:t>
            </w:r>
          </w:p>
        </w:tc>
        <w:tc>
          <w:tcPr>
            <w:tcW w:w="900" w:type="dxa"/>
          </w:tcPr>
          <w:p w14:paraId="3880D6DE" w14:textId="6B03C8E0" w:rsidR="009028FD" w:rsidRDefault="009028FD" w:rsidP="00C3649E">
            <w:pPr>
              <w:jc w:val="center"/>
              <w:cnfStyle w:val="000000000000" w:firstRow="0" w:lastRow="0" w:firstColumn="0" w:lastColumn="0" w:oddVBand="0" w:evenVBand="0" w:oddHBand="0" w:evenHBand="0" w:firstRowFirstColumn="0" w:firstRowLastColumn="0" w:lastRowFirstColumn="0" w:lastRowLastColumn="0"/>
            </w:pPr>
            <w:r>
              <w:t>100</w:t>
            </w:r>
          </w:p>
        </w:tc>
      </w:tr>
      <w:tr w:rsidR="009028FD" w14:paraId="5D711C94" w14:textId="77777777" w:rsidTr="005226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 w:type="dxa"/>
          </w:tcPr>
          <w:p w14:paraId="765291E9" w14:textId="7F6CAD5D" w:rsidR="009028FD" w:rsidRDefault="009028FD" w:rsidP="00743742">
            <w:r>
              <w:t>Total</w:t>
            </w:r>
          </w:p>
        </w:tc>
        <w:tc>
          <w:tcPr>
            <w:tcW w:w="1080" w:type="dxa"/>
          </w:tcPr>
          <w:p w14:paraId="58B48903" w14:textId="111AB9F3" w:rsidR="009028FD" w:rsidRDefault="009028FD" w:rsidP="00C3649E">
            <w:pPr>
              <w:jc w:val="center"/>
              <w:cnfStyle w:val="000000100000" w:firstRow="0" w:lastRow="0" w:firstColumn="0" w:lastColumn="0" w:oddVBand="0" w:evenVBand="0" w:oddHBand="1" w:evenHBand="0" w:firstRowFirstColumn="0" w:firstRowLastColumn="0" w:lastRowFirstColumn="0" w:lastRowLastColumn="0"/>
            </w:pPr>
            <w:r>
              <w:t>110</w:t>
            </w:r>
          </w:p>
        </w:tc>
        <w:tc>
          <w:tcPr>
            <w:tcW w:w="1080" w:type="dxa"/>
          </w:tcPr>
          <w:p w14:paraId="20F90B30" w14:textId="780D2EB1" w:rsidR="009028FD" w:rsidRDefault="009028FD" w:rsidP="00C3649E">
            <w:pPr>
              <w:jc w:val="center"/>
              <w:cnfStyle w:val="000000100000" w:firstRow="0" w:lastRow="0" w:firstColumn="0" w:lastColumn="0" w:oddVBand="0" w:evenVBand="0" w:oddHBand="1" w:evenHBand="0" w:firstRowFirstColumn="0" w:firstRowLastColumn="0" w:lastRowFirstColumn="0" w:lastRowLastColumn="0"/>
            </w:pPr>
            <w:r>
              <w:t>90</w:t>
            </w:r>
          </w:p>
        </w:tc>
        <w:tc>
          <w:tcPr>
            <w:tcW w:w="900" w:type="dxa"/>
          </w:tcPr>
          <w:p w14:paraId="0D2EF4C7" w14:textId="00859AB9" w:rsidR="009028FD" w:rsidRDefault="009028FD" w:rsidP="00C3649E">
            <w:pPr>
              <w:jc w:val="center"/>
              <w:cnfStyle w:val="000000100000" w:firstRow="0" w:lastRow="0" w:firstColumn="0" w:lastColumn="0" w:oddVBand="0" w:evenVBand="0" w:oddHBand="1" w:evenHBand="0" w:firstRowFirstColumn="0" w:firstRowLastColumn="0" w:lastRowFirstColumn="0" w:lastRowLastColumn="0"/>
            </w:pPr>
            <w:r>
              <w:t>200</w:t>
            </w:r>
          </w:p>
        </w:tc>
      </w:tr>
    </w:tbl>
    <w:p w14:paraId="30A1606A" w14:textId="77777777" w:rsidR="002B1CC9" w:rsidRDefault="002B1CC9" w:rsidP="002B1CC9">
      <w:pPr>
        <w:pStyle w:val="NoSpacing"/>
      </w:pPr>
    </w:p>
    <w:p w14:paraId="1F8FE911" w14:textId="5F5DB22C" w:rsidR="00743742" w:rsidRDefault="00743742" w:rsidP="00743742">
      <w:r>
        <w:t>To calculate the expected frequencies, the researcher multiplies the row total by the column total and divides by the grand total. For example, the expected frequency for males who prefer Brand A is:</w:t>
      </w:r>
      <w:r w:rsidR="002B1CC9">
        <w:t xml:space="preserve"> (100 * 110) / 200 = 55</w:t>
      </w:r>
    </w:p>
    <w:p w14:paraId="6F736399" w14:textId="77777777" w:rsidR="00743742" w:rsidRDefault="00743742" w:rsidP="00743742">
      <w:r>
        <w:t>The chi-square test would determine whether the proportion of males who prefer Brand A (60/100 = 60%) is significantly different from the proportion of females who prefer Brand A (50/100 = 50%). If the chi-square statistic is large and the corresponding p-value is less than the chosen significance level (usually 0.05), the researcher would conclude that there is a significant association between gender and brand preference.</w:t>
      </w:r>
    </w:p>
    <w:p w14:paraId="1AC5CD0D" w14:textId="754B93D4" w:rsidR="00C73563" w:rsidRDefault="00C73563" w:rsidP="00C73563">
      <w:pPr>
        <w:pStyle w:val="Heading4"/>
      </w:pPr>
      <w:r>
        <w:t>Chi</w:t>
      </w:r>
      <w:r w:rsidR="0050394D">
        <w:t>-</w:t>
      </w:r>
      <w:r>
        <w:t>Square Assumptions</w:t>
      </w:r>
    </w:p>
    <w:p w14:paraId="57D42A45" w14:textId="42784397" w:rsidR="00743742" w:rsidRDefault="00743742" w:rsidP="00743742">
      <w:r>
        <w:t>The chi-square test has several assumptions and limitations:</w:t>
      </w:r>
    </w:p>
    <w:p w14:paraId="542D4A9D" w14:textId="54511D86" w:rsidR="00743742" w:rsidRDefault="00743742" w:rsidP="00B25C8E">
      <w:pPr>
        <w:pStyle w:val="ListParagraph"/>
        <w:numPr>
          <w:ilvl w:val="0"/>
          <w:numId w:val="413"/>
        </w:numPr>
      </w:pPr>
      <w:r w:rsidRPr="00B25C8E">
        <w:rPr>
          <w:b/>
          <w:bCs/>
        </w:rPr>
        <w:t>Independence</w:t>
      </w:r>
      <w:r>
        <w:t>: The observations within and between the categories of the variables must be independent of each other. This means that each case should contribute to only one cell in the contingency table, and the sample should be randomly selected from the population of interest. Violations of independence can lead to inflated chi-square values and an increased risk of Type I errors.</w:t>
      </w:r>
    </w:p>
    <w:p w14:paraId="1C5A770E" w14:textId="1AE0C6E4" w:rsidR="00743742" w:rsidRDefault="00743742" w:rsidP="00B25C8E">
      <w:pPr>
        <w:pStyle w:val="ListParagraph"/>
        <w:numPr>
          <w:ilvl w:val="0"/>
          <w:numId w:val="413"/>
        </w:numPr>
      </w:pPr>
      <w:r w:rsidRPr="00B25C8E">
        <w:rPr>
          <w:b/>
          <w:bCs/>
        </w:rPr>
        <w:t>Sample size</w:t>
      </w:r>
      <w:r>
        <w:t>: The expected frequencies in each cell of the contingency table should be at least 5. If this assumption is violated (i.e., if there are cells with expected frequencies less than 5), the chi-square test may not be valid, as the sampling distribution of the chi-square statistic may not follow the chi-square distribution. In such cases, Fisher's exact test can be used as an alternative for 2x2 tables, as it calculates the exact probability of observing the given set of frequencies under the null hypothesis of independence.</w:t>
      </w:r>
    </w:p>
    <w:p w14:paraId="79451E9E" w14:textId="5628633B" w:rsidR="00743742" w:rsidRDefault="00743742" w:rsidP="00B25C8E">
      <w:pPr>
        <w:pStyle w:val="ListParagraph"/>
        <w:numPr>
          <w:ilvl w:val="0"/>
          <w:numId w:val="413"/>
        </w:numPr>
      </w:pPr>
      <w:r w:rsidRPr="00B25C8E">
        <w:rPr>
          <w:b/>
          <w:bCs/>
        </w:rPr>
        <w:t>No directionality</w:t>
      </w:r>
      <w:r>
        <w:t xml:space="preserve">: The chi-square test only indicates whether there is a significant association between the variables; it does not provide information about the direction or strength of the relationship. A significant chi-square test suggests that the variables are related, but it does not specify how they are </w:t>
      </w:r>
      <w:r w:rsidR="00A34257">
        <w:t>related,</w:t>
      </w:r>
      <w:r>
        <w:t xml:space="preserve"> or which categories are driving the association.</w:t>
      </w:r>
    </w:p>
    <w:p w14:paraId="14306C71" w14:textId="7F46A577" w:rsidR="00743742" w:rsidRDefault="00743742" w:rsidP="009E0E30">
      <w:r>
        <w:t xml:space="preserve">To address the last limitation, researchers can use measures of association such as the phi coefficient (for 2x2 tables) or Cramer's V (for larger tables) to quantify the strength of the relationship between the variables. These measures range from 0 (no association) to 1 (perfect </w:t>
      </w:r>
      <w:r>
        <w:lastRenderedPageBreak/>
        <w:t xml:space="preserve">association) and provide a standardized measure of the degree to which the observed frequencies deviate from the expected frequencies. </w:t>
      </w:r>
    </w:p>
    <w:p w14:paraId="20BCE8F2" w14:textId="2DF94360" w:rsidR="00743742" w:rsidRDefault="00743742" w:rsidP="009E0E30">
      <w:pPr>
        <w:pStyle w:val="Heading4"/>
      </w:pPr>
      <w:r>
        <w:t xml:space="preserve">Other </w:t>
      </w:r>
      <w:r w:rsidR="009E0E30">
        <w:t>T</w:t>
      </w:r>
      <w:r>
        <w:t xml:space="preserve">ests for </w:t>
      </w:r>
      <w:r w:rsidR="009E0E30">
        <w:t>C</w:t>
      </w:r>
      <w:r>
        <w:t xml:space="preserve">ategorical </w:t>
      </w:r>
      <w:r w:rsidR="009E0E30">
        <w:t>D</w:t>
      </w:r>
      <w:r>
        <w:t>ata</w:t>
      </w:r>
    </w:p>
    <w:p w14:paraId="045D6EAD" w14:textId="25E4EF24" w:rsidR="00743742" w:rsidRDefault="00743742" w:rsidP="009E0E30">
      <w:pPr>
        <w:pStyle w:val="ListParagraph"/>
        <w:numPr>
          <w:ilvl w:val="0"/>
          <w:numId w:val="415"/>
        </w:numPr>
      </w:pPr>
      <w:r w:rsidRPr="009E0E30">
        <w:rPr>
          <w:b/>
          <w:bCs/>
        </w:rPr>
        <w:t>McNemar's test</w:t>
      </w:r>
      <w:r>
        <w:t>: This test is used to compare the proportions of two related samples, such as the proportion of patients who respond to a treatment before and after an intervention. McNemar's test is appropriate when the samples are matched or paired, and the response variable is dichotomous (e.g., success vs. failure). The test calculates the discordant pairs (cases that change from one category to the other) and determines whether the proportion of changes in one direction is significantly different from the proportion of changes in the other direction.</w:t>
      </w:r>
    </w:p>
    <w:p w14:paraId="2DC33C34" w14:textId="769E8C55" w:rsidR="00743742" w:rsidRDefault="00743742" w:rsidP="009E0E30">
      <w:pPr>
        <w:pStyle w:val="ListParagraph"/>
        <w:numPr>
          <w:ilvl w:val="0"/>
          <w:numId w:val="415"/>
        </w:numPr>
      </w:pPr>
      <w:r w:rsidRPr="00F97742">
        <w:rPr>
          <w:b/>
          <w:bCs/>
        </w:rPr>
        <w:t>Cochran's Q test</w:t>
      </w:r>
      <w:r>
        <w:t>: This test is an extension of McNemar's test for comparing the proportions of three or more related samples. Cochran's Q test is used when the samples are matched or repeated measures, and the response variable is dichotomous. The test calculates the overall proportion of successes across all samples and compares it to the proportion of successes within each sample to determine whether there are significant differences among the samples.</w:t>
      </w:r>
    </w:p>
    <w:p w14:paraId="5779C8E6" w14:textId="377BD9A2" w:rsidR="00743742" w:rsidRDefault="00743742" w:rsidP="009E0E30">
      <w:pPr>
        <w:pStyle w:val="ListParagraph"/>
        <w:numPr>
          <w:ilvl w:val="0"/>
          <w:numId w:val="415"/>
        </w:numPr>
      </w:pPr>
      <w:r w:rsidRPr="00F97742">
        <w:rPr>
          <w:b/>
          <w:bCs/>
        </w:rPr>
        <w:t>Mantel-Haenszel test</w:t>
      </w:r>
      <w:r>
        <w:t>: This test is used to assess the association between two categorical variables while controlling for a third variable, such as age or gender. The Mantel-Haenszel test is appropriate when the confounding variable is categorical and the relationship between the two main variables is consistent across the levels of the confounding variable. The test calculates a pooled estimate of the odds ratio or relative risk across the strata of the confounding variable and determines whether this estimate is significantly different from 1 (indicating no association).</w:t>
      </w:r>
    </w:p>
    <w:p w14:paraId="74522751" w14:textId="1F81EEEC" w:rsidR="00C210E1" w:rsidRDefault="00C210E1" w:rsidP="00C210E1">
      <w:pPr>
        <w:pStyle w:val="Heading4"/>
      </w:pPr>
      <w:r>
        <w:t>Reporting Tests of Categorical Data</w:t>
      </w:r>
    </w:p>
    <w:p w14:paraId="50F46539" w14:textId="7887298E" w:rsidR="00743742" w:rsidRDefault="00743742" w:rsidP="00743742">
      <w:r>
        <w:t>When reporting the results of a chi-square test or other tests for categorical data, researchers should include the following information:</w:t>
      </w:r>
    </w:p>
    <w:p w14:paraId="7B63C8CD" w14:textId="14A4FD37" w:rsidR="00743742" w:rsidRDefault="00743742" w:rsidP="00C210E1">
      <w:pPr>
        <w:pStyle w:val="ListParagraph"/>
        <w:numPr>
          <w:ilvl w:val="0"/>
          <w:numId w:val="417"/>
        </w:numPr>
      </w:pPr>
      <w:r>
        <w:t>The contingency table with the observed frequencies and percentages for each cell. This allows readers to see the raw data and assess the distribution of cases across the categories of the variables.</w:t>
      </w:r>
    </w:p>
    <w:p w14:paraId="385C00FF" w14:textId="2A403D66" w:rsidR="00743742" w:rsidRDefault="00743742" w:rsidP="00C210E1">
      <w:pPr>
        <w:pStyle w:val="ListParagraph"/>
        <w:numPr>
          <w:ilvl w:val="0"/>
          <w:numId w:val="417"/>
        </w:numPr>
      </w:pPr>
      <w:r>
        <w:t xml:space="preserve">The chi-square statistic, degrees of freedom, and p-value for the overall test of association. The degrees of freedom for a contingency table are calculated as </w:t>
      </w:r>
      <w:r w:rsidRPr="00126B0B">
        <w:rPr>
          <w:i/>
          <w:iCs/>
        </w:rPr>
        <w:t>(r-1)(c-1)</w:t>
      </w:r>
      <w:r>
        <w:t xml:space="preserve">, where </w:t>
      </w:r>
      <w:r w:rsidRPr="00126B0B">
        <w:rPr>
          <w:i/>
          <w:iCs/>
        </w:rPr>
        <w:t>r</w:t>
      </w:r>
      <w:r>
        <w:t xml:space="preserve"> is the number of rows and c is the number of columns. The p-value indicates the probability of observing a chi-square statistic as large or larger than the one obtained, assuming the null hypothesis of independence is true.</w:t>
      </w:r>
    </w:p>
    <w:p w14:paraId="3BCF5AEF" w14:textId="1070DFF1" w:rsidR="00743742" w:rsidRDefault="00743742" w:rsidP="00C210E1">
      <w:pPr>
        <w:pStyle w:val="ListParagraph"/>
        <w:numPr>
          <w:ilvl w:val="0"/>
          <w:numId w:val="417"/>
        </w:numPr>
      </w:pPr>
      <w:r>
        <w:t>The expected frequencies for each cell (if relevant) to help interpret the nature of the association. By comparing the observed and expected frequencies, researchers can identify which cells have more or fewer cases than would be expected by chance and gain insight into the patterns of association between the variables.</w:t>
      </w:r>
    </w:p>
    <w:p w14:paraId="66A8D36B" w14:textId="05604FB0" w:rsidR="00743742" w:rsidRDefault="00743742" w:rsidP="00C210E1">
      <w:pPr>
        <w:pStyle w:val="ListParagraph"/>
        <w:numPr>
          <w:ilvl w:val="0"/>
          <w:numId w:val="417"/>
        </w:numPr>
      </w:pPr>
      <w:r>
        <w:lastRenderedPageBreak/>
        <w:t>Measures of association, such as the phi coefficient or Cramer's V, to quantify the strength of the relationship. These measures provide a standardized metric for comparing the magnitude of the association across different studies or samples and can help researchers determine the practical significance of their findings.</w:t>
      </w:r>
    </w:p>
    <w:p w14:paraId="6D4F9134" w14:textId="77777777" w:rsidR="00743742" w:rsidRDefault="00743742" w:rsidP="00743742">
      <w:r>
        <w:t>In addition to these statistical results, researchers should also discuss the implications of their findings in the context of their research question and previous literature. They should consider alternative explanations for the observed associations and be cautious about making causal inferences from cross-sectional or observational data.</w:t>
      </w:r>
    </w:p>
    <w:p w14:paraId="470F906F" w14:textId="77777777" w:rsidR="00743742" w:rsidRDefault="00743742" w:rsidP="00743742">
      <w:r>
        <w:t>By understanding how to analyze and interpret categorical data, researchers can gain valuable insights into the relationships between variables and make informed decisions based on their findings. However, it is important to recognize the limitations of these methods and to use them in conjunction with other research designs and statistical techniques to build a comprehensive understanding of the phenomena under study.</w:t>
      </w:r>
    </w:p>
    <w:p w14:paraId="0C68E810" w14:textId="77777777" w:rsidR="00743742" w:rsidRDefault="00743742" w:rsidP="00743742">
      <w:r>
        <w:t>For example, while a chi-square test may reveal a significant association between two categorical variables, it does not provide information about the underlying mechanisms or processes that drive this association. Researchers may need to conduct additional studies using experimental or longitudinal designs to establish the causal relationships between the variables and identify the factors that mediate or moderate these relationships.</w:t>
      </w:r>
    </w:p>
    <w:p w14:paraId="7A2360B2" w14:textId="77777777" w:rsidR="00743742" w:rsidRDefault="00743742" w:rsidP="00743742">
      <w:r>
        <w:t>Furthermore, when working with categorical data, researchers should be aware of issues related to data quality and measurement. The validity and reliability of the measures used to assess the categorical variables can have a significant impact on the results of the analysis. Researchers should use established and well-validated measures whenever possible and report the psychometric properties of their measures in their publications.</w:t>
      </w:r>
    </w:p>
    <w:p w14:paraId="7C2B3BFB" w14:textId="77777777" w:rsidR="00743742" w:rsidRDefault="00743742" w:rsidP="00743742">
      <w:r>
        <w:t>Finally, researchers should consider the ethical implications of their analyses and ensure that their findings are reported accurately and responsibly. They should be transparent about the limitations of their study design and the generalizability of their results and avoid making claims that go beyond the scope of their data.</w:t>
      </w:r>
    </w:p>
    <w:p w14:paraId="5F9D535D" w14:textId="28F3A97B" w:rsidR="00BE2E2F" w:rsidRDefault="00BE2E2F" w:rsidP="00BE2E2F">
      <w:pPr>
        <w:pStyle w:val="Heading3"/>
      </w:pPr>
      <w:bookmarkStart w:id="153" w:name="_Toc169156774"/>
      <w:r>
        <w:t>Choosing the Correct Statistical Test</w:t>
      </w:r>
      <w:bookmarkEnd w:id="153"/>
    </w:p>
    <w:p w14:paraId="2A41E8A8" w14:textId="77777777" w:rsidR="00436C2B" w:rsidRDefault="00436C2B" w:rsidP="00436C2B">
      <w:r>
        <w:t>Selecting the appropriate statistical test is a critical step in the research process, as it ensures that your data is analyzed correctly and that your conclusions are valid. The choice of test depends on several factors, including the research question, study design, number and type of variables, and assumptions about the data. Making the wrong choice can lead to erroneous conclusions, wasted time and resources, and damage to the credibility of your research.</w:t>
      </w:r>
    </w:p>
    <w:p w14:paraId="7C38CFD6" w14:textId="1F5BDADA" w:rsidR="00BD4318" w:rsidRDefault="00BD4318" w:rsidP="00BD4318">
      <w:pPr>
        <w:pStyle w:val="Heading4"/>
      </w:pPr>
      <w:r>
        <w:t>Key Questions</w:t>
      </w:r>
    </w:p>
    <w:p w14:paraId="099941D1" w14:textId="77777777" w:rsidR="00436C2B" w:rsidRDefault="00436C2B" w:rsidP="00436C2B">
      <w:r>
        <w:t>To help guide your decision-making, consider the following key questions:</w:t>
      </w:r>
    </w:p>
    <w:p w14:paraId="335C563C" w14:textId="416A9CA8" w:rsidR="00436C2B" w:rsidRPr="00B163D6" w:rsidRDefault="00436C2B" w:rsidP="00436C2B">
      <w:pPr>
        <w:rPr>
          <w:b/>
          <w:bCs/>
        </w:rPr>
      </w:pPr>
      <w:r w:rsidRPr="00B163D6">
        <w:rPr>
          <w:b/>
          <w:bCs/>
        </w:rPr>
        <w:t>What is the research question or hypothesis?</w:t>
      </w:r>
    </w:p>
    <w:p w14:paraId="7864FD95" w14:textId="7505DBF2" w:rsidR="00436C2B" w:rsidRDefault="00436C2B" w:rsidP="00CA1D51">
      <w:pPr>
        <w:pStyle w:val="ListParagraph"/>
        <w:numPr>
          <w:ilvl w:val="0"/>
          <w:numId w:val="418"/>
        </w:numPr>
      </w:pPr>
      <w:r>
        <w:lastRenderedPageBreak/>
        <w:t>Is the goal to compare groups, assess relationships between variables, or make predictions?</w:t>
      </w:r>
    </w:p>
    <w:p w14:paraId="55612966" w14:textId="6B11485B" w:rsidR="00436C2B" w:rsidRDefault="00436C2B" w:rsidP="00CA1D51">
      <w:pPr>
        <w:pStyle w:val="ListParagraph"/>
        <w:numPr>
          <w:ilvl w:val="0"/>
          <w:numId w:val="418"/>
        </w:numPr>
      </w:pPr>
      <w:r>
        <w:t>Are you interested in differences, associations, or causality?</w:t>
      </w:r>
    </w:p>
    <w:p w14:paraId="7FB94E90" w14:textId="1BE00D3D" w:rsidR="00436C2B" w:rsidRDefault="00436C2B" w:rsidP="00436C2B">
      <w:r>
        <w:t xml:space="preserve">The research question or hypothesis is the foundation of your study and should dictate the type of analysis you conduct. For example, if you want to compare the effectiveness of two different treatments for a disease, you </w:t>
      </w:r>
      <w:r w:rsidR="00CA1D51">
        <w:t>will</w:t>
      </w:r>
      <w:r>
        <w:t xml:space="preserve"> likely use a test that compares means or medians, such as a t-test or Mann-Whitney U test. On the other hand, if you want to assess the relationship between two continuous variables, such as height and weight, you </w:t>
      </w:r>
      <w:r w:rsidR="00CA1D51">
        <w:t>will</w:t>
      </w:r>
      <w:r>
        <w:t xml:space="preserve"> use a correlation or regression analysis.</w:t>
      </w:r>
    </w:p>
    <w:p w14:paraId="61B11C37" w14:textId="77777777" w:rsidR="00436C2B" w:rsidRDefault="00436C2B" w:rsidP="00436C2B">
      <w:r>
        <w:t>It's also important to consider whether you are interested in differences, associations, or causality. Differences refer to the degree to which two or more groups or conditions differ on a particular variable, such as the difference in test scores between males and females. Associations refer to the strength and direction of the relationship between two or more variables, such as the correlation between age and income. Causality refers to the extent to which changes in one variable cause changes in another variable, such as the impact of a drug on blood pressure. Different statistical tests are used to assess each of these types of relationships.</w:t>
      </w:r>
    </w:p>
    <w:p w14:paraId="706D3042" w14:textId="33B1B3F5" w:rsidR="00436C2B" w:rsidRPr="00FC39EB" w:rsidRDefault="00436C2B" w:rsidP="00436C2B">
      <w:pPr>
        <w:rPr>
          <w:b/>
          <w:bCs/>
        </w:rPr>
      </w:pPr>
      <w:r w:rsidRPr="00FC39EB">
        <w:rPr>
          <w:b/>
          <w:bCs/>
        </w:rPr>
        <w:t>What is the nature of the variables?</w:t>
      </w:r>
    </w:p>
    <w:p w14:paraId="27E14B7D" w14:textId="43519153" w:rsidR="00436C2B" w:rsidRDefault="00436C2B" w:rsidP="00FC39EB">
      <w:pPr>
        <w:pStyle w:val="ListParagraph"/>
        <w:numPr>
          <w:ilvl w:val="0"/>
          <w:numId w:val="419"/>
        </w:numPr>
      </w:pPr>
      <w:r>
        <w:t>Are the variables categorical (nominal or ordinal) or continuous (interval or ratio)?</w:t>
      </w:r>
    </w:p>
    <w:p w14:paraId="0919C977" w14:textId="2B40F665" w:rsidR="00436C2B" w:rsidRDefault="00436C2B" w:rsidP="00FC39EB">
      <w:pPr>
        <w:pStyle w:val="ListParagraph"/>
        <w:numPr>
          <w:ilvl w:val="0"/>
          <w:numId w:val="419"/>
        </w:numPr>
      </w:pPr>
      <w:r>
        <w:t>How many independent and dependent variables are there?</w:t>
      </w:r>
    </w:p>
    <w:p w14:paraId="3D527F8C" w14:textId="763940FA" w:rsidR="00436C2B" w:rsidRDefault="00436C2B" w:rsidP="00FC39EB">
      <w:pPr>
        <w:pStyle w:val="ListParagraph"/>
        <w:numPr>
          <w:ilvl w:val="0"/>
          <w:numId w:val="419"/>
        </w:numPr>
      </w:pPr>
      <w:r>
        <w:t>Are the groups or conditions independent or related?</w:t>
      </w:r>
    </w:p>
    <w:p w14:paraId="475343A7" w14:textId="5B741219" w:rsidR="00436C2B" w:rsidRDefault="00436C2B" w:rsidP="00436C2B">
      <w:r>
        <w:t xml:space="preserve">The nature of </w:t>
      </w:r>
      <w:r w:rsidR="00DD3394">
        <w:t>the</w:t>
      </w:r>
      <w:r>
        <w:t xml:space="preserve"> variables is another key factor in selecting an appropriate statistical test. Categorical variables are those that have a fixed number of distinct values or categories, such as gender (male, female), political affiliation (Democrat, Republican, Independent), or disease status (healthy, mild, severe). Continuous variables, on the other hand, can take on any value within a given range and are measured on an interval or ratio scale, such as height, weight, or test scores.</w:t>
      </w:r>
    </w:p>
    <w:p w14:paraId="0C1ED1BB" w14:textId="3F5ACFF4" w:rsidR="00436C2B" w:rsidRDefault="00436C2B" w:rsidP="00436C2B">
      <w:r>
        <w:t xml:space="preserve">The number of independent and dependent variables in your study also influences the choice of statistical test. Independent variables are those that are manipulated or controlled by the researcher, such as the type of treatment or intervention. Dependent variables are those that are measured or observed </w:t>
      </w:r>
      <w:r w:rsidR="00834BB0">
        <w:t>because of</w:t>
      </w:r>
      <w:r>
        <w:t xml:space="preserve"> the independent variable, such as the outcome or response. Some tests, such as t-tests and ANOVAs, are used to compare means or variances across levels of a single independent variable, while others, such as factorial ANOVAs and multiple regression, can handle multiple independent variables simultaneously.</w:t>
      </w:r>
    </w:p>
    <w:p w14:paraId="38BD11BB" w14:textId="5F80EE13" w:rsidR="00436C2B" w:rsidRDefault="00436C2B" w:rsidP="00436C2B">
      <w:r>
        <w:t xml:space="preserve">Finally, it's important to consider whether </w:t>
      </w:r>
      <w:r w:rsidR="000818DE">
        <w:t>the</w:t>
      </w:r>
      <w:r>
        <w:t xml:space="preserve"> groups or conditions are independent or related. Independent groups are those that are </w:t>
      </w:r>
      <w:r w:rsidR="00834BB0">
        <w:t>separate</w:t>
      </w:r>
      <w:r>
        <w:t xml:space="preserve"> from each other, with no overlap or pairing between the observations. Related groups, on the other hand, are those that are matched or paired in some way, such as repeated measures on the same individuals or matched pairs of subjects. </w:t>
      </w:r>
      <w:r>
        <w:lastRenderedPageBreak/>
        <w:t>Different statistical tests are used for independent and related groups, as the latter require methods that account for the non-independence of the observations.</w:t>
      </w:r>
    </w:p>
    <w:p w14:paraId="58DDF377" w14:textId="63475D1D" w:rsidR="00436C2B" w:rsidRPr="009A5E0E" w:rsidRDefault="00436C2B" w:rsidP="00436C2B">
      <w:pPr>
        <w:rPr>
          <w:b/>
          <w:bCs/>
        </w:rPr>
      </w:pPr>
      <w:r w:rsidRPr="009A5E0E">
        <w:rPr>
          <w:b/>
          <w:bCs/>
        </w:rPr>
        <w:t>What are the assumptions of the data?</w:t>
      </w:r>
    </w:p>
    <w:p w14:paraId="55D20833" w14:textId="0BF5A84B" w:rsidR="00436C2B" w:rsidRDefault="00436C2B" w:rsidP="009A5E0E">
      <w:pPr>
        <w:pStyle w:val="ListParagraph"/>
        <w:numPr>
          <w:ilvl w:val="0"/>
          <w:numId w:val="420"/>
        </w:numPr>
      </w:pPr>
      <w:r>
        <w:t>Is the data normally distributed?</w:t>
      </w:r>
    </w:p>
    <w:p w14:paraId="759182E9" w14:textId="6A45EF0E" w:rsidR="00436C2B" w:rsidRDefault="00436C2B" w:rsidP="009A5E0E">
      <w:pPr>
        <w:pStyle w:val="ListParagraph"/>
        <w:numPr>
          <w:ilvl w:val="0"/>
          <w:numId w:val="420"/>
        </w:numPr>
      </w:pPr>
      <w:r>
        <w:t>Are the variances equal across groups or conditions?</w:t>
      </w:r>
    </w:p>
    <w:p w14:paraId="6A58248B" w14:textId="17F0D391" w:rsidR="00436C2B" w:rsidRDefault="00436C2B" w:rsidP="009A5E0E">
      <w:pPr>
        <w:pStyle w:val="ListParagraph"/>
        <w:numPr>
          <w:ilvl w:val="0"/>
          <w:numId w:val="420"/>
        </w:numPr>
      </w:pPr>
      <w:r>
        <w:t>Are the observations independent of each other?</w:t>
      </w:r>
    </w:p>
    <w:p w14:paraId="6A0DE88F" w14:textId="1DC2FDC3" w:rsidR="00436C2B" w:rsidRDefault="00436C2B" w:rsidP="00436C2B">
      <w:r>
        <w:t xml:space="preserve">Most statistical tests have certain assumptions about the nature and distribution of the data that must be met </w:t>
      </w:r>
      <w:r w:rsidR="009A5E0E">
        <w:t>for</w:t>
      </w:r>
      <w:r>
        <w:t xml:space="preserve"> the results to be valid. Violating these assumptions can lead to inaccurate p-values, confidence intervals, and effect sizes, and can increase the risk of Type I or Type II errors.</w:t>
      </w:r>
    </w:p>
    <w:p w14:paraId="3186A596" w14:textId="77777777" w:rsidR="00436C2B" w:rsidRDefault="00436C2B" w:rsidP="00436C2B">
      <w:r>
        <w:t>One common assumption is that the data is normally distributed, meaning that the observations follow a bell-shaped curve with most values clustered around the mean. This assumption is important for tests that compare means or use the standard error of the mean, such as t-tests and ANOVAs. If the data is not normally distributed, it may be necessary to transform the variables (e.g., by taking the logarithm or square root) or use a non-parametric test that does not assume normality, such as the Mann-Whitney U test or Kruskal-Wallis test.</w:t>
      </w:r>
    </w:p>
    <w:p w14:paraId="192F33BA" w14:textId="77777777" w:rsidR="00436C2B" w:rsidRDefault="00436C2B" w:rsidP="00436C2B">
      <w:r>
        <w:t>Another assumption is that the variances of the dependent variable are equal across the levels of the independent variable, a condition known as homogeneity of variance or homoscedasticity. This assumption is important for tests that compare variances or use pooled estimates of variance, such as t-tests and ANOVAs. If the variances are unequal (heteroscedasticity), it can lead to biased standard errors and p-values. In such cases, it may be necessary to use a test that does not assume equal variances, such as Welch's t-test or the Brown-Forsythe ANOVA.</w:t>
      </w:r>
    </w:p>
    <w:p w14:paraId="2E9E1EA1" w14:textId="77777777" w:rsidR="00436C2B" w:rsidRDefault="00436C2B" w:rsidP="00436C2B">
      <w:r>
        <w:t>Finally, many statistical tests assume that the observations are independent of each other, meaning that the value of one observation does not depend on or influence the value of another observation. This assumption is violated when there are repeated measures on the same individuals, when subjects are matched or paired, or when there is clustering or nesting of observations within groups. In these cases, it is necessary to use tests that account for the non-independence of the observations, such as repeated measures ANOVA, paired t-tests, or multilevel models.</w:t>
      </w:r>
    </w:p>
    <w:p w14:paraId="6E7B3CBB" w14:textId="7165B637" w:rsidR="00BE5130" w:rsidRDefault="00BE5130" w:rsidP="00BE5130">
      <w:pPr>
        <w:pStyle w:val="Heading4"/>
      </w:pPr>
      <w:r>
        <w:t>Determining the Proper Test to Use</w:t>
      </w:r>
    </w:p>
    <w:p w14:paraId="2CAACB4B" w14:textId="660F27EB" w:rsidR="00436C2B" w:rsidRDefault="00436C2B" w:rsidP="00436C2B">
      <w:r>
        <w:t>Once you have answered these questions, you can consult a decision tree or flowchart to identify the most suitable statistical test for your research. Many such resources are available online and in textbooks, guiding you through the process of selecting a test based on your specific research scenario</w:t>
      </w:r>
      <w:r w:rsidR="00866470">
        <w:t xml:space="preserve"> </w:t>
      </w:r>
      <w:r w:rsidR="00866470">
        <w:fldChar w:fldCharType="begin"/>
      </w:r>
      <w:r w:rsidR="00866470">
        <w:instrText xml:space="preserve"> ADDIN ZOTERO_ITEM CSL_CITATION {"citationID":"22c1d5By","properties":{"formattedCitation":"[107]","plainCitation":"[107]","noteIndex":0},"citationItems":[{"id":371,"uris":["http://zotero.org/users/5015692/items/I4IIJUXF"],"itemData":{"id":371,"type":"book","abstract":"OpenIntro Statistics offers a traditional introduction to statistics at the college level. This textbook is widely used at the college level and offers an exceptional and accessible introduction for students from community colleges to the Ivy League. The textbook has been thoroughly vetted with an estimated 20,000 students using it annually.","edition":"4","title":"OpenIntro Statistics","URL":"https://leanpub.com/os","author":[{"family":"Diez","given":"David"},{"family":"Cetinkaya-Rundel","given":"Mine"},{"family":"Barr","given":"Christopher"}]}}],"schema":"https://github.com/citation-style-language/schema/raw/master/csl-citation.json"} </w:instrText>
      </w:r>
      <w:r w:rsidR="00866470">
        <w:fldChar w:fldCharType="separate"/>
      </w:r>
      <w:r w:rsidR="00866470" w:rsidRPr="007C07B4">
        <w:t>[107]</w:t>
      </w:r>
      <w:r w:rsidR="00866470">
        <w:fldChar w:fldCharType="end"/>
      </w:r>
      <w:r w:rsidR="00866470">
        <w:t>.</w:t>
      </w:r>
      <w:r>
        <w:t xml:space="preserve"> These tools typically ask a series of questions about your variables, study design, and assumptions, and provide a recommended test based on your answers.</w:t>
      </w:r>
    </w:p>
    <w:p w14:paraId="22B4CF61" w14:textId="77777777" w:rsidR="00436C2B" w:rsidRDefault="00436C2B" w:rsidP="00436C2B">
      <w:r>
        <w:t xml:space="preserve">For example, if you have one categorical independent variable with two levels (e.g., treatment vs. control) and one continuous dependent variable (e.g., blood pressure), and you want to compare </w:t>
      </w:r>
      <w:r>
        <w:lastRenderedPageBreak/>
        <w:t>the means of the two groups, an independent samples t-test would be appropriate if the assumptions of normality and homogeneity of variance are met. This test compares the means of two independent groups and determines whether the difference between them is statistically significant. If the assumptions are violated, the Mann-Whitney U test would be a suitable non-parametric alternative, as it compares the medians of the groups and does not require normality or equal variances.</w:t>
      </w:r>
    </w:p>
    <w:p w14:paraId="30310973" w14:textId="77777777" w:rsidR="00436C2B" w:rsidRDefault="00436C2B" w:rsidP="00436C2B">
      <w:r>
        <w:t>Similarly, if you have two categorical variables (e.g., gender and political affiliation) and you want to assess whether there is an association between them, the chi-square test of independence would be the go-to choice, provided the expected frequencies in each cell of the contingency table are sufficient (usually at least 5). This test compares the observed frequencies of cases in each cell to the frequencies that would be expected if there were no relationship between the variables. If the sample size is small or the expected frequencies are low, Fisher's exact test can be used instead.</w:t>
      </w:r>
    </w:p>
    <w:p w14:paraId="2D63906D" w14:textId="77777777" w:rsidR="00436C2B" w:rsidRDefault="00436C2B" w:rsidP="00436C2B">
      <w:r>
        <w:t>It's important to note that choosing the correct statistical test is not always a straightforward process, particularly when dealing with complex research designs or multiple variables. In these cases, it may be necessary to consult with a statistician or methodologist to ensure that your data is analyzed appropriately. These experts can help you navigate the intricacies of your data and select the most appropriate test for your research question and study design.</w:t>
      </w:r>
    </w:p>
    <w:p w14:paraId="5B0601B3" w14:textId="77777777" w:rsidR="00436C2B" w:rsidRDefault="00436C2B" w:rsidP="00436C2B">
      <w:r>
        <w:t>Additionally, it's crucial to consider the limitations and potential pitfalls of each statistical test, such as the impact of sample size, violations of assumptions, and the risk of Type I or Type II errors. For example, small sample sizes can reduce the power of a test to detect significant differences or associations, while large sample sizes can make even trivial differences statistically significant. Violations of assumptions, such as non-normality or heteroscedasticity, can bias the results and lead to incorrect conclusions. Type I errors occur when a test incorrectly rejects a true null hypothesis, while Type II errors occur when a test fails to reject a false null hypothesis.</w:t>
      </w:r>
    </w:p>
    <w:p w14:paraId="02932FD0" w14:textId="77777777" w:rsidR="00436C2B" w:rsidRDefault="00436C2B" w:rsidP="00436C2B">
      <w:r>
        <w:t>By being aware of these issues and taking steps to address them, you can increase the reliability and validity of your findings. For example, you can use power analysis to determine the appropriate sample size for your study, use robust methods that are less sensitive to violations of assumptions, or adjust your alpha level to control for multiple comparisons. You can also use effect sizes and confidence intervals to quantify the magnitude and precision of your results, rather than relying solely on p-values.</w:t>
      </w:r>
    </w:p>
    <w:p w14:paraId="3FD0BEFC" w14:textId="1379A9D9" w:rsidR="00436C2B" w:rsidRDefault="00436C2B" w:rsidP="00436C2B">
      <w:r>
        <w:t xml:space="preserve">Finally, it's important to remember that statistical tests are just one tool in the researcher's toolkit. They should be used in conjunction with sound study design, careful data collection, and thoughtful interpretation of the results. A well-designed study with clear research questions, appropriate sampling and measurement methods, and adequate controls for confounding variables is essential for producing meaningful and trustworthy results. Equally important is the ability to interpret and communicate the results in a way that is accessible and relevant to your audience, whether they are fellow researchers, policymakers, or the </w:t>
      </w:r>
      <w:r w:rsidR="00F037B9">
        <w:t>public</w:t>
      </w:r>
      <w:r>
        <w:t>.</w:t>
      </w:r>
    </w:p>
    <w:p w14:paraId="2B470949" w14:textId="77777777" w:rsidR="00BE2E2F" w:rsidRDefault="00BE2E2F" w:rsidP="00BE2E2F">
      <w:pPr>
        <w:pStyle w:val="Heading3"/>
      </w:pPr>
      <w:bookmarkStart w:id="154" w:name="_Toc169156775"/>
      <w:r>
        <w:lastRenderedPageBreak/>
        <w:t>Reporting Statistical Test Results</w:t>
      </w:r>
      <w:bookmarkEnd w:id="154"/>
    </w:p>
    <w:p w14:paraId="10EA26EF" w14:textId="77777777" w:rsidR="004762D8" w:rsidRDefault="004762D8" w:rsidP="004762D8">
      <w:r>
        <w:t>Once you have selected and conducted the appropriate statistical tests for your research, it's essential to report the results clearly and accurately. This allows readers to understand your findings, assess the validity of your conclusions, and potentially replicate your study. Reporting results in a transparent and comprehensive manner is a key component of scientific integrity and helps to ensure that your research is useful and informative to others in your field.</w:t>
      </w:r>
    </w:p>
    <w:p w14:paraId="30781729" w14:textId="77777777" w:rsidR="004762D8" w:rsidRDefault="004762D8" w:rsidP="004762D8">
      <w:r>
        <w:t>When reporting statistical test results, include the following key elements:</w:t>
      </w:r>
    </w:p>
    <w:p w14:paraId="22C92CD2" w14:textId="4F875621" w:rsidR="004762D8" w:rsidRDefault="004762D8" w:rsidP="00993F98">
      <w:pPr>
        <w:pStyle w:val="ListParagraph"/>
        <w:numPr>
          <w:ilvl w:val="0"/>
          <w:numId w:val="422"/>
        </w:numPr>
      </w:pPr>
      <w:r w:rsidRPr="006A5D19">
        <w:rPr>
          <w:b/>
          <w:bCs/>
        </w:rPr>
        <w:t>Descriptive statistics</w:t>
      </w:r>
      <w:r>
        <w:t>: Provide summary measures of your variables, such as means, standard deviations, and sample sizes for continuous data, or frequencies and percentages for categorical data. This helps readers get a sense of the overall patterns and variability in your data. Descriptive statistics should be presented in a way that is easy to understand and interpret, such as in tables or graphs. Be sure to include the units of measurement and any relevant contextual information, such as the range of possible scores or the meaning of different categories.</w:t>
      </w:r>
    </w:p>
    <w:p w14:paraId="32B0F43F" w14:textId="1D2CD5DD" w:rsidR="004762D8" w:rsidRDefault="004762D8" w:rsidP="00993F98">
      <w:pPr>
        <w:pStyle w:val="ListParagraph"/>
        <w:numPr>
          <w:ilvl w:val="0"/>
          <w:numId w:val="422"/>
        </w:numPr>
      </w:pPr>
      <w:r w:rsidRPr="00585EFD">
        <w:rPr>
          <w:b/>
          <w:bCs/>
        </w:rPr>
        <w:t>Test statistic and p-value</w:t>
      </w:r>
      <w:r>
        <w:t xml:space="preserve">: Report the specific test statistic (e.g., t-value, F-value, chi-square value) and its associated p-value for each statistical test conducted. The test statistic quantifies the difference or association between the variables, while the p-value indicates the probability of observing a result as extreme or more extreme than the one obtained, assuming the null hypothesis is true. A small p-value (typically less than .05) suggests that the result is statistically significant and unlikely to have occurred by chance alone. However, it's important to remember that statistical significance does not necessarily imply practical or clinical </w:t>
      </w:r>
      <w:r w:rsidR="00585EFD">
        <w:t>significance and</w:t>
      </w:r>
      <w:r>
        <w:t xml:space="preserve"> should be interpreted in the context of the research question and study design.</w:t>
      </w:r>
    </w:p>
    <w:p w14:paraId="3C4E9E64" w14:textId="2A5D8103" w:rsidR="004762D8" w:rsidRDefault="004762D8" w:rsidP="00993F98">
      <w:pPr>
        <w:pStyle w:val="ListParagraph"/>
        <w:numPr>
          <w:ilvl w:val="0"/>
          <w:numId w:val="422"/>
        </w:numPr>
      </w:pPr>
      <w:r w:rsidRPr="00585EFD">
        <w:rPr>
          <w:b/>
          <w:bCs/>
        </w:rPr>
        <w:t>Degrees of freedom</w:t>
      </w:r>
      <w:r>
        <w:t>: Include the degrees of freedom for each test statistic, as this provides information about the sample size and the number of parameters estimated in the analysis. Degrees of freedom are used to determine the critical values for the test statistic and the p-</w:t>
      </w:r>
      <w:r w:rsidR="00BB47D9">
        <w:t>value and</w:t>
      </w:r>
      <w:r>
        <w:t xml:space="preserve"> can help readers assess the power and precision of the analysis. For example, in a t-test, the degrees of freedom are calculated as the total sample size minus two, while in an ANOVA, the degrees of freedom for the effect and the error are reported separately.</w:t>
      </w:r>
    </w:p>
    <w:p w14:paraId="5D9320F0" w14:textId="11F3771A" w:rsidR="004762D8" w:rsidRDefault="004762D8" w:rsidP="00993F98">
      <w:pPr>
        <w:pStyle w:val="ListParagraph"/>
        <w:numPr>
          <w:ilvl w:val="0"/>
          <w:numId w:val="422"/>
        </w:numPr>
      </w:pPr>
      <w:r w:rsidRPr="00BB47D9">
        <w:rPr>
          <w:b/>
          <w:bCs/>
        </w:rPr>
        <w:t>Confidence intervals</w:t>
      </w:r>
      <w:r>
        <w:t>: When appropriate, report the confidence intervals for your estimates, such as the mean difference between two groups or the strength of a correlation. Confidence intervals provide a range of plausible values for the population parameter and help readers assess the precision of your findings. A narrow confidence interval indicates a more precise estimate, while a wide confidence interval suggests greater uncertainty. Confidence intervals can also be used to assess the practical significance of a result, as they provide information about the magnitude and direction of the effect.</w:t>
      </w:r>
    </w:p>
    <w:p w14:paraId="3252C6F3" w14:textId="2983A839" w:rsidR="004762D8" w:rsidRDefault="004762D8" w:rsidP="00993F98">
      <w:pPr>
        <w:pStyle w:val="ListParagraph"/>
        <w:numPr>
          <w:ilvl w:val="0"/>
          <w:numId w:val="422"/>
        </w:numPr>
      </w:pPr>
      <w:r w:rsidRPr="00214BC2">
        <w:rPr>
          <w:b/>
          <w:bCs/>
        </w:rPr>
        <w:lastRenderedPageBreak/>
        <w:t>Effect sizes</w:t>
      </w:r>
      <w:r>
        <w:t>: In addition to statistical significance, report measures of effect size, such as Cohen's d, eta-squared, or odds ratios. Effect sizes quantify the magnitude of the differences or associations found in your study and are less influenced by sample size than p-values. They provide a standardized measure of the strength of the relationship between the variables and can be used to compare results across different studies or populations. Effect sizes should be interpreted in the context of the research question and the field of study, as what constitutes a small, medium, or large effect can vary depending on the specific area of inquiry.</w:t>
      </w:r>
    </w:p>
    <w:p w14:paraId="220A1F4D" w14:textId="55D71F30" w:rsidR="004762D8" w:rsidRDefault="004762D8" w:rsidP="00993F98">
      <w:pPr>
        <w:pStyle w:val="ListParagraph"/>
        <w:numPr>
          <w:ilvl w:val="0"/>
          <w:numId w:val="422"/>
        </w:numPr>
      </w:pPr>
      <w:r w:rsidRPr="00214BC2">
        <w:rPr>
          <w:b/>
          <w:bCs/>
        </w:rPr>
        <w:t>Assumptions and limitations</w:t>
      </w:r>
      <w:r>
        <w:t>: Discuss any assumptions made in your analysis, such as normality or homogeneity of variance, and report the results of any tests used to assess these assumptions. Violations of assumptions can affect the validity of the statistical tests and the interpretation of the results, so it's important to be transparent about any potential issues. Also, acknowledge any limitations of your study, such as small sample sizes, potential confounds, or generalizability issues. No study is perfect, and being upfront about the limitations can help readers evaluate the strength and applicability of your findings.</w:t>
      </w:r>
    </w:p>
    <w:p w14:paraId="62A9AC99" w14:textId="28DEF437" w:rsidR="004762D8" w:rsidRDefault="004762D8" w:rsidP="004762D8">
      <w:r>
        <w:t xml:space="preserve">When presenting your results, use clear and concise language, and avoid overinterpreting or overgeneralizing your findings. Use tables and figures to summarize your data and highlight the most important </w:t>
      </w:r>
      <w:r w:rsidR="00E65CF0">
        <w:t>results but</w:t>
      </w:r>
      <w:r>
        <w:t xml:space="preserve"> be sure to also provide a narrative description in the text. Be sure to tie your results back to your research question and </w:t>
      </w:r>
      <w:r w:rsidR="001674CC">
        <w:t>hypotheses and</w:t>
      </w:r>
      <w:r>
        <w:t xml:space="preserve"> discuss how they fit into the broader context of your field. Consider the implications of your findings for theory, practice, and future research, and suggest potential avenues for further investigation.</w:t>
      </w:r>
    </w:p>
    <w:p w14:paraId="59E52959" w14:textId="77777777" w:rsidR="004762D8" w:rsidRDefault="004762D8" w:rsidP="004762D8">
      <w:r>
        <w:t>Here's an example of how to report the results of an independent samples t-test:</w:t>
      </w:r>
    </w:p>
    <w:p w14:paraId="33BAB5B5" w14:textId="77777777" w:rsidR="004762D8" w:rsidRDefault="004762D8" w:rsidP="00D65DA5">
      <w:pPr>
        <w:pStyle w:val="Quote"/>
      </w:pPr>
      <w:r>
        <w:t>An independent samples t-test was conducted to compare the mean scores of Group A (M = 85.3, SD = 10.2, n = 30) and Group B (M = 79.5, SD = 11.8, n = 30) on the dependent variable. The assumption of homogeneity of variance was met, as assessed by Levene's test (p = .34). The t-test revealed a statistically significant difference between the two groups, t(58) = 2.05, p = .045, 95% CI [0.13, 11.47], with Group A scoring higher than Group B. The effect size, as measured by Cohen's d, was 0.52, indicating a moderate difference between the groups.</w:t>
      </w:r>
    </w:p>
    <w:p w14:paraId="6576C64E" w14:textId="77777777" w:rsidR="004762D8" w:rsidRDefault="004762D8" w:rsidP="004762D8">
      <w:r>
        <w:t>This example includes all the key elements mentioned above: descriptive statistics for each group (means, standard deviations, sample sizes), the test statistic and p-value (t = 2.05, p = .045), degrees of freedom (58), confidence interval for the mean difference [0.13, 11.47], and effect size (Cohen's d = 0.52). It also mentions the assumption of homogeneity of variance and how it was assessed (Levene's test).</w:t>
      </w:r>
    </w:p>
    <w:p w14:paraId="56C890F0" w14:textId="304A3595" w:rsidR="004762D8" w:rsidRDefault="004762D8" w:rsidP="004762D8">
      <w:r>
        <w:t xml:space="preserve">By following these guidelines and providing a complete and transparent report of your statistical analyses, you can strengthen the credibility and impact of your research and contribute to the advancement of knowledge in your field. Remember that the goal of reporting results is not just to </w:t>
      </w:r>
      <w:r>
        <w:lastRenderedPageBreak/>
        <w:t>showcase your findings, but to communicate them effectively to your audience and enable them to build upon your work. By being clear, concise, and comprehensive in your reporting, you can facilitate the process of scientific discovery and help to move your field forward.</w:t>
      </w:r>
    </w:p>
    <w:p w14:paraId="1B4FC171" w14:textId="383226BD" w:rsidR="00BE2E2F" w:rsidRDefault="00254084" w:rsidP="00BE2E2F">
      <w:pPr>
        <w:pStyle w:val="Heading3"/>
      </w:pPr>
      <w:bookmarkStart w:id="155" w:name="_Toc169156776"/>
      <w:r>
        <w:rPr>
          <w:noProof/>
        </w:rPr>
        <w:drawing>
          <wp:anchor distT="0" distB="0" distL="114300" distR="114300" simplePos="0" relativeHeight="251973716" behindDoc="0" locked="0" layoutInCell="1" allowOverlap="1" wp14:anchorId="7704EDD6" wp14:editId="486FA9AF">
            <wp:simplePos x="0" y="0"/>
            <wp:positionH relativeFrom="column">
              <wp:align>right</wp:align>
            </wp:positionH>
            <wp:positionV relativeFrom="paragraph">
              <wp:posOffset>0</wp:posOffset>
            </wp:positionV>
            <wp:extent cx="914400" cy="914400"/>
            <wp:effectExtent l="19050" t="19050" r="19050" b="19050"/>
            <wp:wrapSquare wrapText="bothSides"/>
            <wp:docPr id="2013690351"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2B5076">
        <w:t>Summary: Chapter 10: Statistics in Research</w:t>
      </w:r>
      <w:bookmarkEnd w:id="155"/>
    </w:p>
    <w:p w14:paraId="5DBCD062" w14:textId="77777777" w:rsidR="00BE2E2F" w:rsidRDefault="00BE2E2F" w:rsidP="00BE2E2F">
      <w:r>
        <w:t>Statistical tests are a vital tool for researchers seeking to make sense of their data and draw valid conclusions from their studies. By understanding the different types of tests available, their assumptions and limitations, and how to select and report them appropriately, researchers can maximize the value and impact of their work.</w:t>
      </w:r>
    </w:p>
    <w:p w14:paraId="2F93329E" w14:textId="77777777" w:rsidR="00BE2E2F" w:rsidRDefault="00BE2E2F" w:rsidP="00BE2E2F">
      <w:r>
        <w:t>Throughout this discussion, we have covered a range of key topics related to statistical tests, including:</w:t>
      </w:r>
    </w:p>
    <w:p w14:paraId="3D09AA45" w14:textId="77777777" w:rsidR="00BE2E2F" w:rsidRDefault="00BE2E2F" w:rsidP="00BE2E2F">
      <w:pPr>
        <w:pStyle w:val="ListParagraph"/>
        <w:numPr>
          <w:ilvl w:val="0"/>
          <w:numId w:val="347"/>
        </w:numPr>
        <w:spacing w:line="259" w:lineRule="auto"/>
      </w:pPr>
      <w:r>
        <w:t>The importance of statistical significance and the role of confidence intervals and p-values in interpreting results.</w:t>
      </w:r>
    </w:p>
    <w:p w14:paraId="36D5EEDC" w14:textId="77777777" w:rsidR="00BE2E2F" w:rsidRDefault="00BE2E2F" w:rsidP="00BE2E2F">
      <w:pPr>
        <w:pStyle w:val="ListParagraph"/>
        <w:numPr>
          <w:ilvl w:val="0"/>
          <w:numId w:val="347"/>
        </w:numPr>
        <w:spacing w:line="259" w:lineRule="auto"/>
      </w:pPr>
      <w:r>
        <w:t>The distinction between parametric and non-parametric tests, and when to use each approach.</w:t>
      </w:r>
    </w:p>
    <w:p w14:paraId="483946F0" w14:textId="77777777" w:rsidR="00BE2E2F" w:rsidRDefault="00BE2E2F" w:rsidP="00BE2E2F">
      <w:pPr>
        <w:pStyle w:val="ListParagraph"/>
        <w:numPr>
          <w:ilvl w:val="0"/>
          <w:numId w:val="347"/>
        </w:numPr>
        <w:spacing w:line="259" w:lineRule="auto"/>
      </w:pPr>
      <w:r>
        <w:t>Specific tests for comparing means, medians, and proportions between groups, such as t-tests, ANOVA, and chi-square tests.</w:t>
      </w:r>
    </w:p>
    <w:p w14:paraId="586336EF" w14:textId="77777777" w:rsidR="00BE2E2F" w:rsidRDefault="00BE2E2F" w:rsidP="00BE2E2F">
      <w:pPr>
        <w:pStyle w:val="ListParagraph"/>
        <w:numPr>
          <w:ilvl w:val="0"/>
          <w:numId w:val="347"/>
        </w:numPr>
        <w:spacing w:line="259" w:lineRule="auto"/>
      </w:pPr>
      <w:r>
        <w:t>Strategies for choosing the correct statistical test based on the research question, study design, and nature of the variables.</w:t>
      </w:r>
    </w:p>
    <w:p w14:paraId="713F4F2E" w14:textId="77777777" w:rsidR="00BE2E2F" w:rsidRDefault="00BE2E2F" w:rsidP="00BE2E2F">
      <w:pPr>
        <w:pStyle w:val="ListParagraph"/>
        <w:numPr>
          <w:ilvl w:val="0"/>
          <w:numId w:val="347"/>
        </w:numPr>
        <w:spacing w:line="259" w:lineRule="auto"/>
      </w:pPr>
      <w:r>
        <w:t>Guidelines for reporting statistical test results clearly and accurately, including descriptive statistics, test statistics, p-values, confidence intervals, and effect sizes.</w:t>
      </w:r>
    </w:p>
    <w:p w14:paraId="24CD882E" w14:textId="65167AE5" w:rsidR="00BE2E2F" w:rsidRDefault="00BE2E2F" w:rsidP="00BE2E2F">
      <w:r>
        <w:t xml:space="preserve">By mastering these concepts and skills, researchers can navigate the complex landscape of statistical analysis with confidence and rigor. However, it's important to remember that statistical tests are just one piece of the research </w:t>
      </w:r>
      <w:r w:rsidR="00B22D81">
        <w:t>puzzle and</w:t>
      </w:r>
      <w:r>
        <w:t xml:space="preserve"> should be used in conjunction with careful study design, data collection, and interpretation.</w:t>
      </w:r>
    </w:p>
    <w:p w14:paraId="7BEE18E9" w14:textId="77777777" w:rsidR="00BE2E2F" w:rsidRDefault="00BE2E2F" w:rsidP="00BE2E2F">
      <w:r>
        <w:t>As you embark on your own research journey, keep in mind the following key principles:</w:t>
      </w:r>
    </w:p>
    <w:p w14:paraId="783E986E" w14:textId="24F3A8B1" w:rsidR="00BE2E2F" w:rsidRDefault="00BE2E2F" w:rsidP="00BE2E2F">
      <w:pPr>
        <w:pStyle w:val="ListParagraph"/>
        <w:numPr>
          <w:ilvl w:val="0"/>
          <w:numId w:val="348"/>
        </w:numPr>
        <w:spacing w:line="259" w:lineRule="auto"/>
      </w:pPr>
      <w:r>
        <w:t xml:space="preserve">Always start with a clear research question and </w:t>
      </w:r>
      <w:r w:rsidR="0005452E">
        <w:t>hypothesis and</w:t>
      </w:r>
      <w:r>
        <w:t xml:space="preserve"> let these guide your choice of statistical tests.</w:t>
      </w:r>
    </w:p>
    <w:p w14:paraId="146AA27C" w14:textId="77777777" w:rsidR="00BE2E2F" w:rsidRDefault="00BE2E2F" w:rsidP="00BE2E2F">
      <w:pPr>
        <w:pStyle w:val="ListParagraph"/>
        <w:numPr>
          <w:ilvl w:val="0"/>
          <w:numId w:val="348"/>
        </w:numPr>
        <w:spacing w:line="259" w:lineRule="auto"/>
      </w:pPr>
      <w:r>
        <w:t>Be transparent about your methods and assumptions, and report your results fully and honestly, even if they do not support your initial hypotheses.</w:t>
      </w:r>
    </w:p>
    <w:p w14:paraId="59E81F86" w14:textId="77777777" w:rsidR="00BE2E2F" w:rsidRDefault="00BE2E2F" w:rsidP="00BE2E2F">
      <w:pPr>
        <w:pStyle w:val="ListParagraph"/>
        <w:numPr>
          <w:ilvl w:val="0"/>
          <w:numId w:val="348"/>
        </w:numPr>
        <w:spacing w:line="259" w:lineRule="auto"/>
      </w:pPr>
      <w:r>
        <w:t>Consider the practical and clinical significance of your findings, not just their statistical significance.</w:t>
      </w:r>
    </w:p>
    <w:p w14:paraId="390E4586" w14:textId="47EBF4C1" w:rsidR="00BE2E2F" w:rsidRDefault="00BE2E2F" w:rsidP="00BE2E2F">
      <w:pPr>
        <w:pStyle w:val="ListParagraph"/>
        <w:numPr>
          <w:ilvl w:val="0"/>
          <w:numId w:val="348"/>
        </w:numPr>
        <w:spacing w:line="259" w:lineRule="auto"/>
      </w:pPr>
      <w:r>
        <w:t xml:space="preserve">Continuously strive to improve your statistical knowledge and </w:t>
      </w:r>
      <w:r w:rsidR="00B22D81">
        <w:t>skills and</w:t>
      </w:r>
      <w:r>
        <w:t xml:space="preserve"> seek out guidance from experts when needed.</w:t>
      </w:r>
    </w:p>
    <w:p w14:paraId="5327D6A4" w14:textId="14CF6952" w:rsidR="00A626FE" w:rsidRPr="000E309B" w:rsidRDefault="00BE2E2F" w:rsidP="00B951BE">
      <w:r>
        <w:t>By approaching research with curiosity, integrity, and a commitment to using statistical tests responsibly, you can contribute to the advancement of your field and make a meaningful impact on the world around you.</w:t>
      </w:r>
    </w:p>
    <w:p w14:paraId="49599564" w14:textId="77777777" w:rsidR="00DF6737" w:rsidRDefault="00DF6737" w:rsidP="000E309B">
      <w:pPr>
        <w:spacing w:line="360" w:lineRule="auto"/>
      </w:pPr>
    </w:p>
    <w:p w14:paraId="4577A43A" w14:textId="223BBEBC" w:rsidR="00E66504" w:rsidRDefault="00E66504" w:rsidP="000E309B">
      <w:pPr>
        <w:spacing w:line="360" w:lineRule="auto"/>
        <w:sectPr w:rsidR="00E66504" w:rsidSect="00FD08D0">
          <w:headerReference w:type="default" r:id="rId255"/>
          <w:pgSz w:w="12240" w:h="15840"/>
          <w:pgMar w:top="1440" w:right="1440" w:bottom="1440" w:left="1440" w:header="720" w:footer="720" w:gutter="0"/>
          <w:cols w:space="720"/>
          <w:docGrid w:linePitch="299"/>
        </w:sectPr>
      </w:pPr>
    </w:p>
    <w:p w14:paraId="5327D6AC" w14:textId="7A9035B7" w:rsidR="00A626FE" w:rsidRPr="000E309B" w:rsidRDefault="00A719BB" w:rsidP="00A719BB">
      <w:pPr>
        <w:pStyle w:val="Heading1"/>
      </w:pPr>
      <w:bookmarkStart w:id="156" w:name="_Toc169156777"/>
      <w:r w:rsidRPr="000E309B">
        <w:lastRenderedPageBreak/>
        <w:t>Qualitative Methods</w:t>
      </w:r>
      <w:bookmarkEnd w:id="156"/>
    </w:p>
    <w:p w14:paraId="0A090C1D" w14:textId="5F00B7CD" w:rsidR="00DF6737" w:rsidRDefault="00D14B33" w:rsidP="002617F5">
      <w:pPr>
        <w:sectPr w:rsidR="00DF6737" w:rsidSect="00FD08D0">
          <w:pgSz w:w="12240" w:h="15840"/>
          <w:pgMar w:top="1440" w:right="1440" w:bottom="1440" w:left="1440" w:header="720" w:footer="720" w:gutter="0"/>
          <w:cols w:space="720"/>
          <w:vAlign w:val="center"/>
          <w:titlePg/>
          <w:docGrid w:linePitch="299"/>
        </w:sectPr>
      </w:pPr>
      <w:r w:rsidRPr="000E309B">
        <w:t xml:space="preserve">Qualitative methods are based </w:t>
      </w:r>
      <w:r w:rsidR="00A110D2">
        <w:t>o</w:t>
      </w:r>
      <w:r w:rsidRPr="000E309B">
        <w:t>n the evaluation of non</w:t>
      </w:r>
      <w:r w:rsidR="00A110D2">
        <w:t>-</w:t>
      </w:r>
      <w:r w:rsidRPr="000E309B">
        <w:t>numeric data, like photographs and text documents. These methods include activities like fieldwork, unobtrusive, and interpretive research methods.</w:t>
      </w:r>
    </w:p>
    <w:p w14:paraId="5327D6B1" w14:textId="5FA2E267" w:rsidR="00A626FE" w:rsidRPr="000E309B" w:rsidRDefault="00892E75" w:rsidP="000B7BF5">
      <w:pPr>
        <w:pStyle w:val="Heading2"/>
      </w:pPr>
      <w:bookmarkStart w:id="157" w:name="_Ref71188030"/>
      <w:bookmarkStart w:id="158" w:name="_Toc169156778"/>
      <w:r>
        <w:rPr>
          <w:noProof/>
        </w:rPr>
        <w:lastRenderedPageBreak/>
        <w:drawing>
          <wp:anchor distT="0" distB="0" distL="114300" distR="114300" simplePos="0" relativeHeight="251708500" behindDoc="0" locked="0" layoutInCell="1" allowOverlap="1" wp14:anchorId="1BE8457C" wp14:editId="065C5FC2">
            <wp:simplePos x="0" y="0"/>
            <wp:positionH relativeFrom="column">
              <wp:align>right</wp:align>
            </wp:positionH>
            <wp:positionV relativeFrom="paragraph">
              <wp:posOffset>0</wp:posOffset>
            </wp:positionV>
            <wp:extent cx="1527048" cy="1527048"/>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256" cstate="print">
                      <a:extLst>
                        <a:ext uri="{BEBA8EAE-BF5A-486C-A8C5-ECC9F3942E4B}">
                          <a14:imgProps xmlns:a14="http://schemas.microsoft.com/office/drawing/2010/main">
                            <a14:imgLayer r:embed="rId25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27048" cy="1527048"/>
                    </a:xfrm>
                    <a:prstGeom prst="rect">
                      <a:avLst/>
                    </a:prstGeom>
                  </pic:spPr>
                </pic:pic>
              </a:graphicData>
            </a:graphic>
            <wp14:sizeRelH relativeFrom="margin">
              <wp14:pctWidth>0</wp14:pctWidth>
            </wp14:sizeRelH>
            <wp14:sizeRelV relativeFrom="margin">
              <wp14:pctHeight>0</wp14:pctHeight>
            </wp14:sizeRelV>
          </wp:anchor>
        </w:drawing>
      </w:r>
      <w:r w:rsidR="00671066">
        <w:t>1</w:t>
      </w:r>
      <w:r w:rsidR="00BA16B6">
        <w:t>1</w:t>
      </w:r>
      <w:r w:rsidR="00671066">
        <w:t xml:space="preserve">: </w:t>
      </w:r>
      <w:r w:rsidR="000B7BF5">
        <w:t>Interviews</w:t>
      </w:r>
      <w:bookmarkEnd w:id="157"/>
      <w:bookmarkEnd w:id="158"/>
    </w:p>
    <w:p w14:paraId="5327D6B3" w14:textId="48BC2132" w:rsidR="00A626FE" w:rsidRPr="000E309B" w:rsidRDefault="002B7139" w:rsidP="002B7139">
      <w:pPr>
        <w:pStyle w:val="Heading3"/>
      </w:pPr>
      <w:bookmarkStart w:id="159" w:name="_Toc169156779"/>
      <w:r>
        <w:t>W</w:t>
      </w:r>
      <w:r w:rsidR="00D14B33" w:rsidRPr="000E309B">
        <w:t xml:space="preserve">hat </w:t>
      </w:r>
      <w:r>
        <w:t>I</w:t>
      </w:r>
      <w:r w:rsidR="00D14B33" w:rsidRPr="000E309B">
        <w:t xml:space="preserve">s </w:t>
      </w:r>
      <w:r>
        <w:t>I</w:t>
      </w:r>
      <w:r w:rsidR="00D14B33" w:rsidRPr="000E309B">
        <w:t xml:space="preserve">nterview </w:t>
      </w:r>
      <w:r>
        <w:t>R</w:t>
      </w:r>
      <w:r w:rsidR="00D14B33" w:rsidRPr="000E309B">
        <w:t>esearch?</w:t>
      </w:r>
      <w:bookmarkEnd w:id="159"/>
    </w:p>
    <w:p w14:paraId="21A0287C" w14:textId="530CD57C" w:rsidR="00B05D26" w:rsidRDefault="00B05D26" w:rsidP="00B05D26">
      <w:r>
        <w:t xml:space="preserve">Are today's young men struggling to transition into adulthood? According to sociologist Michael Kimmel, the answer is yes. In his book, </w:t>
      </w:r>
      <w:r w:rsidRPr="007D6714">
        <w:rPr>
          <w:i/>
          <w:iCs/>
        </w:rPr>
        <w:t>Guyland: The Perilous World Where Boys Become Men</w:t>
      </w:r>
      <w:r>
        <w:t>, Kimmel argues that many young men are "totally confused," "cannot commit to their relationships, work, or lives," and are "obsessed with never wanting to grow up"</w:t>
      </w:r>
      <w:r w:rsidR="007D6714">
        <w:t xml:space="preserve"> </w:t>
      </w:r>
      <w:r w:rsidR="007D6714">
        <w:fldChar w:fldCharType="begin"/>
      </w:r>
      <w:r w:rsidR="007C07B4">
        <w:instrText xml:space="preserve"> ADDIN ZOTERO_ITEM CSL_CITATION {"citationID":"cQjAeGX5","properties":{"formattedCitation":"[114]","plainCitation":"[114]","noteIndex":0},"citationItems":[{"id":166,"uris":["http://zotero.org/users/5015692/items/P6B8ZARH"],"itemData":{"id":166,"type":"article-journal","container-title":"HarperCollins","title":"The perilous world where boys become men","author":[{"family":"Kimmel","given":"Michael S Guyland"}],"issued":{"date-parts":[["2008"]]}}}],"schema":"https://github.com/citation-style-language/schema/raw/master/csl-citation.json"} </w:instrText>
      </w:r>
      <w:r w:rsidR="007D6714">
        <w:fldChar w:fldCharType="separate"/>
      </w:r>
      <w:r w:rsidR="007C07B4" w:rsidRPr="007C07B4">
        <w:t>[114]</w:t>
      </w:r>
      <w:r w:rsidR="007D6714">
        <w:fldChar w:fldCharType="end"/>
      </w:r>
      <w:r>
        <w:t>.</w:t>
      </w:r>
    </w:p>
    <w:p w14:paraId="18FF1920" w14:textId="5391480E" w:rsidR="00B05D26" w:rsidRDefault="00B05D26" w:rsidP="00B05D26">
      <w:r>
        <w:t xml:space="preserve">To investigate this phenomenon, Kimmel conducted extensive interview research. Over the course of four years, he spoke with 400 young men between the ages of 16 and 26 from </w:t>
      </w:r>
      <w:r w:rsidR="00C3070A">
        <w:t>across</w:t>
      </w:r>
      <w:r>
        <w:t xml:space="preserve"> the United States. Through these in-depth conversations, Kimmel sought to understand the challenges and obstacles young men face as they attempt to navigate the transition from adolescence to adulthood in contemporary American society.</w:t>
      </w:r>
    </w:p>
    <w:p w14:paraId="2A1BCC0B" w14:textId="771AD6FA" w:rsidR="00B05D26" w:rsidRDefault="00B05D26" w:rsidP="00B05D26">
      <w:r>
        <w:t>Kimmel's findings, published in 2008, quickly garnered significant attention from news outlets, bloggers, book reviewers, and the public. Many praised the research for shedding light on the struggles of young men, with some even suggesting that Kimmel's work had the potential to "save the humanity" of this demographic.</w:t>
      </w:r>
    </w:p>
    <w:p w14:paraId="5F1379EA" w14:textId="77777777" w:rsidR="00B05D26" w:rsidRDefault="00B05D26" w:rsidP="00B05D26">
      <w:r>
        <w:t>While such claims may be hyperbolic, Kimmel's research undoubtedly offers valuable insights into the lives and experiences of many young American men. By providing a platform for these men to share their stories, challenges, and perspectives, interview research like Kimmel's plays a crucial role in deepening our understanding of social phenomena and informing efforts to support healthy development and successful transitions to adulthood.</w:t>
      </w:r>
    </w:p>
    <w:p w14:paraId="5327D6B5" w14:textId="67324B04" w:rsidR="00A626FE" w:rsidRDefault="00B05D26" w:rsidP="00B05D26">
      <w:r>
        <w:t>Indeed, without qualitative research methods like in-depth interviewing, our knowledge of the complex realities of people's lives would be severely limited. By engaging directly with individuals and inviting them to share their experiences in their own words, interview research allows us to move beyond broad generalizations and gain nuanced insights into the lived realities of diverse populations. As such, Kimmel's work stands as a testament to the enduring value and importance of interview research in the social sciences.</w:t>
      </w:r>
    </w:p>
    <w:p w14:paraId="269E56B5" w14:textId="7C2976B1" w:rsidR="002617F5" w:rsidRDefault="00E0031F" w:rsidP="002617F5">
      <w:pPr>
        <w:pStyle w:val="IntenseQuote"/>
      </w:pPr>
      <w:r>
        <w:rPr>
          <w:noProof/>
        </w:rPr>
        <w:drawing>
          <wp:anchor distT="0" distB="0" distL="114300" distR="114300" simplePos="0" relativeHeight="251939924" behindDoc="0" locked="0" layoutInCell="1" allowOverlap="1" wp14:anchorId="5DBB6793" wp14:editId="3B8A96D7">
            <wp:simplePos x="0" y="0"/>
            <wp:positionH relativeFrom="column">
              <wp:align>right</wp:align>
            </wp:positionH>
            <wp:positionV relativeFrom="paragraph">
              <wp:posOffset>0</wp:posOffset>
            </wp:positionV>
            <wp:extent cx="914400" cy="914400"/>
            <wp:effectExtent l="19050" t="19050" r="19050" b="19050"/>
            <wp:wrapSquare wrapText="bothSides"/>
            <wp:docPr id="1815019432"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2617F5">
        <w:t>Objectives</w:t>
      </w:r>
    </w:p>
    <w:p w14:paraId="41F39F0F" w14:textId="1E87BC70" w:rsidR="003E4C1F" w:rsidRDefault="003E4C1F" w:rsidP="003E4C1F">
      <w:pPr>
        <w:pStyle w:val="Quote"/>
      </w:pPr>
      <w:r>
        <w:t>Describe the key characteristics and purposes of interview research, including its role in gathering detailed, nuanced information and its usefulness in exploring complex topics, personal narratives, and procedural explanations.</w:t>
      </w:r>
    </w:p>
    <w:p w14:paraId="7085109E" w14:textId="5854D0DB" w:rsidR="003E4C1F" w:rsidRDefault="003E4C1F" w:rsidP="003E4C1F">
      <w:pPr>
        <w:pStyle w:val="Quote"/>
      </w:pPr>
      <w:r>
        <w:t xml:space="preserve">Explain the role and responsibilities of the interviewer in conducting successful interviews, such as thorough preparation, participant recruitment, building rapport, </w:t>
      </w:r>
      <w:r>
        <w:lastRenderedPageBreak/>
        <w:t>maintaining motivation and engagement, clarifying confusion, probing for depth, and assessing data quality.</w:t>
      </w:r>
    </w:p>
    <w:p w14:paraId="6A665D0B" w14:textId="48DD35ED" w:rsidR="003E4C1F" w:rsidRDefault="003E4C1F" w:rsidP="003E4C1F">
      <w:pPr>
        <w:pStyle w:val="Quote"/>
      </w:pPr>
      <w:r>
        <w:t>Compare and contrast qualitative and quantitative interview techniques, including their differences in structure, question types, data collection, and analysis methods.</w:t>
      </w:r>
    </w:p>
    <w:p w14:paraId="198086D1" w14:textId="696AB32A" w:rsidR="003E4C1F" w:rsidRDefault="003E4C1F" w:rsidP="003E4C1F">
      <w:pPr>
        <w:pStyle w:val="Quote"/>
      </w:pPr>
      <w:r>
        <w:t xml:space="preserve">Outline the process of conducting qualitative interviews, from crafting an interview guide and selecting recording methods to transcribing and coding the data. </w:t>
      </w:r>
    </w:p>
    <w:p w14:paraId="2529B49F" w14:textId="3D684BF1" w:rsidR="002617F5" w:rsidRPr="000E309B" w:rsidRDefault="003E4C1F" w:rsidP="003E4C1F">
      <w:pPr>
        <w:pStyle w:val="Quote"/>
      </w:pPr>
      <w:r>
        <w:t>Evaluate the strengths and limitations of interview research, considering factors such as the ability to gather rich, detailed data, the potential for interviewer bias and respondent bias, the time and labor intensiveness of the process, and the emotional demands on the researcher.</w:t>
      </w:r>
    </w:p>
    <w:p w14:paraId="79D2FDD6" w14:textId="77777777" w:rsidR="00124904" w:rsidRDefault="00124904" w:rsidP="00124904">
      <w:r>
        <w:t>In fields as diverse as business, media, and academia, professionals rely on interviews to gain valuable knowledge and inform their work. For example:</w:t>
      </w:r>
    </w:p>
    <w:p w14:paraId="2E60F746" w14:textId="16548AFB" w:rsidR="00124904" w:rsidRDefault="00124904" w:rsidP="00124904">
      <w:pPr>
        <w:pStyle w:val="ListParagraph"/>
        <w:numPr>
          <w:ilvl w:val="0"/>
          <w:numId w:val="304"/>
        </w:numPr>
      </w:pPr>
      <w:r>
        <w:t>Market researchers use interviews to learn how to increase sales and improve products.</w:t>
      </w:r>
    </w:p>
    <w:p w14:paraId="58FB0E12" w14:textId="5C926EF0" w:rsidR="00124904" w:rsidRDefault="00124904" w:rsidP="00124904">
      <w:pPr>
        <w:pStyle w:val="ListParagraph"/>
        <w:numPr>
          <w:ilvl w:val="0"/>
          <w:numId w:val="304"/>
        </w:numPr>
      </w:pPr>
      <w:r>
        <w:t>Journalists conduct interviews with everyone from VIPs to ordinary people to gather information for their stories.</w:t>
      </w:r>
    </w:p>
    <w:p w14:paraId="3257B9FB" w14:textId="164ED11B" w:rsidR="00124904" w:rsidRDefault="00124904" w:rsidP="00124904">
      <w:pPr>
        <w:pStyle w:val="ListParagraph"/>
        <w:numPr>
          <w:ilvl w:val="0"/>
          <w:numId w:val="304"/>
        </w:numPr>
      </w:pPr>
      <w:r>
        <w:t>Television and radio hosts interview guests to entertain and inform their audiences.</w:t>
      </w:r>
    </w:p>
    <w:p w14:paraId="6A86AC2C" w14:textId="12D55A3E" w:rsidR="00124904" w:rsidRDefault="00124904" w:rsidP="00124904">
      <w:pPr>
        <w:pStyle w:val="ListParagraph"/>
        <w:numPr>
          <w:ilvl w:val="0"/>
          <w:numId w:val="304"/>
        </w:numPr>
      </w:pPr>
      <w:r>
        <w:t>Employers use job interviews to assess candidates and make hiring decisions.</w:t>
      </w:r>
    </w:p>
    <w:p w14:paraId="3998DF5E" w14:textId="77777777" w:rsidR="00124904" w:rsidRDefault="00124904" w:rsidP="00124904">
      <w:r>
        <w:t>In the realm of research, interviews are a powerful method for collecting qualitative data. At its core, an interview is a conversation between two or more people in which the interviewer asks questions to elicit information from the interviewee(s) on a specific topic or set of topics. While interviews often take the form of an in-person meeting between an interviewer and an interviewee, they can also involve multiple participants and be conducted through various mediums, such as phone or video chat.</w:t>
      </w:r>
    </w:p>
    <w:p w14:paraId="687ED855" w14:textId="77777777" w:rsidR="00124904" w:rsidRDefault="00124904" w:rsidP="00124904">
      <w:r>
        <w:t>One of the key advantages of interviews over other research methods, such as surveys, is the ability to gather detailed, nuanced information. In a survey, if a participant's response raises additional questions or requires clarification, researchers generally don't have the opportunity to follow up. With an interview, however, researchers can ask for more information, probe deeper into responses, and help participants clarify their thoughts in real-time. This interactive nature makes interviews an invaluable tool for uncovering the "story" behind survey responses and gaining a more comprehensive understanding of the topic at hand.</w:t>
      </w:r>
    </w:p>
    <w:p w14:paraId="1C063525" w14:textId="77777777" w:rsidR="00124904" w:rsidRDefault="00124904" w:rsidP="00124904">
      <w:r>
        <w:t>Interviews are particularly useful when:</w:t>
      </w:r>
    </w:p>
    <w:p w14:paraId="35317DBF" w14:textId="65B6B4CA" w:rsidR="00124904" w:rsidRDefault="00124904" w:rsidP="0015277B">
      <w:pPr>
        <w:pStyle w:val="ListParagraph"/>
        <w:numPr>
          <w:ilvl w:val="0"/>
          <w:numId w:val="305"/>
        </w:numPr>
      </w:pPr>
      <w:r>
        <w:t>The research topic is complex and requires in-depth exploration.</w:t>
      </w:r>
    </w:p>
    <w:p w14:paraId="46B1CFCB" w14:textId="704B7E5A" w:rsidR="00124904" w:rsidRDefault="00124904" w:rsidP="0015277B">
      <w:pPr>
        <w:pStyle w:val="ListParagraph"/>
        <w:numPr>
          <w:ilvl w:val="0"/>
          <w:numId w:val="305"/>
        </w:numPr>
      </w:pPr>
      <w:r>
        <w:t>The questions being asked necessitate explanation or elaboration.</w:t>
      </w:r>
    </w:p>
    <w:p w14:paraId="2E7D7C8F" w14:textId="4B31C6EC" w:rsidR="00124904" w:rsidRDefault="00124904" w:rsidP="0015277B">
      <w:pPr>
        <w:pStyle w:val="ListParagraph"/>
        <w:numPr>
          <w:ilvl w:val="0"/>
          <w:numId w:val="305"/>
        </w:numPr>
      </w:pPr>
      <w:r>
        <w:t>Participants may need time to reflect on their experiences or work through their responses.</w:t>
      </w:r>
    </w:p>
    <w:p w14:paraId="1F203D50" w14:textId="2818DE4F" w:rsidR="00124904" w:rsidRDefault="00124904" w:rsidP="0015277B">
      <w:pPr>
        <w:pStyle w:val="ListParagraph"/>
        <w:numPr>
          <w:ilvl w:val="0"/>
          <w:numId w:val="305"/>
        </w:numPr>
      </w:pPr>
      <w:r>
        <w:lastRenderedPageBreak/>
        <w:t>The research aims to capture detailed descriptions, personal narratives, or procedural explanations.</w:t>
      </w:r>
    </w:p>
    <w:p w14:paraId="2EE2626A" w14:textId="5F446146" w:rsidR="00124904" w:rsidRDefault="00124904" w:rsidP="00124904">
      <w:r>
        <w:t>By creating a space for participants to share their perspectives, experiences, and insights in their own words, interviews offer researchers a powerful means of engaging with the complexities of human thought and behavior. As such, they remain an indispensable tool for anyone seeking to deepen their understanding of the social world and the people who inhabit it.</w:t>
      </w:r>
    </w:p>
    <w:p w14:paraId="5327D6C8" w14:textId="3BAF631A" w:rsidR="00A626FE" w:rsidRPr="000E309B" w:rsidRDefault="00D14B33" w:rsidP="00C21A88">
      <w:pPr>
        <w:pStyle w:val="Heading4"/>
      </w:pPr>
      <w:r w:rsidRPr="000E309B">
        <w:t>Role of the Interviewer</w:t>
      </w:r>
    </w:p>
    <w:p w14:paraId="424FE3E0" w14:textId="77777777" w:rsidR="009B7188" w:rsidRDefault="009B7188" w:rsidP="009B7188">
      <w:r>
        <w:t>As the primary conduit for data collection, the interviewer plays a crucial and multifaceted role in the success of any interview-based research project. From preparation to execution, the interviewer is responsible for ensuring that the interview process yields rich, reliable, and relevant data. Some of the key tasks and responsibilities of an interviewer include:</w:t>
      </w:r>
    </w:p>
    <w:p w14:paraId="4957904E" w14:textId="1627431C" w:rsidR="009B7188" w:rsidRDefault="009B7188" w:rsidP="009B7188">
      <w:pPr>
        <w:pStyle w:val="ListParagraph"/>
        <w:numPr>
          <w:ilvl w:val="0"/>
          <w:numId w:val="306"/>
        </w:numPr>
      </w:pPr>
      <w:r w:rsidRPr="00F269D8">
        <w:rPr>
          <w:b/>
          <w:bCs/>
        </w:rPr>
        <w:t>Thorough preparation</w:t>
      </w:r>
      <w:r>
        <w:t>: Before embarking on data collection, the interviewer must undergo comprehensive training on the interview process, survey methodology, and the specific aims and context of the study. This includes understanding how responses will be recorded, stored, and used, as well as recognizing potential sources of interviewer bias. Rehearsing and timing the interview in advance can help the interviewer refine their technique and anticipate potential challenges.</w:t>
      </w:r>
    </w:p>
    <w:p w14:paraId="4228066B" w14:textId="0BC54580" w:rsidR="009B7188" w:rsidRDefault="009B7188" w:rsidP="009B7188">
      <w:pPr>
        <w:pStyle w:val="ListParagraph"/>
        <w:numPr>
          <w:ilvl w:val="0"/>
          <w:numId w:val="306"/>
        </w:numPr>
      </w:pPr>
      <w:r w:rsidRPr="00F269D8">
        <w:rPr>
          <w:b/>
          <w:bCs/>
        </w:rPr>
        <w:t>Participant recruitment and rapport building</w:t>
      </w:r>
      <w:r>
        <w:t>: In many cases, the interviewer is responsible for locating and recruiting study participants. This may involve contacting potential interviewees, explaining the purpose and importance of the research, and "selling" the idea of participation. The interviewer must be flexible and accommodating, working around respondents' schedules and sometimes conducting interviews at inconvenient times or locations. Throughout the recruitment process, the interviewer should strive to build rapport and trust with participants.</w:t>
      </w:r>
    </w:p>
    <w:p w14:paraId="33FBFF96" w14:textId="1ED8A6D6" w:rsidR="009B7188" w:rsidRDefault="009B7188" w:rsidP="009B7188">
      <w:pPr>
        <w:pStyle w:val="ListParagraph"/>
        <w:numPr>
          <w:ilvl w:val="0"/>
          <w:numId w:val="306"/>
        </w:numPr>
      </w:pPr>
      <w:r w:rsidRPr="00F269D8">
        <w:rPr>
          <w:b/>
          <w:bCs/>
        </w:rPr>
        <w:t>Maintaining motivation and engagement</w:t>
      </w:r>
      <w:r>
        <w:t>: The quality of interview data depends heavily on the level of motivation and engagement of both the interviewer and the respondent. Interviewers must convey genuine enthusiasm for the research topic and communicate the value of the study to participants. By remaining attentive, responsive, and attuned to respondents' needs and concerns throughout the interview, the interviewer can create an atmosphere that encourages open, honest, and detailed responses.</w:t>
      </w:r>
    </w:p>
    <w:p w14:paraId="511B19D8" w14:textId="2AEE7325" w:rsidR="009B7188" w:rsidRDefault="009B7188" w:rsidP="009B7188">
      <w:pPr>
        <w:pStyle w:val="ListParagraph"/>
        <w:numPr>
          <w:ilvl w:val="0"/>
          <w:numId w:val="306"/>
        </w:numPr>
      </w:pPr>
      <w:r w:rsidRPr="00E54B25">
        <w:rPr>
          <w:b/>
          <w:bCs/>
        </w:rPr>
        <w:t>Clarifying confusion and probing for depth</w:t>
      </w:r>
      <w:r>
        <w:t xml:space="preserve">: Despite careful preparation, unexpected questions, concerns, or objections may arise </w:t>
      </w:r>
      <w:r w:rsidR="00E54B25">
        <w:t>during</w:t>
      </w:r>
      <w:r>
        <w:t xml:space="preserve"> an interview. The interviewer must be able to think on their feet, provide clarification, and address any issues that may impede the flow or depth of the conversation. Additionally, the interviewer should be prepared to ask probing questions and follow up on potentially fruitful lines of inquiry, even if they deviate from the prepared script.</w:t>
      </w:r>
    </w:p>
    <w:p w14:paraId="0A93FEB7" w14:textId="3272E3F6" w:rsidR="009B7188" w:rsidRDefault="009B7188" w:rsidP="009B7188">
      <w:pPr>
        <w:pStyle w:val="ListParagraph"/>
        <w:numPr>
          <w:ilvl w:val="0"/>
          <w:numId w:val="306"/>
        </w:numPr>
      </w:pPr>
      <w:r w:rsidRPr="00E54B25">
        <w:rPr>
          <w:b/>
          <w:bCs/>
        </w:rPr>
        <w:t>Assessing and enhancing data quality</w:t>
      </w:r>
      <w:r>
        <w:t xml:space="preserve">: As the person directly interacting with respondents, the interviewer is uniquely positioned to evaluate the quality and reliability of </w:t>
      </w:r>
      <w:r>
        <w:lastRenderedPageBreak/>
        <w:t>the information being collected. This involves paying attention not only to verbal responses but also to nonverbal cues such as body language and gestures, which can provide valuable context and nuance. By remaining alert to signs of confusion, discomfort, or disengagement, the interviewer can take steps to clarify questions, redirect the conversation, or create a more comfortable and conducive environment for sharing.</w:t>
      </w:r>
    </w:p>
    <w:p w14:paraId="5327D6CE" w14:textId="73F7CE76" w:rsidR="00A626FE" w:rsidRPr="000E309B" w:rsidRDefault="009B7188" w:rsidP="008B695A">
      <w:r>
        <w:t>Ultimately, the success of an interview-based research project hinges on the skill, adaptability, and dedication of the interviewer. By fulfilling their diverse responsibilities with care, competence, and sensitivity, interviewers play an indispensable role in generating rich, reliable, and revealing data that forms the foundation of qualitative inquiry.</w:t>
      </w:r>
    </w:p>
    <w:p w14:paraId="5327D6CF" w14:textId="324E2059" w:rsidR="00A626FE" w:rsidRPr="000E309B" w:rsidRDefault="0060199F" w:rsidP="0060199F">
      <w:pPr>
        <w:pStyle w:val="Heading3"/>
      </w:pPr>
      <w:bookmarkStart w:id="160" w:name="_Toc169156780"/>
      <w:r>
        <w:t>Q</w:t>
      </w:r>
      <w:r w:rsidR="00D14B33" w:rsidRPr="000E309B">
        <w:t xml:space="preserve">ualitative </w:t>
      </w:r>
      <w:r>
        <w:t>I</w:t>
      </w:r>
      <w:r w:rsidR="00D14B33" w:rsidRPr="000E309B">
        <w:t xml:space="preserve">nterview </w:t>
      </w:r>
      <w:r>
        <w:t>T</w:t>
      </w:r>
      <w:r w:rsidR="00D14B33" w:rsidRPr="000E309B">
        <w:t>echniques</w:t>
      </w:r>
      <w:bookmarkEnd w:id="160"/>
    </w:p>
    <w:p w14:paraId="752C98C7" w14:textId="242CAC1B" w:rsidR="00171FA7" w:rsidRDefault="00171FA7" w:rsidP="00171FA7">
      <w:r>
        <w:t>Qualitative interviews, often referred to as "intensive" or "in-depth" interviews, are a powerful tool for exploring the thoughts, experiences, and perspectives of research participants. Unlike structured interviews, which typically involve a fixed set of questions asked in a predetermined order, qualitative interviews are semi</w:t>
      </w:r>
      <w:r w:rsidR="008B2312">
        <w:t>-</w:t>
      </w:r>
      <w:r>
        <w:t>structured, allowing for greater flexibility and adaptability in the research process.</w:t>
      </w:r>
    </w:p>
    <w:p w14:paraId="2A06F106" w14:textId="60D347CC" w:rsidR="00171FA7" w:rsidRDefault="00171FA7" w:rsidP="00171FA7">
      <w:r>
        <w:t>In a semi</w:t>
      </w:r>
      <w:r w:rsidR="008B2312">
        <w:t>-</w:t>
      </w:r>
      <w:r>
        <w:t>structured interview, the researcher identifies a set of key topics or themes to be covered but remains open to exploring new ideas and insights as they emerge from the conversation. Questions are typically open-ended, inviting respondents to share their thoughts and experiences in their own words rather than confining them to predetermined categories or response options. This approach allows for a more natural, conversational flow and enables the researcher to probe deeper into areas of interest or significance.</w:t>
      </w:r>
    </w:p>
    <w:p w14:paraId="63046300" w14:textId="77777777" w:rsidR="00171FA7" w:rsidRDefault="00171FA7" w:rsidP="00171FA7">
      <w:r>
        <w:t>The primary aim of qualitative interviews is to gain a rich, nuanced understanding of the respondent's perspective on the research topic. By creating a space for participants to express themselves freely and authentically, researchers can uncover valuable insights into the complexities of human experience, belief, and behavior. This emphasis on the respondent's own words and meanings is a defining feature of qualitative research, which seeks to capture the depth and diversity of human experience rather than reducing it to quantifiable variables or generalizable trends.</w:t>
      </w:r>
    </w:p>
    <w:p w14:paraId="34F1BC17" w14:textId="77777777" w:rsidR="00171FA7" w:rsidRDefault="00171FA7" w:rsidP="00171FA7">
      <w:r>
        <w:t>Conducting effective qualitative interviews requires a range of skills and considerations, from building rapport and trust with participants to asking probing questions and actively listening to responses. Analyzing the rich, narrative data generated by these interviews also presents unique challenges and opportunities, requiring researchers to carefully interpret and make sense of the stories, themes, and patterns that emerge.</w:t>
      </w:r>
    </w:p>
    <w:p w14:paraId="5327D6D0" w14:textId="0A6174CF" w:rsidR="00A626FE" w:rsidRPr="000E309B" w:rsidRDefault="009F2EFD" w:rsidP="00B51542">
      <w:r>
        <w:t>T</w:t>
      </w:r>
      <w:r w:rsidR="00171FA7">
        <w:t>he following sections</w:t>
      </w:r>
      <w:r>
        <w:t xml:space="preserve"> consider the</w:t>
      </w:r>
      <w:r w:rsidR="00171FA7">
        <w:t xml:space="preserve"> process of conducting qualitative interviews, strategies for analyzing interview data, and the strengths and limitations of this research method. By understanding the key principles and practices of qualitative interviewing, researchers can harness the power of this approach to generate valuable, context-specific insights into </w:t>
      </w:r>
      <w:r w:rsidR="00D879E3">
        <w:t>human</w:t>
      </w:r>
      <w:r w:rsidR="00171FA7">
        <w:t xml:space="preserve"> experience.</w:t>
      </w:r>
    </w:p>
    <w:p w14:paraId="5327D6D1" w14:textId="0C006DF4" w:rsidR="00A626FE" w:rsidRPr="000E309B" w:rsidRDefault="00D14B33" w:rsidP="004527D0">
      <w:pPr>
        <w:pStyle w:val="Heading4"/>
      </w:pPr>
      <w:r w:rsidRPr="000E309B">
        <w:lastRenderedPageBreak/>
        <w:t>Conducting Qualitative Interviews</w:t>
      </w:r>
    </w:p>
    <w:p w14:paraId="4CED623F" w14:textId="2F1BFF67" w:rsidR="005D55E7" w:rsidRDefault="005D55E7" w:rsidP="005D55E7">
      <w:r>
        <w:t>While qualitative interviews may feel more conversational than their quantitative counterparts, they are still guided by the researcher's aim to gather information on a specific topic. The key difference lies in the structure and nature of the questions asked. Qualitative interviews are semi</w:t>
      </w:r>
      <w:r w:rsidR="00555622">
        <w:t>-</w:t>
      </w:r>
      <w:r>
        <w:t>structured, featuring open-ended questions that allow respondents to express themselves in their own words. In contrast, quantitative interviews are highly structured, with closed-ended questions that limit responses to predetermined categories. Open-ended questions are more demanding for participants, as they require the formulation of original responses rather than the selection of predefined options.</w:t>
      </w:r>
    </w:p>
    <w:p w14:paraId="04FCBC23" w14:textId="77777777" w:rsidR="005D55E7" w:rsidRDefault="005D55E7" w:rsidP="005D55E7">
      <w:r>
        <w:t>To navigate the flexible, participant-driven nature of qualitative interviews, researchers rely on interview guides. An interview guide is a list of topics or questions to be covered during the conversation, serving as a roadmap rather than a rigid script. Much like a meeting agenda, the guide outlines the key issues to be addressed but allows for flexibility in the order and depth of coverage based on the participant's responses. This adaptability is both the excitement and the challenge of in-depth interviewing, requiring skilled interviewers who can listen attentively, follow up on relevant cues, and allow participants to share their perspectives without undue interruption.</w:t>
      </w:r>
    </w:p>
    <w:p w14:paraId="5FC38F57" w14:textId="1D17C755" w:rsidR="005D55E7" w:rsidRDefault="005D55E7" w:rsidP="005D55E7">
      <w:r>
        <w:t xml:space="preserve">Crafting an effective interview guide is a thoughtful, iterative process. Researchers often begin by brainstorming a comprehensive list of topics and questions related to the research question, then refine the list by eliminating redundancies and grouping related items thematically. Consulting </w:t>
      </w:r>
      <w:r w:rsidR="00144C29">
        <w:t>scholarly</w:t>
      </w:r>
      <w:r>
        <w:t xml:space="preserve"> literature for examples of questions used in similar studies can provide valuable guidance and inspiration. When organizing the guide, it is generally advisable to reserve sensitive or controversial questions for later in the interview, allowing participants to build rapport and comfort with the interviewer first.</w:t>
      </w:r>
    </w:p>
    <w:p w14:paraId="1268EAA2" w14:textId="77777777" w:rsidR="005D55E7" w:rsidRDefault="005D55E7" w:rsidP="005D55E7">
      <w:r>
        <w:t>The specific questions included in the guide should adhere to several key principles:</w:t>
      </w:r>
    </w:p>
    <w:p w14:paraId="5DFE0D1C" w14:textId="796F46EB" w:rsidR="005D55E7" w:rsidRDefault="005D55E7" w:rsidP="00144C29">
      <w:pPr>
        <w:pStyle w:val="ListParagraph"/>
        <w:numPr>
          <w:ilvl w:val="0"/>
          <w:numId w:val="307"/>
        </w:numPr>
      </w:pPr>
      <w:r>
        <w:t>Avoid yes/no questions, or if necessary, include follow-up probes to elicit more detailed responses.</w:t>
      </w:r>
    </w:p>
    <w:p w14:paraId="7649D737" w14:textId="5C0DD376" w:rsidR="005D55E7" w:rsidRDefault="005D55E7" w:rsidP="00144C29">
      <w:pPr>
        <w:pStyle w:val="ListParagraph"/>
        <w:numPr>
          <w:ilvl w:val="0"/>
          <w:numId w:val="307"/>
        </w:numPr>
      </w:pPr>
      <w:r>
        <w:t>Use open-ended questions that encourage participants to share their experiences and perspectives in their own words.</w:t>
      </w:r>
    </w:p>
    <w:p w14:paraId="09D25657" w14:textId="65842AC3" w:rsidR="005D55E7" w:rsidRDefault="005D55E7" w:rsidP="00144C29">
      <w:pPr>
        <w:pStyle w:val="ListParagraph"/>
        <w:numPr>
          <w:ilvl w:val="0"/>
          <w:numId w:val="307"/>
        </w:numPr>
      </w:pPr>
      <w:r>
        <w:t>Steer clear of leading questions that presuppose a particular answer or perspective.</w:t>
      </w:r>
    </w:p>
    <w:p w14:paraId="6546F6BC" w14:textId="57553833" w:rsidR="005D55E7" w:rsidRDefault="005D55E7" w:rsidP="00144C29">
      <w:pPr>
        <w:pStyle w:val="ListParagraph"/>
        <w:numPr>
          <w:ilvl w:val="0"/>
          <w:numId w:val="307"/>
        </w:numPr>
      </w:pPr>
      <w:r>
        <w:t>Keep questions concise, allowing ample time for participant responses.</w:t>
      </w:r>
    </w:p>
    <w:p w14:paraId="6E746DCD" w14:textId="41423D28" w:rsidR="005D55E7" w:rsidRDefault="005D55E7" w:rsidP="00144C29">
      <w:pPr>
        <w:pStyle w:val="ListParagraph"/>
        <w:numPr>
          <w:ilvl w:val="0"/>
          <w:numId w:val="307"/>
        </w:numPr>
      </w:pPr>
      <w:r>
        <w:t>Avoid "why" questions, which can come across as confrontational; instead, use probes like "Could you tell me more about that?"</w:t>
      </w:r>
    </w:p>
    <w:p w14:paraId="73BD5F52" w14:textId="77777777" w:rsidR="005D55E7" w:rsidRDefault="005D55E7" w:rsidP="005D55E7">
      <w:r>
        <w:t>Throughout the interview guide development process, seeking feedback from peers and colleagues is essential. Fresh eyes can often spot areas for improvement or refinement that the researcher may have overlooked.</w:t>
      </w:r>
    </w:p>
    <w:p w14:paraId="44D714EA" w14:textId="7CC49452" w:rsidR="005D55E7" w:rsidRDefault="005D55E7" w:rsidP="005D55E7">
      <w:r>
        <w:t xml:space="preserve">Once the guide is finalized, researchers must decide how to record and manage the data collected during interviews. Audio recording is a common choice, as it allows interviewers to focus on the </w:t>
      </w:r>
      <w:r>
        <w:lastRenderedPageBreak/>
        <w:t xml:space="preserve">conversation rather than note-taking. However, some participants may be uncomfortable with being recorded, and in some cases, the sensitivity of the topic may make recording inappropriate. In such instances, the interviewer must balance active listening with strategic </w:t>
      </w:r>
      <w:r w:rsidR="00DF2652">
        <w:t>notetaking</w:t>
      </w:r>
      <w:r>
        <w:t>.</w:t>
      </w:r>
    </w:p>
    <w:p w14:paraId="5327D6E1" w14:textId="0AA0F0BA" w:rsidR="00A626FE" w:rsidRPr="000E309B" w:rsidRDefault="005D55E7" w:rsidP="006A5FE0">
      <w:r>
        <w:t xml:space="preserve">Before embarking on actual data collection, it is crucial for researchers to practice their interviewing skills and test their guide through trial runs. Conducting mock interviews with peers, friends, or individuals </w:t>
      </w:r>
      <w:r w:rsidR="00DF2652">
        <w:t>like</w:t>
      </w:r>
      <w:r>
        <w:t xml:space="preserve"> the target sample can provide invaluable feedback on question clarity, interview flow, and interviewer demeanor. By refining their approach through practice, researchers can ensure that they are well-prepared to engage participants in rich, meaningful conversations that yield valuable insights into the research topic at hand.</w:t>
      </w:r>
    </w:p>
    <w:p w14:paraId="5327D6E2" w14:textId="0786DCF8" w:rsidR="00A626FE" w:rsidRPr="000E309B" w:rsidRDefault="00D14B33" w:rsidP="004527D0">
      <w:pPr>
        <w:pStyle w:val="Heading4"/>
      </w:pPr>
      <w:r w:rsidRPr="000E309B">
        <w:t>Analysis of Qualitative Interview Data</w:t>
      </w:r>
    </w:p>
    <w:p w14:paraId="781A7CF1" w14:textId="77777777" w:rsidR="005C16B9" w:rsidRDefault="005C16B9" w:rsidP="005C16B9">
      <w:r>
        <w:t>Analysis of qualitative interview data typically begins with the creation of interview transcripts, verbatim written records of the conversations. When possible, researchers who recorded the interviews should have the recordings transcribed for analysis. If the interviewer relied on notes taken during the session, they should write a detailed version of the notes as soon as possible after the interview, while the details are still fresh. In both cases, it is important to capture not only the spoken words but also any relevant nonverbal cues, such as body language, tone of voice, or significant pauses.</w:t>
      </w:r>
    </w:p>
    <w:p w14:paraId="262D9146" w14:textId="77777777" w:rsidR="005C16B9" w:rsidRDefault="005C16B9" w:rsidP="005C16B9">
      <w:r>
        <w:t>While third-party transcription services are available, there are compelling reasons for the interviewer to transcribe the recordings personally. During the interview, the researcher may observe subtle nonverbal behaviors that provide valuable context for the participant's responses, such as eye-rolling, tearfulness, or gestures. These cues, which can offer crucial insights into the interviewee's feelings and experiences, would be lost if the interviewer did not transcribe the recording themselves.</w:t>
      </w:r>
    </w:p>
    <w:p w14:paraId="33C8D9D6" w14:textId="77777777" w:rsidR="005C16B9" w:rsidRDefault="005C16B9" w:rsidP="005C16B9">
      <w:r>
        <w:t>The goal of qualitative interview analysis is to identify patterns, themes, and insights by distilling large amounts of raw data into more manageable and meaningful categories. This process is typically inductive, moving from specific observations to broader generalizations. The first step in this process is coding, which involves carefully reading through the interview transcripts and assigning shorthand labels or codes to represent key ideas or themes.</w:t>
      </w:r>
    </w:p>
    <w:p w14:paraId="7E26BB52" w14:textId="263333FB" w:rsidR="005C16B9" w:rsidRDefault="005C16B9" w:rsidP="005C16B9">
      <w:r>
        <w:t>As qualitative researcher Kristin Esterberg explains, coding is a multistage process that begins with open coding</w:t>
      </w:r>
      <w:r w:rsidR="00CD33A7">
        <w:t xml:space="preserve"> </w:t>
      </w:r>
      <w:r w:rsidR="00CD33A7">
        <w:fldChar w:fldCharType="begin"/>
      </w:r>
      <w:r w:rsidR="007C07B4">
        <w:instrText xml:space="preserve"> ADDIN ZOTERO_ITEM CSL_CITATION {"citationID":"aPd423v5","properties":{"formattedCitation":"[43]","plainCitation":"[43]","noteIndex":0},"citationItems":[{"id":31,"uris":["http://zotero.org/users/5015692/items/4EKGW2JA"],"itemData":{"id":31,"type":"article-journal","title":"Qualitative methods in social research","author":[{"family":"Esterberg","given":"Kristin G"}],"issued":{"date-parts":[["2002"]]}}}],"schema":"https://github.com/citation-style-language/schema/raw/master/csl-citation.json"} </w:instrText>
      </w:r>
      <w:r w:rsidR="00CD33A7">
        <w:fldChar w:fldCharType="separate"/>
      </w:r>
      <w:r w:rsidR="007C07B4" w:rsidRPr="007C07B4">
        <w:t>[43]</w:t>
      </w:r>
      <w:r w:rsidR="00CD33A7">
        <w:fldChar w:fldCharType="end"/>
      </w:r>
      <w:r>
        <w:t>. In this phase, the researcher reads through each transcript line by line, noting any categories or themes that emerge, without allowing preconceptions or expectations to limit their perspective. Open coding often requires multiple passes through the data, as the researcher begins to identify commonalities and connections among the initial categories.</w:t>
      </w:r>
    </w:p>
    <w:p w14:paraId="5F56C715" w14:textId="77777777" w:rsidR="005C16B9" w:rsidRDefault="005C16B9" w:rsidP="005C16B9">
      <w:r>
        <w:t xml:space="preserve">Once the open coding process is complete, the researcher moves on to focused coding. In this stage, they review the notes and categories generated during open coding, looking for opportunities to collapse, merge, or redefine themes. The goal is to create a more concise and coherent set of codes that capture the essential insights and patterns in the data. The researcher then assigns a </w:t>
      </w:r>
      <w:r>
        <w:lastRenderedPageBreak/>
        <w:t>name or label to each code and identifies relevant passages from the transcripts that exemplify each category.</w:t>
      </w:r>
    </w:p>
    <w:p w14:paraId="380EAA26" w14:textId="6D718D08" w:rsidR="005C16B9" w:rsidRDefault="005C16B9" w:rsidP="005C16B9">
      <w:r>
        <w:t xml:space="preserve">Throughout the coding process, researchers may find it helpful to keep in mind a set of guiding questions, as outlined by Lofland </w:t>
      </w:r>
      <w:r w:rsidR="00F371CB">
        <w:fldChar w:fldCharType="begin"/>
      </w:r>
      <w:r w:rsidR="007C07B4">
        <w:instrText xml:space="preserve"> ADDIN ZOTERO_ITEM CSL_CITATION {"citationID":"2TrRm2TR","properties":{"formattedCitation":"[115]","plainCitation":"[115]","noteIndex":0},"citationItems":[{"id":160,"uris":["http://zotero.org/users/5015692/items/GT74BCBV"],"itemData":{"id":160,"type":"article-journal","container-title":"Journal of contemporary ethnography","issue":"1","page":"30–67","title":"Analytic ethnography: Features, failings, and futures","volume":"24","author":[{"family":"Lofland","given":"John"}],"issued":{"date-parts":[["1995"]]}}}],"schema":"https://github.com/citation-style-language/schema/raw/master/csl-citation.json"} </w:instrText>
      </w:r>
      <w:r w:rsidR="00F371CB">
        <w:fldChar w:fldCharType="separate"/>
      </w:r>
      <w:r w:rsidR="007C07B4" w:rsidRPr="007C07B4">
        <w:t>[115]</w:t>
      </w:r>
      <w:r w:rsidR="00F371CB">
        <w:fldChar w:fldCharType="end"/>
      </w:r>
      <w:r>
        <w:t>:</w:t>
      </w:r>
    </w:p>
    <w:p w14:paraId="5F725A23" w14:textId="77777777" w:rsidR="005C16B9" w:rsidRDefault="005C16B9" w:rsidP="00495397">
      <w:pPr>
        <w:pStyle w:val="ListParagraph"/>
        <w:numPr>
          <w:ilvl w:val="0"/>
          <w:numId w:val="308"/>
        </w:numPr>
      </w:pPr>
      <w:r>
        <w:t>What broader topic or concept does this piece of data illustrate?</w:t>
      </w:r>
    </w:p>
    <w:p w14:paraId="40F8D592" w14:textId="77777777" w:rsidR="005C16B9" w:rsidRDefault="005C16B9" w:rsidP="00495397">
      <w:pPr>
        <w:pStyle w:val="ListParagraph"/>
        <w:numPr>
          <w:ilvl w:val="0"/>
          <w:numId w:val="308"/>
        </w:numPr>
      </w:pPr>
      <w:r>
        <w:t>What new question or line of inquiry does this data suggest?</w:t>
      </w:r>
    </w:p>
    <w:p w14:paraId="25260840" w14:textId="77777777" w:rsidR="005C16B9" w:rsidRDefault="005C16B9" w:rsidP="00495397">
      <w:pPr>
        <w:pStyle w:val="ListParagraph"/>
        <w:numPr>
          <w:ilvl w:val="0"/>
          <w:numId w:val="308"/>
        </w:numPr>
      </w:pPr>
      <w:r>
        <w:t>What tentative answer or proposition does this data point toward?</w:t>
      </w:r>
    </w:p>
    <w:p w14:paraId="3F173A4B" w14:textId="77777777" w:rsidR="005C16B9" w:rsidRDefault="005C16B9" w:rsidP="005C16B9">
      <w:r>
        <w:t>While the coding process can be time-consuming and labor-intensive, there are a variety of software tools available to assist qualitative researchers in organizing, managing, and analyzing their data. Programs like NVivo, RQDA, and QDA Miner Lite offer features such as importing and labeling transcripts, searching for keywords and phrases, and visualizing relationships among codes and passages. These tools can be particularly valuable for projects with large amounts of qualitative data, helping researchers to streamline their workflow and uncover insights more efficiently.</w:t>
      </w:r>
    </w:p>
    <w:p w14:paraId="5327D6EE" w14:textId="1D8BF22E" w:rsidR="00A626FE" w:rsidRPr="000E309B" w:rsidRDefault="003F2CC3" w:rsidP="00D069E3">
      <w:r>
        <w:t>For</w:t>
      </w:r>
      <w:r w:rsidR="00D14B33" w:rsidRPr="000E309B">
        <w:t xml:space="preserve"> example, the following excerpt from a paper analyzing the electronic gaming industry in two jurisdictions</w:t>
      </w:r>
      <w:r w:rsidR="00AB7F3F">
        <w:t xml:space="preserve"> </w:t>
      </w:r>
      <w:r w:rsidR="00D14B33" w:rsidRPr="000E309B">
        <w:t>summarizes how analyzing qualitative interview data often works</w:t>
      </w:r>
      <w:r w:rsidR="00585529">
        <w:t xml:space="preserve"> </w:t>
      </w:r>
      <w:r w:rsidR="00585529">
        <w:fldChar w:fldCharType="begin"/>
      </w:r>
      <w:r w:rsidR="007C07B4">
        <w:instrText xml:space="preserve"> ADDIN ZOTERO_ITEM CSL_CITATION {"citationID":"rASATfE2","properties":{"formattedCitation":"[116]","plainCitation":"[116]","noteIndex":0},"citationItems":[{"id":159,"uris":["http://zotero.org/users/5015692/items/JGYNY6VW"],"itemData":{"id":159,"type":"article-journal","title":"The efficacy of utilising Nvivo for interview data from the electronic gaming industry in two jurisdictions","author":[{"family":"Buchanan","given":"June"},{"family":"Jones","given":"Michael L"}],"issued":{"date-parts":[["2010"]]}}}],"schema":"https://github.com/citation-style-language/schema/raw/master/csl-citation.json"} </w:instrText>
      </w:r>
      <w:r w:rsidR="00585529">
        <w:fldChar w:fldCharType="separate"/>
      </w:r>
      <w:r w:rsidR="007C07B4" w:rsidRPr="007C07B4">
        <w:t>[116]</w:t>
      </w:r>
      <w:r w:rsidR="00585529">
        <w:fldChar w:fldCharType="end"/>
      </w:r>
      <w:r w:rsidR="00D14B33" w:rsidRPr="000E309B">
        <w:t>.</w:t>
      </w:r>
    </w:p>
    <w:p w14:paraId="5327D6EF" w14:textId="77777777" w:rsidR="00A626FE" w:rsidRPr="000E309B" w:rsidRDefault="00D14B33" w:rsidP="00EA13D2">
      <w:pPr>
        <w:pStyle w:val="Quote"/>
      </w:pPr>
      <w:r w:rsidRPr="000E309B">
        <w:t>Data were collected through these combined methods, and while analysis was undertaken using NVivo, the analysis was guided by these methods. Thirty-eight in-depth interviews were undertaken with gaming operators and gaming machine manufacturers in both the Nevada (USA) and NSW (Australian) jurisdictions during 2005−2006. Interview data were augmented through observation, resulting in a rich collection of data. The data were coded and initially entered into ‘nodes’ within the NVivo program. A pre-defined set of themes was derived from topic areas of the interviews. Each theme then became a node. As each interview was read, additional themes were identified and nodes created for each theme. The nodes were fleshed out as data were extracted from each interview referring to the same theme. Thus a range of themes was created as a result of going through the data and coding according to themes within each transcript. Once all data had been placed into various nodes, themes were checked through the matrix function within NVivo to ensure that the various themes were distinct from each other and that there was no redundancy.</w:t>
      </w:r>
    </w:p>
    <w:p w14:paraId="4CEB1520" w14:textId="77777777" w:rsidR="00E60A4C" w:rsidRDefault="00E60A4C" w:rsidP="00E60A4C">
      <w:r>
        <w:t>Ultimately, the key to successful qualitative interview analysis lies in the researcher's willingness to immerse themselves deeply in the data, approaching the process with an open and curious mindset. By carefully attending to the nuances of participants' experiences and perspectives, and by rigorously and systematically identifying patterns and themes, researchers can generate rich, contextualized insights that shed new light on the complexities of human behavior and social life.</w:t>
      </w:r>
    </w:p>
    <w:p w14:paraId="5327D6F3" w14:textId="033C62D8" w:rsidR="00A626FE" w:rsidRPr="000E309B" w:rsidRDefault="00D14B33" w:rsidP="004527D0">
      <w:pPr>
        <w:pStyle w:val="Heading4"/>
      </w:pPr>
      <w:r w:rsidRPr="000E309B">
        <w:lastRenderedPageBreak/>
        <w:t>Strengths and Weaknesses of Qualitative Interviews</w:t>
      </w:r>
    </w:p>
    <w:p w14:paraId="65E67795" w14:textId="77777777" w:rsidR="00521579" w:rsidRDefault="00521579" w:rsidP="00521579">
      <w:r>
        <w:t>Qualitative interviews offer numerous advantages as a research method, chief among them the ability to gather rich, detailed information about a topic of interest. Unlike survey research or other more structured approaches, interviews allow participants to elaborate on their experiences, thoughts, and perspectives in their own words, without being constrained by predetermined response options. This open-ended format is particularly valuable when researchers aim to understand the "how" of various phenomena, exploring the processes and contexts that shape people's lives and behaviors.</w:t>
      </w:r>
    </w:p>
    <w:p w14:paraId="25AE67A2" w14:textId="77777777" w:rsidR="00521579" w:rsidRDefault="00521579" w:rsidP="00521579">
      <w:r>
        <w:t>Another key strength of qualitative interviews is the opportunity for researchers to make observations that go beyond the respondent's verbal reports. By conducting interviews in person, researchers can attend to nonverbal cues such as body language, facial expressions, and tone of voice, which can provide valuable insights into the participant's feelings and experiences. Even the choice of time and location for the interview can be revealing, offering a glimpse into the respondent's priorities, comfort level, and social context.</w:t>
      </w:r>
    </w:p>
    <w:p w14:paraId="25D4B6BB" w14:textId="7198ED34" w:rsidR="00521579" w:rsidRDefault="00607FF6" w:rsidP="00521579">
      <w:r w:rsidRPr="00607FF6">
        <w:t>However, these advantages are not without drawbacks and obstacles. Qualitative interviews rely primarily on respondents' capacity to</w:t>
      </w:r>
      <w:r w:rsidR="00AF1AD1">
        <w:t xml:space="preserve"> </w:t>
      </w:r>
      <w:r w:rsidR="00AF1AD1" w:rsidRPr="00AF1AD1">
        <w:t>remember and honestly describe their thoughts, opinions, and actions. This</w:t>
      </w:r>
      <w:r w:rsidR="00F704C1">
        <w:t xml:space="preserve"> process, though,</w:t>
      </w:r>
      <w:r w:rsidR="00AF1AD1" w:rsidRPr="00AF1AD1">
        <w:t xml:space="preserve"> can be affected by memory, social desirability bias, and </w:t>
      </w:r>
      <w:r w:rsidRPr="00607FF6">
        <w:t>interviewer-interviewee rapport. Furthermore, the process of conducting, transcribing, and analyzing interviews is time- and labor-intensive, necessitating a substantial commitment of resources.</w:t>
      </w:r>
    </w:p>
    <w:p w14:paraId="1230CA19" w14:textId="77777777" w:rsidR="00521579" w:rsidRDefault="00521579" w:rsidP="00521579">
      <w:r>
        <w:t>Beyond the initial stages of creating an interview guide, identifying a sample, and conducting the interviews, researchers must also devote substantial time and effort to transcribing the recordings and coding the resulting data. Transcription involves carefully listening to each interview and creating a verbatim written record of the conversation, a painstaking process that can take several hours per hour of recorded audio. Coding then requires multiple close readings of the transcripts to identify key themes, categories, and patterns, a process that can be equally time-consuming.</w:t>
      </w:r>
    </w:p>
    <w:p w14:paraId="63D74ADD" w14:textId="77777777" w:rsidR="00521579" w:rsidRDefault="00521579" w:rsidP="00521579">
      <w:r>
        <w:t>In addition to the labor involved, qualitative interviewing can also be emotionally taxing for researchers. Depending on the topic and the experiences of the participants, interviewers may be exposed to stories that are shocking, upsetting, or deeply moving. Researchers embarking on a qualitative interview project should be prepared for the possibility of hearing difficult or traumatic narratives and should have strategies in place for managing their own emotional well-being, such as debriefing with colleagues, seeking support from mentors or counselors, and practicing self-care.</w:t>
      </w:r>
    </w:p>
    <w:p w14:paraId="21D196CC" w14:textId="594B4EC7" w:rsidR="006043B4" w:rsidRDefault="00521579" w:rsidP="00521579">
      <w:r>
        <w:t xml:space="preserve">Despite these challenges, for researchers seeking to gain a deep, nuanced understanding of people's lived experiences and perspectives, qualitative interviews remain an invaluable tool. By creating a space for participants to share their stories and insights in a more open and authentic way, this method can yield rich, contextualized data that sheds light on the complexities of human </w:t>
      </w:r>
      <w:r>
        <w:lastRenderedPageBreak/>
        <w:t>behavior and social life. While the process may be demanding, the rewards—in terms of the depth and quality of the insights gained—can be substantial, making qualitative interviews a vital approach for researchers across a wide range of disciplines and fields.</w:t>
      </w:r>
    </w:p>
    <w:p w14:paraId="5327D6F7" w14:textId="3BC06DD6" w:rsidR="00A626FE" w:rsidRPr="000E309B" w:rsidRDefault="00490867" w:rsidP="00490867">
      <w:pPr>
        <w:pStyle w:val="Heading3"/>
      </w:pPr>
      <w:bookmarkStart w:id="161" w:name="_Toc169156781"/>
      <w:r>
        <w:t>Q</w:t>
      </w:r>
      <w:r w:rsidR="00D14B33" w:rsidRPr="000E309B">
        <w:t xml:space="preserve">uantitative </w:t>
      </w:r>
      <w:r>
        <w:t>I</w:t>
      </w:r>
      <w:r w:rsidR="00D14B33" w:rsidRPr="000E309B">
        <w:t xml:space="preserve">nterview </w:t>
      </w:r>
      <w:r>
        <w:t>T</w:t>
      </w:r>
      <w:r w:rsidR="00D14B33" w:rsidRPr="000E309B">
        <w:t>echniques</w:t>
      </w:r>
      <w:bookmarkEnd w:id="161"/>
    </w:p>
    <w:p w14:paraId="130B8754" w14:textId="77777777" w:rsidR="00350BB0" w:rsidRDefault="00350BB0" w:rsidP="00350BB0">
      <w:r>
        <w:t>Quantitative interviews, like their qualitative counterparts, involve direct interaction between the researcher and the respondent. However, the nature of this interaction, as well as the methods used to conduct and analyze these interviews, differs significantly between the two approaches.</w:t>
      </w:r>
    </w:p>
    <w:p w14:paraId="672F2091" w14:textId="77777777" w:rsidR="00350BB0" w:rsidRDefault="00350BB0" w:rsidP="00350BB0">
      <w:r>
        <w:t>In quantitative interviews, the researcher typically asks a set of predetermined, standardized questions and records the respondent's answers using a structured format, such as a survey or questionnaire. The goal is to gather numerical data that can be statistically analyzed to identify patterns, trends, and relationships among variables. Quantitative interviews are often used to test hypotheses, measure the prevalence of certain behaviors or attitudes, or compare different groups of people.</w:t>
      </w:r>
    </w:p>
    <w:p w14:paraId="4CB4DF29" w14:textId="77777777" w:rsidR="00350BB0" w:rsidRDefault="00350BB0" w:rsidP="00350BB0">
      <w:r>
        <w:t>In contrast, qualitative interviews are more open-ended and exploratory in nature. The researcher uses a flexible interview guide to prompt discussion and encourage the respondent to share their experiences, opinions, and perspectives in their own words. The goal is to gather rich, detailed data that can be analyzed thematically to uncover the meanings, motivations, and contexts that shape people's lives and behaviors.</w:t>
      </w:r>
    </w:p>
    <w:p w14:paraId="6701B41D" w14:textId="77777777" w:rsidR="00350BB0" w:rsidRDefault="00350BB0" w:rsidP="00350BB0">
      <w:r>
        <w:t>These differences in approach and purpose give rise to a distinct set of strengths and weaknesses for each type of interview. Quantitative interviews, for example, offer the advantages of standardization, reliability, and generalizability. By asking the same questions in the same way to a large, representative sample of respondents, researchers can generate findings that are more easily replicated and applied to wider populations. However, this standardization can also be a limitation, as it may miss important nuances or context that could be captured by a more flexible, qualitative approach.</w:t>
      </w:r>
    </w:p>
    <w:p w14:paraId="6DB2BF04" w14:textId="77777777" w:rsidR="00350BB0" w:rsidRDefault="00350BB0" w:rsidP="00350BB0">
      <w:r>
        <w:t>Qualitative interviews, on the other hand, provide a depth and richness of data that is not possible with quantitative methods. By allowing respondents to express themselves in their own words and on their own terms, qualitative interviews can uncover new insights, challenge assumptions, and generate hypotheses for further research. However, this depth comes at the cost of breadth; qualitative interviews are typically conducted with smaller, more purposive samples, which can limit their generalizability to larger populations.</w:t>
      </w:r>
    </w:p>
    <w:p w14:paraId="5327D6F8" w14:textId="67128F12" w:rsidR="00A626FE" w:rsidRPr="000E309B" w:rsidRDefault="00350BB0" w:rsidP="00D65A7E">
      <w:r>
        <w:t>In the following sections, we will explore these differences in more detail, examining the key features of quantitative interviews, the steps involved in conducting and analyzing them, and the unique strengths and limitations of this approach. By understanding the distinctions between quantitative and qualitative interviews, researchers can make informed decisions about which method is best suited to their research questions, goals, and resources.</w:t>
      </w:r>
    </w:p>
    <w:p w14:paraId="5327D6F9" w14:textId="62099352" w:rsidR="00A626FE" w:rsidRPr="000E309B" w:rsidRDefault="00D14B33" w:rsidP="00C704D7">
      <w:pPr>
        <w:pStyle w:val="Heading4"/>
      </w:pPr>
      <w:r w:rsidRPr="000E309B">
        <w:lastRenderedPageBreak/>
        <w:t>Conducting Quantitative Interviews</w:t>
      </w:r>
    </w:p>
    <w:p w14:paraId="15683729" w14:textId="77777777" w:rsidR="0006753E" w:rsidRDefault="0006753E" w:rsidP="0006753E">
      <w:r>
        <w:t>Quantitative interviews, also known as "survey interviews," share many similarities with the survey research discussed in Chapter 8. Both methods involve posing a set of predetermined questions to respondents and recording their answers in a standardized format. The key difference is that in a quantitative interview, the questions and answer options are read aloud to the respondent by the interviewer, rather than the respondent completing a questionnaire on their own.</w:t>
      </w:r>
    </w:p>
    <w:p w14:paraId="08A21075" w14:textId="77777777" w:rsidR="0006753E" w:rsidRDefault="0006753E" w:rsidP="0006753E">
      <w:r>
        <w:t>Like surveys, quantitative interviews typically rely on closed-ended questions, which provide a fixed set of response options for the respondent to choose from. However, there may be instances where a quantitative interviewer includes a few open-ended questions as well. In these cases, the coding process is somewhat different than in qualitative interviews, as the responses are usually briefer and more focused, and the researcher may develop a set of predetermined categories or codes based on the research questions and existing literature.</w:t>
      </w:r>
    </w:p>
    <w:p w14:paraId="51C18E0A" w14:textId="77777777" w:rsidR="0006753E" w:rsidRDefault="0006753E" w:rsidP="0006753E">
      <w:r>
        <w:t>To ensure consistency and minimize interviewer effects, quantitative interviews follow a strict interview schedule, which outlines the exact wording and order of the questions and answer options to be presented to each respondent. This standardization is critical to ensuring that any differences in responses are due to actual variations among respondents, rather than differences in how the questions were asked. For example, if an interviewer were to rephrase a question or provide additional context for some respondents but not others, it could lead to biased or inconsistent results.</w:t>
      </w:r>
    </w:p>
    <w:p w14:paraId="1C95A163" w14:textId="77777777" w:rsidR="0006753E" w:rsidRDefault="0006753E" w:rsidP="0006753E">
      <w:r>
        <w:t>While quantitative interviews may be recorded, it is less common than in qualitative research, as the closed-ended questions and standardized format make it easier for the interviewer to take notes without disrupting the flow of the conversation. However, recording may be necessary if the interview includes open-ended questions or if the researcher wishes to assess interviewer effects. By comparing recordings of multiple interviews, researchers can identify any systematic differences in how questions were presented that may have influenced respondents' answers.</w:t>
      </w:r>
    </w:p>
    <w:p w14:paraId="1317AB5D" w14:textId="77777777" w:rsidR="0006753E" w:rsidRDefault="0006753E" w:rsidP="0006753E">
      <w:r>
        <w:t>One of the challenges of conducting quantitative interviews is the time and labor involved in gathering data from a large, representative sample. Technological advances such as computer-assisted telephone interviewing (CATI) and Automated Computer Telephone Interviewing (ACTI) have helped to streamline this process by allowing interviewers to enter responses directly into a computer program or automating the question-and-answer process entirely. However, these methods also have limitations, such as the inability to capture nonverbal cues or build rapport with respondents, and the potential for respondent fatigue or disengagement.</w:t>
      </w:r>
    </w:p>
    <w:p w14:paraId="74E9C914" w14:textId="77777777" w:rsidR="0006753E" w:rsidRDefault="0006753E" w:rsidP="0006753E">
      <w:r>
        <w:t>Another challenge facing quantitative interviewers is the growing public reluctance to participate in telephone surveys, due in part to the rise of "push polling" and other forms of political campaigning disguised as research. This trend underscores the importance of clearly communicating the purpose and legitimacy of the research to potential respondents and building trust through professional and ethical conduct.</w:t>
      </w:r>
    </w:p>
    <w:p w14:paraId="5327D6FF" w14:textId="6FF137CE" w:rsidR="00A626FE" w:rsidRPr="000E309B" w:rsidRDefault="0006753E" w:rsidP="00B97B13">
      <w:r>
        <w:lastRenderedPageBreak/>
        <w:t>Despite these challenges, quantitative interviews remain a valuable tool for researchers seeking to gather standardized, representative data on a wide range of topics. By combining the structure and reliability of survey research with the flexibility and personal interaction of interviewing, this method offers a unique perspective on social phenomena that can complement and enrich other forms of data collection.</w:t>
      </w:r>
    </w:p>
    <w:p w14:paraId="5327D700" w14:textId="7BF982D7" w:rsidR="00A626FE" w:rsidRDefault="00D14B33" w:rsidP="00C704D7">
      <w:pPr>
        <w:pStyle w:val="Heading4"/>
      </w:pPr>
      <w:r w:rsidRPr="000E309B">
        <w:t>Analysis of Quantitative Interview Data</w:t>
      </w:r>
    </w:p>
    <w:p w14:paraId="0E5048D1" w14:textId="77777777" w:rsidR="001C4E56" w:rsidRDefault="001C4E56" w:rsidP="001C4E56">
      <w:r>
        <w:t>The analysis of quantitative interview data typically involves coding responses numerically, entering the data into a statistical software program, and using various analytical techniques to identify patterns and relationships among variables. For closed-ended questions, this process is relatively straightforward, as each response option is assigned a numerical value (e.g., "no" = 0, "yes" = 1) and the data can be easily tabulated and analyzed.</w:t>
      </w:r>
    </w:p>
    <w:p w14:paraId="3C81802B" w14:textId="77777777" w:rsidR="001C4E56" w:rsidRDefault="001C4E56" w:rsidP="001C4E56">
      <w:r>
        <w:t>However, when quantitative interviews include open-ended questions, the coding process becomes more complex. In these cases, the researcher must find a way to convert the qualitative responses into numerical data that can be statistically analyzed. This process can be approached inductively or deductively, depending on the research questions and the nature of the responses.</w:t>
      </w:r>
    </w:p>
    <w:p w14:paraId="6BA6DD14" w14:textId="77777777" w:rsidR="001C4E56" w:rsidRDefault="001C4E56" w:rsidP="001C4E56">
      <w:r>
        <w:t>In an inductive approach, the researcher begins by reviewing the open-ended responses and identifying common themes or categories that emerge from the data. For example, if respondents were asked to describe their reasons for supporting a particular political candidate, the researcher might identify categories such as "experience," "policy positions," "personal qualities," and "party affiliation." Each of these categories would then be assigned a numerical value, and the responses would be coded accordingly. The researcher could then analyze the frequency and distribution of these categories across different subgroups of respondents.</w:t>
      </w:r>
    </w:p>
    <w:p w14:paraId="69A758C1" w14:textId="4C61ACB9" w:rsidR="001C4E56" w:rsidRDefault="001C4E56" w:rsidP="001C4E56">
      <w:r>
        <w:t xml:space="preserve">In a deductive approach, the researcher begins with a predetermined set of categories or response options, which are developed based on prior research, theory, or expert knowledge. For example, if respondents were asked to describe their level of satisfaction with a particular product or service, the researcher might use a five-point scale ranging from "very dissatisfied" to "very satisfied." The researcher would then review each open-ended response and assign it to the category that most closely matches its sentiment. This approach allows for greater standardization and comparability across </w:t>
      </w:r>
      <w:r w:rsidR="008E7AAC">
        <w:t>responses but</w:t>
      </w:r>
      <w:r>
        <w:t xml:space="preserve"> may miss important nuances or unanticipated themes.</w:t>
      </w:r>
    </w:p>
    <w:p w14:paraId="5A16D057" w14:textId="77777777" w:rsidR="001C4E56" w:rsidRDefault="001C4E56" w:rsidP="001C4E56">
      <w:r>
        <w:t>Regardless of the approach used, the process of quantifying open-ended responses inherently involves some loss of detail and context. By reducing complex, qualitative data to numerical values, researchers may overlook important insights or relationships that could be captured through a more in-depth, interpretive analysis. Additionally, the reliability and validity of the coding process may be affected by the researchers' biases, assumptions, and interpretations.</w:t>
      </w:r>
    </w:p>
    <w:p w14:paraId="0EB66DD5" w14:textId="2C7C2724" w:rsidR="001C4E56" w:rsidRDefault="001C4E56" w:rsidP="001C4E56">
      <w:r>
        <w:t xml:space="preserve">To mitigate these limitations, researchers using quantitative interviews should carefully consider the design and wording of open-ended questions to elicit responses that are clear, concise, and relevant to the research objectives. They should also establish clear coding protocols and </w:t>
      </w:r>
      <w:r>
        <w:lastRenderedPageBreak/>
        <w:t xml:space="preserve">guidelines to ensure consistency and reliability across </w:t>
      </w:r>
      <w:r w:rsidR="008E7AAC">
        <w:t>coders and</w:t>
      </w:r>
      <w:r>
        <w:t xml:space="preserve"> use multiple coders to assess inter-rater reliability. Finally, researchers should be transparent about the limitations of their coding approach and the potential impact on their findings.</w:t>
      </w:r>
    </w:p>
    <w:p w14:paraId="5327D702" w14:textId="3EA90683" w:rsidR="00A626FE" w:rsidRPr="000E309B" w:rsidRDefault="001C4E56" w:rsidP="003571E3">
      <w:r>
        <w:t>Despite these challenges, the inclusion of open-ended questions in quantitative interviews can provide valuable insights and context that may be missed by closed-ended questions alone. By combining the depth and flexibility of qualitative data with the standardization and generalizability of quantitative analysis, researchers can gain a more comprehensive understanding of the social phenomena they are studying.</w:t>
      </w:r>
    </w:p>
    <w:p w14:paraId="5327D703" w14:textId="2E1D79F4" w:rsidR="00A626FE" w:rsidRPr="000E309B" w:rsidRDefault="00D14B33" w:rsidP="00C704D7">
      <w:pPr>
        <w:pStyle w:val="Heading4"/>
      </w:pPr>
      <w:r w:rsidRPr="000E309B">
        <w:t>Strengths and Weaknesses of Quantitative Interviews</w:t>
      </w:r>
    </w:p>
    <w:p w14:paraId="3C573645" w14:textId="77777777" w:rsidR="00F3462C" w:rsidRDefault="00F3462C" w:rsidP="00F3462C">
      <w:r>
        <w:t>When evaluating the merits of quantitative interviews, researchers often compare them to those of self-administered questionnaires. One key advantage of interviews is the potential for higher response rates. While it is relatively easy for individuals to decline participation in a mailed or online survey, it may be more difficult to refuse a direct request from an interviewer. The personal interaction and rapport established in an interview setting can also encourage respondents to provide more complete and thoughtful answers.</w:t>
      </w:r>
    </w:p>
    <w:p w14:paraId="705E5419" w14:textId="090FB1B2" w:rsidR="00F3462C" w:rsidRDefault="00F3462C" w:rsidP="00F3462C">
      <w:r>
        <w:t xml:space="preserve">Another benefit of quantitative interviews is the opportunity for clarification and explanation. If a respondent is unsure about the meaning of a question or answer option, the interviewer can provide additional context or examples to ensure that the response accurately reflects the respondent's intended meaning. This can help to reduce measurement </w:t>
      </w:r>
      <w:r w:rsidR="004C4EA3">
        <w:t>errors</w:t>
      </w:r>
      <w:r>
        <w:t xml:space="preserve"> and improve the validity of the data.</w:t>
      </w:r>
    </w:p>
    <w:p w14:paraId="7536A94D" w14:textId="77777777" w:rsidR="00F3462C" w:rsidRDefault="00F3462C" w:rsidP="00F3462C">
      <w:r>
        <w:t>However, these advantages come with some notable drawbacks. Perhaps the most significant concern for quantitative researchers is the potential for interviewer effects. While self-administered questionnaires may be subject to some variation in how they are presented or interpreted, the presence of a human interviewer introduces a wide range of additional variables that can influence respondents' answers. These might include the interviewer's tone of voice, body language, personal characteristics (e.g., age, gender, race), and even subtle cues that convey their own attitudes or expectations. Such effects can compromise the consistency and objectivity of the data, which are critical for quantitative analysis.</w:t>
      </w:r>
    </w:p>
    <w:p w14:paraId="0E3E04B9" w14:textId="77777777" w:rsidR="00F3462C" w:rsidRDefault="00F3462C" w:rsidP="00F3462C">
      <w:r>
        <w:t>Another consideration is the time and cost involved in conducting interviews. While mailing or distributing questionnaires can be relatively inexpensive and efficient, especially with large samples, interviewing respondents individually requires significant time and labor. Researchers must recruit and train interviewers, schedule and conduct interviews, and transcribe and code the responses. These activities can be costly and may limit the feasible sample size or geographic scope of the study.</w:t>
      </w:r>
    </w:p>
    <w:p w14:paraId="6D1604A6" w14:textId="77777777" w:rsidR="00F3462C" w:rsidRDefault="00F3462C" w:rsidP="00F3462C">
      <w:r>
        <w:t xml:space="preserve">On the other hand, self-administered questionnaires have their own limitations. Respondents may be less likely to complete a lengthy or complex questionnaire on their own, leading to lower response rates or missing data. They may also misinterpret questions or provide less detailed or </w:t>
      </w:r>
      <w:r>
        <w:lastRenderedPageBreak/>
        <w:t>thoughtful answers without the opportunity for clarification or probing. Additionally, self-administered questionnaires may exclude certain populations who have difficulty reading or writing, or who lack access to the necessary technology.</w:t>
      </w:r>
    </w:p>
    <w:p w14:paraId="7791314D" w14:textId="77777777" w:rsidR="00F3462C" w:rsidRDefault="00F3462C" w:rsidP="00F3462C">
      <w:r>
        <w:t>Ultimately, the choice between quantitative interviews and self-administered questionnaires depends on a variety of factors, including the research questions, the target population, the available resources, and the desired level of depth and detail in the data. In some cases, a mixed-mode approach that combines both methods may be appropriate, allowing researchers to capitalize on the strengths of each while mitigating their weaknesses.</w:t>
      </w:r>
    </w:p>
    <w:p w14:paraId="48B1B52B" w14:textId="38CB94E1" w:rsidR="002516CB" w:rsidRDefault="00F3462C" w:rsidP="00F3462C">
      <w:r>
        <w:t>Regardless of the specific approach chosen, it is important for researchers to carefully consider the potential sources of bias and error in their data collection methods and to take steps to minimize them through rigorous design, training, and quality control procedures. By being transparent about the limitations and trade-offs of their chosen methods, researchers can help readers to interpret their findings appropriately and to assess the validity and generalizability of their conclusions.</w:t>
      </w:r>
    </w:p>
    <w:p w14:paraId="5327D706" w14:textId="2FA0CC0A" w:rsidR="00A626FE" w:rsidRPr="000E309B" w:rsidRDefault="00490867" w:rsidP="006A512F">
      <w:pPr>
        <w:pStyle w:val="Heading3"/>
      </w:pPr>
      <w:bookmarkStart w:id="162" w:name="_Toc169156782"/>
      <w:r>
        <w:t>I</w:t>
      </w:r>
      <w:r w:rsidR="00D14B33" w:rsidRPr="000E309B">
        <w:t xml:space="preserve">ssues </w:t>
      </w:r>
      <w:r w:rsidR="00687E06">
        <w:t>t</w:t>
      </w:r>
      <w:r w:rsidR="00D14B33" w:rsidRPr="000E309B">
        <w:t xml:space="preserve">o </w:t>
      </w:r>
      <w:r>
        <w:t>C</w:t>
      </w:r>
      <w:r w:rsidR="00D14B33" w:rsidRPr="000E309B">
        <w:t>onsider</w:t>
      </w:r>
      <w:bookmarkEnd w:id="162"/>
    </w:p>
    <w:p w14:paraId="45789A9D" w14:textId="77777777" w:rsidR="005823E5" w:rsidRDefault="005823E5" w:rsidP="005823E5">
      <w:r>
        <w:t>When conducting interviews, whether qualitative or quantitative, researchers must be attentive to three key issues that arise from the social interaction and power dynamics inherent in this method: the power differential between researcher and respondent, the choice of interview location, and the development of rapport and respect in the researcher-respondent relationship.</w:t>
      </w:r>
    </w:p>
    <w:p w14:paraId="572542C6" w14:textId="324842C5" w:rsidR="005823E5" w:rsidRDefault="005823E5" w:rsidP="005823E5">
      <w:r>
        <w:t>The power imbalance between researchers and participants is a critical ethical concern in interviews, as the researcher sets the agenda, controls the conversation, and asks respondents to share personal information without reciprocating. To mitigate this imbalance, researchers can take steps to build trust and rapport, such as clearly communicating the purpose and procedures of the study, sharing decision-making power where appropriate, and being transparent about data use and privacy protections</w:t>
      </w:r>
      <w:r w:rsidR="00C01F3E">
        <w:t xml:space="preserve"> </w:t>
      </w:r>
      <w:r w:rsidR="00C01F3E">
        <w:fldChar w:fldCharType="begin"/>
      </w:r>
      <w:r w:rsidR="007C07B4">
        <w:instrText xml:space="preserve"> ADDIN ZOTERO_ITEM CSL_CITATION {"citationID":"vSf2d3Wj","properties":{"formattedCitation":"[117]","plainCitation":"[117]","noteIndex":0},"citationItems":[{"id":165,"uris":["http://zotero.org/users/5015692/items/HUVVRKLR"],"itemData":{"id":165,"type":"article-journal","container-title":"Qualitative Report","page":"36","title":"The Influence of Power Shifts in Data Collection and Analysis Stages: A Focus on Qualitative Research Interview.","volume":"18","author":[{"family":"Anyan","given":"Frederick"}],"issued":{"date-parts":[["2013"]]}}}],"schema":"https://github.com/citation-style-language/schema/raw/master/csl-citation.json"} </w:instrText>
      </w:r>
      <w:r w:rsidR="00C01F3E">
        <w:fldChar w:fldCharType="separate"/>
      </w:r>
      <w:r w:rsidR="007C07B4" w:rsidRPr="007C07B4">
        <w:t>[117]</w:t>
      </w:r>
      <w:r w:rsidR="00C01F3E">
        <w:fldChar w:fldCharType="end"/>
      </w:r>
      <w:r>
        <w:t>. However, researchers must also be careful not to exploit this trust or let participants unduly influence the research outcomes.</w:t>
      </w:r>
    </w:p>
    <w:p w14:paraId="758937E8" w14:textId="77777777" w:rsidR="005823E5" w:rsidRDefault="005823E5" w:rsidP="005823E5">
      <w:r>
        <w:t>The choice of interview location is another way to balance power and create a comfortable environment for respondents. Allowing participants to choose a familiar or convenient location, such as their home or office, can help them feel more at ease and in control. However, researchers must also consider the potential for distractions or interruptions in these settings, as well as any safety or accessibility concerns. Suggesting multiple options and discussing the importance of privacy and focus can help ensure a productive interview.</w:t>
      </w:r>
    </w:p>
    <w:p w14:paraId="3239462C" w14:textId="16185382" w:rsidR="005823E5" w:rsidRDefault="005823E5" w:rsidP="005823E5">
      <w:r>
        <w:t xml:space="preserve">Perhaps the most important factor in successful interviewing is establishing a respectful and culturally sensitive relationship with respondents. This requires active listening, empathy, and a non-judgmental attitude, even when researchers may disagree with participants' views. Probing for more information is a key skill in both qualitative and quantitative interviews, but the approach may differ. In quantitative interviews, probes should be standardized and neutral, avoiding any </w:t>
      </w:r>
      <w:r>
        <w:lastRenderedPageBreak/>
        <w:t xml:space="preserve">indication of agreement or disagreement. In qualitative interviews, probes can be more flexible and responsive to the participant's </w:t>
      </w:r>
      <w:r w:rsidR="00566C66">
        <w:t>input but</w:t>
      </w:r>
      <w:r>
        <w:t xml:space="preserve"> should still be prepared in advance to avoid awkward or leading questions.</w:t>
      </w:r>
    </w:p>
    <w:p w14:paraId="5327D718" w14:textId="0208F390" w:rsidR="00A626FE" w:rsidRDefault="005823E5" w:rsidP="008A3AC9">
      <w:r>
        <w:t>Ultimately, the goal of interviewing is to gather rich and reliable data by creating a space where respondents feel heard, valued, and respected. This requires a delicate balance of power, place, and rapport, as well as a commitment to ethical and rigorous research practices. By attending to these issues and developing their skills as active listeners and sensitive communicators, researchers can conduct interviews that yield valuable insights while upholding the rights and dignity of their participants.</w:t>
      </w:r>
    </w:p>
    <w:p w14:paraId="3F94EF7B" w14:textId="7ECA1F52" w:rsidR="0095124D" w:rsidRDefault="006A4085" w:rsidP="0095124D">
      <w:pPr>
        <w:pStyle w:val="Heading4"/>
      </w:pPr>
      <w:r>
        <w:t>Interview Bias and Reflexivity</w:t>
      </w:r>
    </w:p>
    <w:p w14:paraId="7489476D" w14:textId="77777777" w:rsidR="006A4085" w:rsidRDefault="006A4085" w:rsidP="006A4085">
      <w:r>
        <w:t>In any interview-based research, the interviewer plays a crucial role in shaping the data that is collected. The interviewer's own background, beliefs, experiences, and assumptions can influence the way they ask questions, respond to participants, and interpret the data. This phenomenon, known as interviewer bias, is a potential threat to the validity and reliability of interview findings. As such, it is essential for researchers to be aware of and actively mitigate their own biases throughout the research process.</w:t>
      </w:r>
    </w:p>
    <w:p w14:paraId="1EA88C9F" w14:textId="77777777" w:rsidR="006A4085" w:rsidRDefault="006A4085" w:rsidP="006A4085">
      <w:r>
        <w:t>One key strategy for addressing interviewer bias is reflexivity, or the practice of self-awareness and self-examination. Reflexivity involves critically reflecting on one's own position, perspective, and power in relation to the research topic and participants. By engaging in reflexivity, researchers can become more attuned to the ways in which their own subjectivities may be influencing the interview process and take steps to minimize their impact.</w:t>
      </w:r>
    </w:p>
    <w:p w14:paraId="5D5E1B8F" w14:textId="77777777" w:rsidR="006A4085" w:rsidRDefault="006A4085" w:rsidP="006A4085">
      <w:r>
        <w:t>For example, a researcher studying the experiences of immigrant workers may have strong political views on issues of labor and immigration. If left unchecked, these views could lead the researcher to ask leading questions, prioritize certain responses over others, or interpret the data in a biased manner. By engaging in reflexivity, however, the researcher can become more aware of their own stance and actively work to bracket their biases during the interview and analysis process.</w:t>
      </w:r>
    </w:p>
    <w:p w14:paraId="7B54310B" w14:textId="6300A32E" w:rsidR="006A4085" w:rsidRDefault="006A4085" w:rsidP="006A4085">
      <w:r>
        <w:t>Strategies for practicing reflexivity may include keeping a research journal to document one's thoughts, feelings, and reactions throughout the study, seeking feedback from colleagues or participants on one's interviewing style and interpretations, and explicitly acknowledging one's own position and perspective in research reports and publications. As Berger (2015) notes, "Researchers need to increasingly focus on self-knowledge and sensitivity; better understand the role of the self in the creation of knowledge; carefully self-monitor the impact of their biases, beliefs, and personal experiences on their research; and maintain the balance between the personal and the universal"</w:t>
      </w:r>
      <w:r w:rsidR="003B1499">
        <w:t xml:space="preserve"> </w:t>
      </w:r>
      <w:r w:rsidR="00C31ACA">
        <w:fldChar w:fldCharType="begin"/>
      </w:r>
      <w:r w:rsidR="007C07B4">
        <w:instrText xml:space="preserve"> ADDIN ZOTERO_ITEM CSL_CITATION {"citationID":"270RQZsZ","properties":{"formattedCitation":"[118]","plainCitation":"[118]","noteIndex":0},"citationItems":[{"id":347,"uris":["http://zotero.org/users/5015692/items/GGT8SXIR"],"itemData":{"id":347,"type":"article-journal","abstract":"This article addresses potential effects on reflexivity of researcher?s social position (e.g. gender, age, race, immigration status, sexual orientation), personal experiences, and political and professional beliefs. Because reflexivity is a major strategy for quality control in qualitative research, understanding how it may be impacted by the characteristics and experiences of the researcher is of paramount importance. Benefits and challenges to reflexivity under three types of researcher?s position are discussed and illustrated by means of case examples: (1) reflexivity when researcher shares the experience of study participants, (2) reflexivity when researcher moves from the position of an outsider to the position of an insider in the course of the study, and (3) reflexivity when researcher has no personal familiarity or experience with what is being studied. Strategies are offered for harvesting the benefits of researcher?s familiarity with the subject and for curbing its potentially negative effects. Directions for future research are suggested.","container-title":"Qualitative Research","DOI":"10.1177/1468794112468475","ISSN":"1468-7941","issue":"2","note":"publisher: SAGE Publications","page":"219-234","title":"Now I see it, now I don’t: researcher’s position and reflexivity in qualitative research","volume":"15","author":[{"family":"Berger","given":"Roni"}],"issued":{"date-parts":[["2015",4,1]]}}}],"schema":"https://github.com/citation-style-language/schema/raw/master/csl-citation.json"} </w:instrText>
      </w:r>
      <w:r w:rsidR="00C31ACA">
        <w:fldChar w:fldCharType="separate"/>
      </w:r>
      <w:r w:rsidR="007C07B4" w:rsidRPr="007C07B4">
        <w:t>[118]</w:t>
      </w:r>
      <w:r w:rsidR="00C31ACA">
        <w:fldChar w:fldCharType="end"/>
      </w:r>
      <w:r>
        <w:t>.</w:t>
      </w:r>
    </w:p>
    <w:p w14:paraId="265E13C7" w14:textId="78517FFB" w:rsidR="006A4085" w:rsidRDefault="006A4085" w:rsidP="006A4085">
      <w:r>
        <w:t xml:space="preserve">Another approach to mitigating interviewer bias is to build in safeguards and checks throughout the research process. For example, researchers may choose to work with a diverse team of interviewers and coders to ensure that multiple perspectives are represented in the data collection </w:t>
      </w:r>
      <w:r>
        <w:lastRenderedPageBreak/>
        <w:t>and analysis. They may also use techniques such as member checking, where participants are asked to review and provide feedback on the researcher's interpretations, to ensure that the findings accurately reflect the participants' experiences and perspectives</w:t>
      </w:r>
      <w:r w:rsidR="00C256A1">
        <w:t xml:space="preserve"> </w:t>
      </w:r>
      <w:r w:rsidR="00C256A1">
        <w:fldChar w:fldCharType="begin"/>
      </w:r>
      <w:r w:rsidR="007C07B4">
        <w:instrText xml:space="preserve"> ADDIN ZOTERO_ITEM CSL_CITATION {"citationID":"AFaZrE3s","properties":{"formattedCitation":"[119]","plainCitation":"[119]","noteIndex":0},"citationItems":[{"id":349,"uris":["http://zotero.org/users/5015692/items/IQJ8KUM2"],"itemData":{"id":349,"type":"article-journal","abstract":"The trustworthiness of results is the bedrock of high quality qualitative research. Member checking, also known as participant or respondent validation, is a technique for exploring the credibility of results. Data or results are returned to participants to check for accuracy and resonance with their experiences. Member checking is often mentioned as one in a list of validation techniques. This simplistic reporting might not acknowledge the value of using the method, nor its juxtaposition with the interpretative stance of qualitative research. In this commentary, we critique how member checking has been used in published research, before describing and evaluating an innovative in-depth member checking technique, Synthesized Member Checking. The method was used in a study with patients diagnosed with melanoma. Synthesized Member Checking addresses the co-constructed nature of knowledge by providing participants with the opportunity to engage with, and add to, interview and interpreted data, several months after their semi-structured interview.","container-title":"Qualitative Health Research","DOI":"10.1177/1049732316654870","ISSN":"1049-7323","issue":"13","journalAbbreviation":"Qual Health Res","note":"publisher: SAGE Publications Inc","page":"1802-1811","title":"Member Checking: A Tool to Enhance Trustworthiness or Merely a Nod to Validation?","volume":"26","author":[{"family":"Birt","given":"Linda"},{"family":"Scott","given":"Suzanne"},{"family":"Cavers","given":"Debbie"},{"family":"Campbell","given":"Christine"},{"family":"Walter","given":"Fiona"}],"issued":{"date-parts":[["2016",11,1]]}}}],"schema":"https://github.com/citation-style-language/schema/raw/master/csl-citation.json"} </w:instrText>
      </w:r>
      <w:r w:rsidR="00C256A1">
        <w:fldChar w:fldCharType="separate"/>
      </w:r>
      <w:r w:rsidR="007C07B4" w:rsidRPr="007C07B4">
        <w:t>[119]</w:t>
      </w:r>
      <w:r w:rsidR="00C256A1">
        <w:fldChar w:fldCharType="end"/>
      </w:r>
      <w:r>
        <w:t>.</w:t>
      </w:r>
    </w:p>
    <w:p w14:paraId="17B74183" w14:textId="0F323A35" w:rsidR="006A4085" w:rsidRPr="006A4085" w:rsidRDefault="006A4085" w:rsidP="006A4085">
      <w:r>
        <w:t>Ultimately, while it may not be possible to eliminate interviewer bias entirely, by engaging in reflexivity and implementing safeguards, researchers can work to minimize its impact and produce more valid, reliable, and trustworthy interview findings. As the field of qualitative research continues to evolve, it is likely that new strategies and techniques for addressing interviewer bias will emerge, further strengthening the rigor and credibility of interview-based research.</w:t>
      </w:r>
    </w:p>
    <w:p w14:paraId="5327D719" w14:textId="4BDE4CBA" w:rsidR="00A626FE" w:rsidRPr="000E309B" w:rsidRDefault="00687E06" w:rsidP="00687E06">
      <w:pPr>
        <w:pStyle w:val="Heading3"/>
      </w:pPr>
      <w:bookmarkStart w:id="163" w:name="_Toc169156783"/>
      <w:r>
        <w:t>C</w:t>
      </w:r>
      <w:r w:rsidR="00D14B33" w:rsidRPr="000E309B">
        <w:t xml:space="preserve">onducting the </w:t>
      </w:r>
      <w:r>
        <w:t>I</w:t>
      </w:r>
      <w:r w:rsidR="00D14B33" w:rsidRPr="000E309B">
        <w:t>nterview</w:t>
      </w:r>
      <w:bookmarkEnd w:id="163"/>
    </w:p>
    <w:p w14:paraId="615316B2" w14:textId="77777777" w:rsidR="00AF4633" w:rsidRDefault="00AF4633" w:rsidP="00AF4633">
      <w:r>
        <w:t>Before conducting an interview, it is essential for interviewers to prepare a "kit" containing all the necessary materials and information. This should include a cover letter from the research team or sponsor, multiple copies of the interview guide or questionnaire, photo identification, and contact information for respondents to verify the interviewer's credentials. Scheduling the interview in advance and arriving on time demonstrates professionalism and respect for the respondent's time.</w:t>
      </w:r>
    </w:p>
    <w:p w14:paraId="040D8131" w14:textId="77777777" w:rsidR="00AF4633" w:rsidRDefault="00AF4633" w:rsidP="00AF4633">
      <w:r>
        <w:t>When introducing themselves and the study, interviewers should strike a confident and assertive tone, clearly stating the purpose and importance of the research without using jargon or excessive detail. Assuring confidentiality and obtaining explicit permission to record the interview (if applicable) are critical for building trust and rapport. Interviewers should also take notes on key points and observations, even if the conversation is being recorded.</w:t>
      </w:r>
    </w:p>
    <w:p w14:paraId="507701DC" w14:textId="77777777" w:rsidR="00AF4633" w:rsidRDefault="00AF4633" w:rsidP="00AF4633">
      <w:r>
        <w:t>During the interview itself, the approach may differ depending on whether the study is quantitative or qualitative. In quantitative interviews, it is crucial to follow the script and ask questions exactly as written, in the prescribed order, to ensure standardization and comparability across respondents. If a participant answers a question prematurely, the interviewer should still ask it again when it appears in the guide and record both responses. In qualitative interviews, there may be more flexibility to explore unanticipated topics or follow the respondent's lead, but any issues with the questions should be addressed in advance through piloting and rehearsal.</w:t>
      </w:r>
    </w:p>
    <w:p w14:paraId="13B09619" w14:textId="77777777" w:rsidR="00AF4633" w:rsidRDefault="00AF4633" w:rsidP="00AF4633">
      <w:r>
        <w:t>Regardless of the approach, interviewers should avoid interrupting or finishing the respondent's sentences, and should use probing techniques to elicit more detailed and reflective answers. These may include silent pauses, minimal encouragers (e.g., "uh-huh," "okay"), requests for elaboration, and reflective statements that summarize or restate the respondent's comments. However, interviewers must be careful not to express approval or disapproval of the responses, or to ask leading or suggestive questions that could bias the data.</w:t>
      </w:r>
    </w:p>
    <w:p w14:paraId="1E014B6C" w14:textId="77777777" w:rsidR="00AF4633" w:rsidRDefault="00AF4633" w:rsidP="00AF4633">
      <w:r>
        <w:t xml:space="preserve">After the interview, it is important to thank the respondent, provide information about the expected timeline for results, and exit gracefully. Immediately afterwards, interviewers should take a few minutes to write down any additional notes or impressions that could help contextualize the data, as well as any challenges or concerns that arose during the interview. This debriefing process can </w:t>
      </w:r>
      <w:r>
        <w:lastRenderedPageBreak/>
        <w:t>help improve the quality and trustworthiness of the data, as well as the interviewer's skills and self-awareness.</w:t>
      </w:r>
    </w:p>
    <w:p w14:paraId="77EFB7F9" w14:textId="360B1AFF" w:rsidR="00F3081B" w:rsidRDefault="00AF4633" w:rsidP="00AF4633">
      <w:r>
        <w:t>By following these guidelines and techniques, interviewers can create a professional, ethical, and productive environment for gathering rich and reliable data through interviews. While the specific approach may vary depending on the research questions and design, the core principles of respect, rapport, and rigor remain essential for any successful interview study.</w:t>
      </w:r>
    </w:p>
    <w:p w14:paraId="5CA55946" w14:textId="1FCF0DD7" w:rsidR="00D736B2" w:rsidRDefault="008221D1" w:rsidP="008221D1">
      <w:pPr>
        <w:pStyle w:val="Heading3"/>
      </w:pPr>
      <w:bookmarkStart w:id="164" w:name="_Toc169156784"/>
      <w:r>
        <w:t>Using Technology in Interview Research</w:t>
      </w:r>
      <w:bookmarkEnd w:id="164"/>
    </w:p>
    <w:p w14:paraId="6215AB20" w14:textId="77777777" w:rsidR="00E27997" w:rsidRDefault="00E27997" w:rsidP="00E27997">
      <w:r>
        <w:t>In recent years, advances in technology have transformed the landscape of interview research, offering new tools and techniques for collecting, analyzing, and sharing qualitative data. From video conferencing platforms to digital recording devices and qualitative data analysis software, researchers now have access to a wide range of technologies that can facilitate and enhance the interview process.</w:t>
      </w:r>
    </w:p>
    <w:p w14:paraId="2730B06E" w14:textId="38B60539" w:rsidR="00E27997" w:rsidRDefault="00E27997" w:rsidP="00E27997">
      <w:r>
        <w:t xml:space="preserve">One of the most significant ways in which technology has impacted interview research is by enabling researchers to conduct interviews remotely. With the proliferation of video conferencing platforms like Zoom, Skype, and Microsoft Teams, researchers can now connect with participants from anywhere in the world, without the need for travel or in-person meetings. This has opened new possibilities for research, particularly in the context of the COVID-19 pandemic, where face-to-face interactions have been limited </w:t>
      </w:r>
      <w:r w:rsidR="002E3967">
        <w:fldChar w:fldCharType="begin"/>
      </w:r>
      <w:r w:rsidR="007C07B4">
        <w:instrText xml:space="preserve"> ADDIN ZOTERO_ITEM CSL_CITATION {"citationID":"FFre8e27","properties":{"formattedCitation":"[120]","plainCitation":"[120]","noteIndex":0},"citationItems":[{"id":351,"uris":["http://zotero.org/users/5015692/items/LTUQXBIJ"],"itemData":{"id":351,"type":"article-journal","abstract":"Advances in communication technologies offer new opportunities for the conduct of qualitative research. Among these, Zoom?an innovative videoconferencing platform?has a number of unique features that enhance its potential appeal to qualitative and mixed-methods researchers. Although studies have explored the use of information and communication technologies for conducting research, few have explored both researcher and participant perspectives on the use of web and videoconferencing platforms. Further, data are lacking on the benefits and challenges of using Zoom as a data collection method. In this study, we explore the feasibility and acceptability of using Zoom to collect qualitative interview data within a health research context in order to better understand its suitability for qualitative and mixed-methods researchers. We asked 16 practice nurses who participated in online qualitative interviews about their experiences of using Zoom and concurrently recorded researcher observations. Although several participants experienced technical difficulties, most described their interview experience as highly satisfactory and generally rated Zoom above alternative interviewing mediums such as face-to-face, telephone, and other videoconferencing services, platforms, and products. Findings suggest the viability of Zoom as a tool for collection of qualitative data because of its relative ease of use, cost-effectiveness, data management features, and security options. Further research exploring the utility of Zoom is recommended in order to critically assess and advance innovations in online methods.","container-title":"International Journal of Qualitative Methods","DOI":"10.1177/1609406919874596","ISSN":"1609-4069","note":"publisher: SAGE Publications Inc","page":"1609406919874596","title":"Using Zoom Videoconferencing for Qualitative Data Collection: Perceptions and Experiences of Researchers and Participants","volume":"18","author":[{"family":"Archibald","given":"Mandy M."},{"family":"Ambagtsheer","given":"Rachel C."},{"family":"Casey","given":"Mavourneen G."},{"family":"Lawless","given":"Michael"}],"issued":{"date-parts":[["2019",1,1]]}}}],"schema":"https://github.com/citation-style-language/schema/raw/master/csl-citation.json"} </w:instrText>
      </w:r>
      <w:r w:rsidR="002E3967">
        <w:fldChar w:fldCharType="separate"/>
      </w:r>
      <w:r w:rsidR="007C07B4" w:rsidRPr="007C07B4">
        <w:t>[120]</w:t>
      </w:r>
      <w:r w:rsidR="002E3967">
        <w:fldChar w:fldCharType="end"/>
      </w:r>
      <w:r>
        <w:t>.</w:t>
      </w:r>
    </w:p>
    <w:p w14:paraId="52854A38" w14:textId="7369A0DD" w:rsidR="00E27997" w:rsidRDefault="00E27997" w:rsidP="00E27997">
      <w:r>
        <w:t>Remote interviewing offers several advantages, including increased flexibility, reduced costs, and the ability to reach a more diverse range of participants. However, it also presents unique challenges, such as the potential for technical difficulties, the lack of nonverbal cues, and the need to establish rapport and trust in a virtual environment. To mitigate these challenges, researchers must be proactive in their planning and preparation, testing their technology in advance, providing clear instructions to participants, and using strategies to build rapport, such as beginning with casual conversation or using video to create a more personal connection</w:t>
      </w:r>
      <w:r w:rsidR="0062701B">
        <w:t xml:space="preserve"> </w:t>
      </w:r>
      <w:r w:rsidR="0062701B">
        <w:fldChar w:fldCharType="begin"/>
      </w:r>
      <w:r w:rsidR="007C07B4">
        <w:instrText xml:space="preserve"> ADDIN ZOTERO_ITEM CSL_CITATION {"citationID":"HWbbN0Dk","properties":{"formattedCitation":"[121]","plainCitation":"[121]","noteIndex":0},"citationItems":[{"id":353,"uris":["http://zotero.org/users/5015692/items/FYC8SWDC"],"itemData":{"id":353,"type":"article-journal","abstract":"Qualitative researchers face unique opportunities and challenges as a result of the disruption of COVID-19. Although the pandemic represents a unique opportunity to study the crisis itself, social distancing mandates are restricting traditional face-to-face investigations of all kinds. In this article, we describe options and resources for researchers who find themselves needing to alter their study designs from face-to-face qualitative data collection to a ?socially distant? method. Although technologies are constantly changing, we review the latest videoconferencing services available to researchers and provide guidance on what services might best suit a project?s needs. We describe options for various platforms and applications including information about enhanced security applications for researchers collecting sensitive patient health information. Concerns about these technologies including security of the platform and logistical needs such as computer equipment are also discussed. Special attention is given to ethical issues when transitioning research efforts to online venues.","container-title":"International Journal of Qualitative Methods","DOI":"10.1177/1609406920937875","ISSN":"1609-4069","note":"publisher: SAGE Publications Inc","page":"1609406920937875","title":"Qualitative Data Collection in an Era of Social Distancing","volume":"19","author":[{"family":"Lobe","given":"Bojana"},{"family":"Morgan","given":"David"},{"family":"Hoffman","given":"Kim A."}],"issued":{"date-parts":[["2020",1,1]]}}}],"schema":"https://github.com/citation-style-language/schema/raw/master/csl-citation.json"} </w:instrText>
      </w:r>
      <w:r w:rsidR="0062701B">
        <w:fldChar w:fldCharType="separate"/>
      </w:r>
      <w:r w:rsidR="007C07B4" w:rsidRPr="007C07B4">
        <w:t>[121]</w:t>
      </w:r>
      <w:r w:rsidR="0062701B">
        <w:fldChar w:fldCharType="end"/>
      </w:r>
      <w:r>
        <w:t>.</w:t>
      </w:r>
    </w:p>
    <w:p w14:paraId="01CCB6CD" w14:textId="77777777" w:rsidR="00E27997" w:rsidRDefault="00E27997" w:rsidP="00E27997">
      <w:r>
        <w:t>In addition to remote interviewing, technology has also transformed the way researchers record and analyze interview data. Digital recording devices, such as smartphones or dedicated voice recorders, offer high-quality audio capture and easy file transfer, while transcription software can help researchers quickly and accurately convert recordings to written text. Qualitative data analysis software, such as NVivo, ATLAS.ti, or MAXQDA, provides powerful tools for organizing, coding, and visualizing interview data, enabling researchers to identify patterns and themes more efficiently and systematically.</w:t>
      </w:r>
    </w:p>
    <w:p w14:paraId="4236FDD9" w14:textId="77777777" w:rsidR="00E27997" w:rsidRDefault="00E27997" w:rsidP="00E27997">
      <w:r>
        <w:t xml:space="preserve">For example, a researcher studying the experiences of remote workers during the pandemic might use Zoom to conduct interviews with participants from different regions and industries. They could then use a digital voice recorder to capture high-quality audio of the interviews, which they could transcribe using software like Rev or Otter.ai. Finally, they could import the transcripts into NVivo, where they could code the data based on emerging themes, such as work-life balance, </w:t>
      </w:r>
      <w:r>
        <w:lastRenderedPageBreak/>
        <w:t>communication challenges, or technology adoption, and use visual tools like word clouds or concept maps to explore the relationships between different ideas and experiences.</w:t>
      </w:r>
    </w:p>
    <w:p w14:paraId="32E1C75D" w14:textId="0F99C283" w:rsidR="008221D1" w:rsidRDefault="00E27997" w:rsidP="00E27997">
      <w:r>
        <w:t>While technology offers many benefits for interview research, it is important for researchers to use it thoughtfully and strategically. This means carefully considering the appropriateness of different tools and techniques for a given research question or context, being transparent about the use of technology in research reports and publications, and taking steps to ensure the privacy, security, and confidentiality of participant data. By doing so, researchers can harness the power of technology to enhance the depth, efficiency, and impact of their interview-based research.</w:t>
      </w:r>
    </w:p>
    <w:p w14:paraId="5327D721" w14:textId="6DC8D8C5" w:rsidR="00A626FE" w:rsidRPr="000E309B" w:rsidRDefault="00687E06" w:rsidP="00687E06">
      <w:pPr>
        <w:pStyle w:val="Heading3"/>
      </w:pPr>
      <w:bookmarkStart w:id="165" w:name="_Toc169156785"/>
      <w:r>
        <w:t>F</w:t>
      </w:r>
      <w:r w:rsidR="00D14B33" w:rsidRPr="000E309B">
        <w:t xml:space="preserve">ocus </w:t>
      </w:r>
      <w:r>
        <w:t>G</w:t>
      </w:r>
      <w:r w:rsidR="00D14B33" w:rsidRPr="000E309B">
        <w:t>roups</w:t>
      </w:r>
      <w:bookmarkEnd w:id="165"/>
    </w:p>
    <w:p w14:paraId="72CADF63" w14:textId="14891304" w:rsidR="00FE41CF" w:rsidRDefault="00FE41CF" w:rsidP="00FE41CF">
      <w:r>
        <w:t>Focus groups are a distinct form of qualitative research that combines elements of one-on-one interviews with the added dimension of group interaction. Unlike interviews, where the researcher plays a more active role in guiding the conversation, focus groups are designed to elicit discussion and exchange among participants on a topic determined by the researcher</w:t>
      </w:r>
      <w:r w:rsidR="00C65530">
        <w:t xml:space="preserve"> </w:t>
      </w:r>
      <w:r w:rsidR="00C65530">
        <w:fldChar w:fldCharType="begin"/>
      </w:r>
      <w:r w:rsidR="007C07B4">
        <w:instrText xml:space="preserve"> ADDIN ZOTERO_ITEM CSL_CITATION {"citationID":"AADQdvPz","properties":{"formattedCitation":"[122]","plainCitation":"[122]","noteIndex":0},"citationItems":[{"id":177,"uris":["http://zotero.org/users/5015692/items/JJAIB574"],"itemData":{"id":177,"type":"article-journal","container-title":"Annual review of sociology","issue":"1","page":"129–152","title":"Focus groups","volume":"22","author":[{"family":"Morgan","given":"David L"}],"issued":{"date-parts":[["1996"]]}}}],"schema":"https://github.com/citation-style-language/schema/raw/master/csl-citation.json"} </w:instrText>
      </w:r>
      <w:r w:rsidR="00C65530">
        <w:fldChar w:fldCharType="separate"/>
      </w:r>
      <w:r w:rsidR="007C07B4" w:rsidRPr="007C07B4">
        <w:t>[122]</w:t>
      </w:r>
      <w:r w:rsidR="00C65530">
        <w:fldChar w:fldCharType="end"/>
      </w:r>
      <w:r>
        <w:t>. This dynamic nature of focus groups allows researchers to observe not only what participants say, but also how they interact with and respond to one another, including non-verbal cues and body language.</w:t>
      </w:r>
    </w:p>
    <w:p w14:paraId="5AB88838" w14:textId="7BC16C2D" w:rsidR="00FE41CF" w:rsidRDefault="00FE41CF" w:rsidP="00FE41CF">
      <w:r>
        <w:t xml:space="preserve">The use of focus groups has a long history in applied research, particularly in marketing, business, and government settings. Examples range from assessing the effectiveness of tobacco warnings </w:t>
      </w:r>
      <w:r w:rsidR="00681FA2">
        <w:fldChar w:fldCharType="begin"/>
      </w:r>
      <w:r w:rsidR="007C07B4">
        <w:instrText xml:space="preserve"> ADDIN ZOTERO_ITEM CSL_CITATION {"citationID":"iIgD8E4z","properties":{"formattedCitation":"[123]","plainCitation":"[123]","noteIndex":0},"citationItems":[{"id":171,"uris":["http://zotero.org/users/5015692/items/ZYZTJXMR"],"itemData":{"id":171,"type":"article-journal","container-title":"Journal of Business Research","issue":"1","page":"7–11","title":"The use of visual warnings in social marketing: The case of tobacco","volume":"64","author":[{"family":"Gallopel-Morvan","given":"Karine"},{"family":"Gabriel","given":"Patrick"},{"family":"Le Gall-Ely","given":"Marine"},{"family":"Rieunier","given":"Sophie"},{"family":"Urien","given":"Bertrand"}],"issued":{"date-parts":[["2011"]]}}}],"schema":"https://github.com/citation-style-language/schema/raw/master/csl-citation.json"} </w:instrText>
      </w:r>
      <w:r w:rsidR="00681FA2">
        <w:fldChar w:fldCharType="separate"/>
      </w:r>
      <w:r w:rsidR="007C07B4" w:rsidRPr="007C07B4">
        <w:t>[123]</w:t>
      </w:r>
      <w:r w:rsidR="00681FA2">
        <w:fldChar w:fldCharType="end"/>
      </w:r>
      <w:r>
        <w:t xml:space="preserve"> and obesity prevention campaigns</w:t>
      </w:r>
      <w:r w:rsidR="00681FA2">
        <w:t xml:space="preserve"> </w:t>
      </w:r>
      <w:r w:rsidR="001C76B8">
        <w:fldChar w:fldCharType="begin"/>
      </w:r>
      <w:r w:rsidR="007C07B4">
        <w:instrText xml:space="preserve"> ADDIN ZOTERO_ITEM CSL_CITATION {"citationID":"Dw6752up","properties":{"formattedCitation":"[124]","plainCitation":"[124]","noteIndex":0},"citationItems":[{"id":346,"uris":["http://zotero.org/users/5015692/items/3ICG38LU"],"itemData":{"id":346,"type":"article-journal","abstract":"INTRODUCTION: Given the high prevalence of childhood obesity in the United States, we aimed to investigate youth's understanding of obesity and to  investigate gaps between their nutritional knowledge, dietary habits, and  perceived susceptibility to obesity and its co-morbidities. METHODS: A marketing  firm contracted by Children's Healthcare of Atlanta facilitated a series of focus  group discussions (FGD) to test potential concepts and sample ads for the  development of an obesity awareness campaign. Data were collected in August and  September of 2010 with both overweight and healthy weight 4th-5th grade and  7th-8th grade students. We conducted a secondary analysis of the qualitative FGD  transcripts using inductive thematic coding to identify key themes related to  youth reports of family eating habits (including food preparation, meal  frequency, and eating environment), perceived facilitators and barriers of  healthy diet, and knowledge about obesity and its complications. RESULTS: Across  focus group discussions, mixed attitudes about healthy eating, low perceived risk  of being or becoming obese, and limited knowledge about the health consequences  of obesity may contribute to the rising prevalence of obesity among youth in  Georgia. Most youth were aware that obesity was a problem; yet most overweight  youth felt that their weight was healthy and attributed overweight to genetics or  slow metabolism. CONCLUSIONS: Our analysis suggests that urban youth in Georgia  commonly recognize obesity as a problem, but there is less understanding of the  link to lifestyle choices or the connection to future morbidities, suggesting a  need for education to connect lifestyle behaviors to development of obesity.","container-title":"Journal of obesity","DOI":"10.1155/2013/670295","ISSN":"2090-0716 2090-0708","journalAbbreviation":"J Obes","language":"eng","note":"publisher-place: United States\nPMID: 23956844 \nPMCID: PMC3730149","page":"670295","title":"Youth understanding of healthy eating and obesity: a focus group study.","volume":"2013","author":[{"family":"Sylvetsky","given":"Allison C."},{"family":"Hennink","given":"Monique"},{"family":"Comeau","given":"Dawn"},{"family":"Welsh","given":"Jean A."},{"family":"Hardy","given":"Trisha"},{"family":"Matzigkeit","given":"Linda"},{"family":"Swan","given":"Deanne W."},{"family":"Walsh","given":"Stephanie M."},{"family":"Vos","given":"Miriam B."}],"issued":{"date-parts":[["2013"]]}}}],"schema":"https://github.com/citation-style-language/schema/raw/master/csl-citation.json"} </w:instrText>
      </w:r>
      <w:r w:rsidR="001C76B8">
        <w:fldChar w:fldCharType="separate"/>
      </w:r>
      <w:r w:rsidR="007C07B4" w:rsidRPr="007C07B4">
        <w:t>[124]</w:t>
      </w:r>
      <w:r w:rsidR="001C76B8">
        <w:fldChar w:fldCharType="end"/>
      </w:r>
      <w:r w:rsidR="00B43EB1">
        <w:t xml:space="preserve"> </w:t>
      </w:r>
      <w:r>
        <w:t>to exploring sensitive topics in water management</w:t>
      </w:r>
      <w:r w:rsidR="00B43EB1">
        <w:t xml:space="preserve"> </w:t>
      </w:r>
      <w:r w:rsidR="00B43EB1">
        <w:fldChar w:fldCharType="begin"/>
      </w:r>
      <w:r w:rsidR="007C07B4">
        <w:instrText xml:space="preserve"> ADDIN ZOTERO_ITEM CSL_CITATION {"citationID":"YDN0FtqP","properties":{"formattedCitation":"[125]","plainCitation":"[125]","noteIndex":0},"citationItems":[{"id":170,"uris":["http://zotero.org/users/5015692/items/K7MXEEXQ"],"itemData":{"id":170,"type":"article-journal","container-title":"Field Methods","issue":"1","page":"88–110","title":"Comparing focus group and individual responses on sensitive topics: a study of water decision makers in a desert city","volume":"22","author":[{"family":"Wutich","given":"Amber"},{"family":"Lant","given":"Timothy"},{"family":"White","given":"Dave D"},{"family":"Larson","given":"Kelli L"},{"family":"Gartin","given":"Meredith"}],"issued":{"date-parts":[["2010"]]}}}],"schema":"https://github.com/citation-style-language/schema/raw/master/csl-citation.json"} </w:instrText>
      </w:r>
      <w:r w:rsidR="00B43EB1">
        <w:fldChar w:fldCharType="separate"/>
      </w:r>
      <w:r w:rsidR="007C07B4" w:rsidRPr="007C07B4">
        <w:t>[125]</w:t>
      </w:r>
      <w:r w:rsidR="00B43EB1">
        <w:fldChar w:fldCharType="end"/>
      </w:r>
      <w:r>
        <w:t>. In recent decades, focus groups have also gained popularity among social scientists as a method for studying social processes and developing theory.</w:t>
      </w:r>
    </w:p>
    <w:p w14:paraId="07D1702E" w14:textId="2E4A4AE8" w:rsidR="00FE41CF" w:rsidRDefault="00FE41CF" w:rsidP="00FE41CF">
      <w:r>
        <w:t>Like one-on-one interviews, focus groups offer the advantage of gathering rich, in-depth data on participants' experiences, beliefs, and behaviors. However, they also present unique challenges in terms of planning and moderation. Researchers must carefully consider the composition of the group, balancing homogeneity in background with diversity in perspectives to facilitate comfortable and productive discussion. Morgan suggests that groups of six to ten participants are ideal</w:t>
      </w:r>
      <w:r w:rsidR="00BF0952">
        <w:t xml:space="preserve"> </w:t>
      </w:r>
      <w:r w:rsidR="00BF0952">
        <w:fldChar w:fldCharType="begin"/>
      </w:r>
      <w:r w:rsidR="007C07B4">
        <w:instrText xml:space="preserve"> ADDIN ZOTERO_ITEM CSL_CITATION {"citationID":"7aNIBSmm","properties":{"formattedCitation":"[122]","plainCitation":"[122]","noteIndex":0},"citationItems":[{"id":177,"uris":["http://zotero.org/users/5015692/items/JJAIB574"],"itemData":{"id":177,"type":"article-journal","container-title":"Annual review of sociology","issue":"1","page":"129–152","title":"Focus groups","volume":"22","author":[{"family":"Morgan","given":"David L"}],"issued":{"date-parts":[["1996"]]}}}],"schema":"https://github.com/citation-style-language/schema/raw/master/csl-citation.json"} </w:instrText>
      </w:r>
      <w:r w:rsidR="00BF0952">
        <w:fldChar w:fldCharType="separate"/>
      </w:r>
      <w:r w:rsidR="007C07B4" w:rsidRPr="007C07B4">
        <w:t>[122]</w:t>
      </w:r>
      <w:r w:rsidR="00BF0952">
        <w:fldChar w:fldCharType="end"/>
      </w:r>
      <w:r>
        <w:t>, but the optimal size may vary depending on the topic and participants' level of engagement.</w:t>
      </w:r>
    </w:p>
    <w:p w14:paraId="2FC30A01" w14:textId="77777777" w:rsidR="00FE41CF" w:rsidRDefault="00FE41CF" w:rsidP="00FE41CF">
      <w:r>
        <w:t>Effective moderation is also critical for the success of focus groups. While allowing for organic interaction among participants, moderators must set clear ground rules, encourage equal participation, and be prepared to redirect the conversation as needed. This requires a delicate balance of active listening, timely intervention, and flexibility to adapt to the group dynamics.</w:t>
      </w:r>
    </w:p>
    <w:p w14:paraId="4E615872" w14:textId="77777777" w:rsidR="00FE41CF" w:rsidRDefault="00FE41CF" w:rsidP="00FE41CF">
      <w:r>
        <w:t>Despite these challenges, focus groups offer valuable insights into social processes that cannot be captured through other methods. By observing how participants interact and collectively make sense of a topic, researchers can uncover taken-for-granted assumptions, conflicting perspectives, and emergent themes that may not arise in individual interviews. Focus groups can also be a more efficient way to gather data from multiple participants at once, although they may require more upfront planning and coordination.</w:t>
      </w:r>
    </w:p>
    <w:p w14:paraId="5327D73F" w14:textId="607A53E9" w:rsidR="00A626FE" w:rsidRPr="000E309B" w:rsidRDefault="00FE41CF" w:rsidP="005B3136">
      <w:r>
        <w:lastRenderedPageBreak/>
        <w:t>As focus groups continue to gain traction in social science research, it is important for researchers to carefully consider their strengths and limitations in relation to their specific research questions and populations of interest. The increasing use of online and virtual focus groups also presents new opportunities and challenges for data collection and analysis. By combining the depth of qualitative inquiry with the richness of group interaction, focus groups offer a powerful tool for understanding the complexities of social life and advancing theory and practice across disciplines.</w:t>
      </w:r>
    </w:p>
    <w:p w14:paraId="5327D741" w14:textId="448A7923" w:rsidR="00A626FE" w:rsidRDefault="00254084" w:rsidP="00687E06">
      <w:pPr>
        <w:pStyle w:val="Heading3"/>
      </w:pPr>
      <w:bookmarkStart w:id="166" w:name="_Toc169156786"/>
      <w:r>
        <w:rPr>
          <w:noProof/>
        </w:rPr>
        <w:drawing>
          <wp:anchor distT="0" distB="0" distL="114300" distR="114300" simplePos="0" relativeHeight="251975764" behindDoc="0" locked="0" layoutInCell="1" allowOverlap="1" wp14:anchorId="0F560D69" wp14:editId="761616A5">
            <wp:simplePos x="0" y="0"/>
            <wp:positionH relativeFrom="column">
              <wp:align>right</wp:align>
            </wp:positionH>
            <wp:positionV relativeFrom="paragraph">
              <wp:posOffset>0</wp:posOffset>
            </wp:positionV>
            <wp:extent cx="914400" cy="914400"/>
            <wp:effectExtent l="19050" t="19050" r="19050" b="19050"/>
            <wp:wrapSquare wrapText="bothSides"/>
            <wp:docPr id="1509868862"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88181F">
        <w:t>Summary of Chapter 1</w:t>
      </w:r>
      <w:r w:rsidR="00BA16B6">
        <w:t>1</w:t>
      </w:r>
      <w:r w:rsidR="0088181F">
        <w:t>: Interviews</w:t>
      </w:r>
      <w:bookmarkEnd w:id="166"/>
    </w:p>
    <w:p w14:paraId="7AA95ACD" w14:textId="77777777" w:rsidR="00A6343B" w:rsidRDefault="00A6343B" w:rsidP="00A6343B">
      <w:r>
        <w:t>In this chapter, you explored the fascinating world of interview research and its crucial role in deepening our understanding of social phenomena. As you've learned, interviews provide a powerful means of gathering rich, detailed information about people's experiences, perspectives, and behaviors. By engaging directly with participants and inviting them to share their stories in their own words, interview research allows you to move beyond broad generalizations and gain nuanced insights into the complexities of human life.</w:t>
      </w:r>
    </w:p>
    <w:p w14:paraId="74633959" w14:textId="77777777" w:rsidR="00A6343B" w:rsidRDefault="00A6343B" w:rsidP="00A6343B">
      <w:r>
        <w:t>The key concepts covered in this chapter include:</w:t>
      </w:r>
    </w:p>
    <w:p w14:paraId="07566E61" w14:textId="77777777" w:rsidR="00A6343B" w:rsidRDefault="00A6343B" w:rsidP="00A6343B">
      <w:pPr>
        <w:pStyle w:val="ListParagraph"/>
        <w:numPr>
          <w:ilvl w:val="0"/>
          <w:numId w:val="309"/>
        </w:numPr>
      </w:pPr>
      <w:r>
        <w:t>The definition and purposes of interview research</w:t>
      </w:r>
    </w:p>
    <w:p w14:paraId="19D52D8C" w14:textId="77777777" w:rsidR="00A6343B" w:rsidRDefault="00A6343B" w:rsidP="00A6343B">
      <w:pPr>
        <w:pStyle w:val="ListParagraph"/>
        <w:numPr>
          <w:ilvl w:val="0"/>
          <w:numId w:val="309"/>
        </w:numPr>
      </w:pPr>
      <w:r>
        <w:t>The role and responsibilities of the interviewer</w:t>
      </w:r>
    </w:p>
    <w:p w14:paraId="22411114" w14:textId="77777777" w:rsidR="00A6343B" w:rsidRDefault="00A6343B" w:rsidP="00A6343B">
      <w:pPr>
        <w:pStyle w:val="ListParagraph"/>
        <w:numPr>
          <w:ilvl w:val="0"/>
          <w:numId w:val="309"/>
        </w:numPr>
      </w:pPr>
      <w:r>
        <w:t>Qualitative and quantitative interview techniques</w:t>
      </w:r>
    </w:p>
    <w:p w14:paraId="3538EF1A" w14:textId="77777777" w:rsidR="00A6343B" w:rsidRDefault="00A6343B" w:rsidP="00A6343B">
      <w:pPr>
        <w:pStyle w:val="ListParagraph"/>
        <w:numPr>
          <w:ilvl w:val="0"/>
          <w:numId w:val="309"/>
        </w:numPr>
      </w:pPr>
      <w:r>
        <w:t>The process of conducting qualitative interviews</w:t>
      </w:r>
    </w:p>
    <w:p w14:paraId="6439932E" w14:textId="77777777" w:rsidR="00A6343B" w:rsidRDefault="00A6343B" w:rsidP="00A6343B">
      <w:pPr>
        <w:pStyle w:val="ListParagraph"/>
        <w:numPr>
          <w:ilvl w:val="0"/>
          <w:numId w:val="309"/>
        </w:numPr>
      </w:pPr>
      <w:r>
        <w:t>The strengths and limitations of interview research</w:t>
      </w:r>
    </w:p>
    <w:p w14:paraId="0FD04AA5" w14:textId="77777777" w:rsidR="00A6343B" w:rsidRDefault="00A6343B" w:rsidP="00A6343B">
      <w:r>
        <w:t>As you continue your journey in the field of research, the knowledge and skills you've gained from this chapter will serve as a foundation for designing and conducting successful interview-based projects. By understanding the different approaches to interviewing, the importance of the interviewer's role, and the steps involved in collecting and analyzing interview data, you'll be well-equipped to explore a wide range of research questions and topics.</w:t>
      </w:r>
    </w:p>
    <w:p w14:paraId="5A4D89DB" w14:textId="01B5B4DC" w:rsidR="00DF6737" w:rsidRDefault="00A6343B" w:rsidP="0066008D">
      <w:pPr>
        <w:sectPr w:rsidR="00DF6737" w:rsidSect="00FD08D0">
          <w:headerReference w:type="default" r:id="rId258"/>
          <w:pgSz w:w="12240" w:h="15840"/>
          <w:pgMar w:top="1440" w:right="1440" w:bottom="1440" w:left="1440" w:header="720" w:footer="720" w:gutter="0"/>
          <w:cols w:space="720"/>
          <w:docGrid w:linePitch="299"/>
        </w:sectPr>
      </w:pPr>
      <w:r>
        <w:t>Remember, the concepts introduced in this chapter are just the beginning. As you progress in your studies and career, you'll have countless opportunities to deepen your understanding of interview research and to apply these techniques in real-world settings. Whether you're investigating social issues, evaluating programs, or exploring personal narratives, the insights you gain from interviews will be invaluable in shaping your work and making a meaningful contribution to your field.</w:t>
      </w:r>
    </w:p>
    <w:p w14:paraId="5327D74B" w14:textId="397D1009" w:rsidR="00A626FE" w:rsidRPr="000E309B" w:rsidRDefault="00B75204" w:rsidP="00235BA9">
      <w:pPr>
        <w:pStyle w:val="Heading2"/>
      </w:pPr>
      <w:bookmarkStart w:id="167" w:name="_Toc169156787"/>
      <w:r>
        <w:rPr>
          <w:noProof/>
        </w:rPr>
        <w:lastRenderedPageBreak/>
        <w:drawing>
          <wp:anchor distT="0" distB="0" distL="114300" distR="114300" simplePos="0" relativeHeight="251710548" behindDoc="0" locked="0" layoutInCell="1" allowOverlap="1" wp14:anchorId="04D91EB1" wp14:editId="2E049315">
            <wp:simplePos x="0" y="0"/>
            <wp:positionH relativeFrom="column">
              <wp:align>right</wp:align>
            </wp:positionH>
            <wp:positionV relativeFrom="paragraph">
              <wp:posOffset>0</wp:posOffset>
            </wp:positionV>
            <wp:extent cx="1225296" cy="1225296"/>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259" cstate="print">
                      <a:extLst>
                        <a:ext uri="{BEBA8EAE-BF5A-486C-A8C5-ECC9F3942E4B}">
                          <a14:imgProps xmlns:a14="http://schemas.microsoft.com/office/drawing/2010/main">
                            <a14:imgLayer r:embed="rId26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25296" cy="1225296"/>
                    </a:xfrm>
                    <a:prstGeom prst="rect">
                      <a:avLst/>
                    </a:prstGeom>
                  </pic:spPr>
                </pic:pic>
              </a:graphicData>
            </a:graphic>
            <wp14:sizeRelH relativeFrom="margin">
              <wp14:pctWidth>0</wp14:pctWidth>
            </wp14:sizeRelH>
            <wp14:sizeRelV relativeFrom="margin">
              <wp14:pctHeight>0</wp14:pctHeight>
            </wp14:sizeRelV>
          </wp:anchor>
        </w:drawing>
      </w:r>
      <w:r w:rsidR="00671066">
        <w:t>1</w:t>
      </w:r>
      <w:r w:rsidR="00BA16B6">
        <w:t>2</w:t>
      </w:r>
      <w:r w:rsidR="00671066">
        <w:t xml:space="preserve">: </w:t>
      </w:r>
      <w:r w:rsidR="00235BA9" w:rsidRPr="000E309B">
        <w:t>Field Research</w:t>
      </w:r>
      <w:bookmarkEnd w:id="167"/>
    </w:p>
    <w:p w14:paraId="5327D74D" w14:textId="3BD637AF" w:rsidR="00A626FE" w:rsidRPr="000E309B" w:rsidRDefault="00687E06" w:rsidP="00687E06">
      <w:pPr>
        <w:pStyle w:val="Heading3"/>
      </w:pPr>
      <w:bookmarkStart w:id="168" w:name="_Toc169156788"/>
      <w:r>
        <w:t>I</w:t>
      </w:r>
      <w:r w:rsidR="00D14B33" w:rsidRPr="000E309B">
        <w:t>ntroduction</w:t>
      </w:r>
      <w:bookmarkEnd w:id="168"/>
    </w:p>
    <w:p w14:paraId="2EE5B8A9" w14:textId="14612FE4" w:rsidR="00480A42" w:rsidRDefault="00480A42" w:rsidP="00480A42">
      <w:r>
        <w:t xml:space="preserve">When researchers want to understand how couples divide household chores, one approach is to simply ask people directly through interviews. This is exactly what sociologist Arlie Hochschild did in her famous study of the "second shift" - a term she coined to describe the household work that takes place after the day's paid work is finished </w:t>
      </w:r>
      <w:r>
        <w:fldChar w:fldCharType="begin"/>
      </w:r>
      <w:r w:rsidR="007C07B4">
        <w:instrText xml:space="preserve"> ADDIN ZOTERO_ITEM CSL_CITATION {"citationID":"ymmILA1c","properties":{"formattedCitation":"[126]","plainCitation":"[126]","noteIndex":0},"citationItems":[{"id":154,"uris":["http://zotero.org/users/5015692/items/ERQTKHVY"],"itemData":{"id":154,"type":"book","publisher":"Penguin","title":"The second shift: Working families and the revolution at home","author":[{"family":"Hochschild","given":"Arlie"},{"family":"Machung","given":"Anne"}],"issued":{"date-parts":[["2012"]]}}}],"schema":"https://github.com/citation-style-language/schema/raw/master/csl-citation.json"} </w:instrText>
      </w:r>
      <w:r>
        <w:fldChar w:fldCharType="separate"/>
      </w:r>
      <w:r w:rsidR="007C07B4" w:rsidRPr="007C07B4">
        <w:t>[126]</w:t>
      </w:r>
      <w:r>
        <w:fldChar w:fldCharType="end"/>
      </w:r>
      <w:r>
        <w:t>.</w:t>
      </w:r>
    </w:p>
    <w:p w14:paraId="5381BB5E" w14:textId="77777777" w:rsidR="00480A42" w:rsidRDefault="00480A42" w:rsidP="00480A42">
      <w:r>
        <w:t>To investigate how married couples with children shared this second shift, Hochschild conducted in-depth interviews with 50 heterosexual couples. Many of the couples claimed that they divided the household labor equally, often by splitting the house into "his" and "hers" areas of responsibility.</w:t>
      </w:r>
    </w:p>
    <w:p w14:paraId="52490B99" w14:textId="77777777" w:rsidR="00480A42" w:rsidRDefault="00480A42" w:rsidP="00480A42">
      <w:r>
        <w:t>However, Hochschild wasn't content to rely solely on couples' self-reports. To get a more accurate picture, she went a step further and directly observed 12 of the couples in their homes. This field research component proved to be crucial.</w:t>
      </w:r>
    </w:p>
    <w:p w14:paraId="028C8104" w14:textId="77777777" w:rsidR="00480A42" w:rsidRDefault="00480A42" w:rsidP="00480A42">
      <w:r>
        <w:t>What Hochschild discovered was eye-opening. Even among couples who professed to share the second shift equally, the actual division of labor was often far less equitable than they claimed. One couple, for instance, told Hochschild during their interview that the wife took care of the upstairs while the husband was responsible for the downstairs - seemingly an even 50/50 split.</w:t>
      </w:r>
    </w:p>
    <w:p w14:paraId="63039F53" w14:textId="77777777" w:rsidR="00480A42" w:rsidRDefault="00480A42" w:rsidP="00480A42">
      <w:r>
        <w:t>But when Hochschild observed this couple's home life, she found that the wife's "upstairs" domain included all the bedrooms, bathrooms, the kitchen, dining room, and living room. The husband's "downstairs" responsibility, in contrast, consisted of just a storage space and the garage. Clearly, the wife was shouldering the bulk of the second shift work, contrary to the couple's narrative of equality.</w:t>
      </w:r>
    </w:p>
    <w:p w14:paraId="3FEED862" w14:textId="77777777" w:rsidR="00480A42" w:rsidRDefault="00480A42" w:rsidP="00480A42">
      <w:r>
        <w:t>This is a powerful example of how field observations can uncover realities that interviews alone might miss. Without directly observing couples in their natural environment, Hochschild may never have captured these illuminating discrepancies between how couples perceive and describe their division of household labor, versus how it plays out in practice. Her study highlights the importance of using multiple research methods to get a complete and accurate picture of social phenomena.</w:t>
      </w:r>
    </w:p>
    <w:p w14:paraId="2F77C122" w14:textId="69BF9D12" w:rsidR="00480A42" w:rsidRDefault="00480A42" w:rsidP="00480A42">
      <w:r>
        <w:t>As you can see, field research allowed Hochschild to dig beneath the surface of couples' claims and reveal a more complex truth about the persistence of gendered inequalities in household work. Her findings shed light on the often invisible and underappreciated labor that women disproportionately perform to keep households running smoothly.</w:t>
      </w:r>
      <w:r w:rsidR="00E60E07">
        <w:t xml:space="preserve"> </w:t>
      </w:r>
      <w:r>
        <w:t>That's the power of field research in sociology.</w:t>
      </w:r>
    </w:p>
    <w:p w14:paraId="5327D750" w14:textId="4EC97F62" w:rsidR="00A626FE" w:rsidRDefault="00E0031F" w:rsidP="00BF6033">
      <w:pPr>
        <w:pStyle w:val="IntenseQuote"/>
      </w:pPr>
      <w:r>
        <w:rPr>
          <w:noProof/>
        </w:rPr>
        <w:lastRenderedPageBreak/>
        <w:drawing>
          <wp:anchor distT="0" distB="0" distL="114300" distR="114300" simplePos="0" relativeHeight="251941972" behindDoc="0" locked="0" layoutInCell="1" allowOverlap="1" wp14:anchorId="2328C52B" wp14:editId="074793F5">
            <wp:simplePos x="0" y="0"/>
            <wp:positionH relativeFrom="column">
              <wp:align>right</wp:align>
            </wp:positionH>
            <wp:positionV relativeFrom="paragraph">
              <wp:posOffset>0</wp:posOffset>
            </wp:positionV>
            <wp:extent cx="914400" cy="914400"/>
            <wp:effectExtent l="19050" t="19050" r="19050" b="19050"/>
            <wp:wrapSquare wrapText="bothSides"/>
            <wp:docPr id="2100563369"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E60E07">
        <w:t>Objectives</w:t>
      </w:r>
    </w:p>
    <w:p w14:paraId="54D96368" w14:textId="0CAAB234" w:rsidR="006714DF" w:rsidRDefault="006714DF" w:rsidP="006714DF">
      <w:pPr>
        <w:pStyle w:val="Quote"/>
      </w:pPr>
      <w:r>
        <w:t xml:space="preserve">Differentiate between field research and participant </w:t>
      </w:r>
      <w:r w:rsidR="00CD51D8">
        <w:t>observation and</w:t>
      </w:r>
      <w:r>
        <w:t xml:space="preserve"> explain how these methods contribute to sociological understanding by providing rich, contextual data about social phenomena.</w:t>
      </w:r>
    </w:p>
    <w:p w14:paraId="32C77F0C" w14:textId="77777777" w:rsidR="006714DF" w:rsidRDefault="006714DF" w:rsidP="006714DF">
      <w:pPr>
        <w:pStyle w:val="Quote"/>
      </w:pPr>
      <w:r>
        <w:t>Evaluate the strengths and limitations of field research, including its ability to generate in-depth insights, the challenges of generalizability, and the ethical considerations researchers must navigate.</w:t>
      </w:r>
    </w:p>
    <w:p w14:paraId="2A61C946" w14:textId="77777777" w:rsidR="006714DF" w:rsidRDefault="006714DF" w:rsidP="006714DF">
      <w:pPr>
        <w:pStyle w:val="Quote"/>
      </w:pPr>
      <w:r>
        <w:t>Describe the key factors researchers must consider when selecting a field site, such as research goals, time constraints, geographic limitations, researcher identity, and collaboration opportunities.</w:t>
      </w:r>
    </w:p>
    <w:p w14:paraId="04735B13" w14:textId="77777777" w:rsidR="006714DF" w:rsidRDefault="006714DF" w:rsidP="006714DF">
      <w:pPr>
        <w:pStyle w:val="Quote"/>
      </w:pPr>
      <w:r>
        <w:t>Compare and contrast overt and covert research strategies, and discuss the ethical implications of each approach, as well as the importance of cultivating relationships with insiders and key informants.</w:t>
      </w:r>
    </w:p>
    <w:p w14:paraId="244934B5" w14:textId="587996CE" w:rsidR="00E60E07" w:rsidRPr="000E309B" w:rsidRDefault="006714DF" w:rsidP="006714DF">
      <w:pPr>
        <w:pStyle w:val="Quote"/>
      </w:pPr>
      <w:r>
        <w:t>Understand the crucial role of field notes in qualitative research, distinguish between descriptive and analytic notes, and develop effective strategies for capturing, expanding, and organizing field observations.</w:t>
      </w:r>
    </w:p>
    <w:p w14:paraId="5327D759" w14:textId="2AD35462" w:rsidR="00A626FE" w:rsidRPr="000E309B" w:rsidRDefault="00792687" w:rsidP="00D3440B">
      <w:pPr>
        <w:pStyle w:val="Heading3"/>
      </w:pPr>
      <w:bookmarkStart w:id="169" w:name="_Toc169156789"/>
      <w:r w:rsidRPr="00792687">
        <w:t>Field Research and Participant Observation</w:t>
      </w:r>
      <w:bookmarkEnd w:id="169"/>
    </w:p>
    <w:p w14:paraId="31AB2C31" w14:textId="77777777" w:rsidR="00792687" w:rsidRDefault="00792687" w:rsidP="00792687">
      <w:r>
        <w:t>Field research and participant observation are qualitative research methods that involve studying people in their natural settings through direct interaction and observation. Qualitative methods aim to generate rich, descriptive data about social phenomena, in contrast to quantitative methods that focus on numerical data and statistical analysis.</w:t>
      </w:r>
    </w:p>
    <w:p w14:paraId="241B78D2" w14:textId="77777777" w:rsidR="00792687" w:rsidRDefault="00792687" w:rsidP="00792687">
      <w:r>
        <w:t>Field research is an umbrella term that encompasses various activities researchers engage in when collecting data in real-world settings, such as participating, observing, interviewing, and analyzing documents or artifacts. When researchers talk about being in "the field," they refer to being out in the real world and involved in the everyday lives of the people they are studying.</w:t>
      </w:r>
    </w:p>
    <w:p w14:paraId="347E6852" w14:textId="7E32E929" w:rsidR="00792687" w:rsidRDefault="00792687" w:rsidP="00792687">
      <w:r>
        <w:t>Participant observation, a key aspect of field research, specifically refers to the researcher's level of involvement with the group being studied. Researchers can assume different roles along a continuum of participation, ranging from nonparticipation (no involvement) to complete membership (fully "going native")</w:t>
      </w:r>
      <w:r w:rsidR="00193CB3">
        <w:t xml:space="preserve"> </w:t>
      </w:r>
      <w:r w:rsidR="00193CB3">
        <w:fldChar w:fldCharType="begin"/>
      </w:r>
      <w:r w:rsidR="007C07B4">
        <w:instrText xml:space="preserve"> ADDIN ZOTERO_ITEM CSL_CITATION {"citationID":"zCaHuJ4V","properties":{"formattedCitation":"[127]","plainCitation":"[127]","noteIndex":0},"citationItems":[{"id":164,"uris":["http://zotero.org/users/5015692/items/4EDWHBBX"],"itemData":{"id":164,"type":"article-journal","container-title":"Library trends","issue":"1","page":"171–189","title":"Observation: A complex research method","volume":"55","author":[{"family":"Baker","given":"Lynda"}],"issued":{"date-parts":[["2006"]]}}}],"schema":"https://github.com/citation-style-language/schema/raw/master/csl-citation.json"} </w:instrText>
      </w:r>
      <w:r w:rsidR="00193CB3">
        <w:fldChar w:fldCharType="separate"/>
      </w:r>
      <w:r w:rsidR="007C07B4" w:rsidRPr="007C07B4">
        <w:t>[127]</w:t>
      </w:r>
      <w:r w:rsidR="00193CB3">
        <w:fldChar w:fldCharType="end"/>
      </w:r>
      <w:r>
        <w:t>. The level of participation chosen depends on the research question and the feasibility and ethics of different levels of involvement.</w:t>
      </w:r>
    </w:p>
    <w:p w14:paraId="4280171E" w14:textId="77777777" w:rsidR="0018766B" w:rsidRDefault="0085599D" w:rsidP="0018766B">
      <w:pPr>
        <w:keepNext/>
      </w:pPr>
      <w:r>
        <w:rPr>
          <w:noProof/>
        </w:rPr>
        <w:lastRenderedPageBreak/>
        <w:drawing>
          <wp:inline distT="0" distB="0" distL="0" distR="0" wp14:anchorId="4D09056A" wp14:editId="4D311EBA">
            <wp:extent cx="5943600" cy="3363595"/>
            <wp:effectExtent l="0" t="0" r="0" b="8255"/>
            <wp:docPr id="315393257" name="Picture 1" descr="A group of text on a rainb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93257" name="Picture 1" descr="A group of text on a rainbow background&#10;&#10;Description automatically generated"/>
                    <pic:cNvPicPr/>
                  </pic:nvPicPr>
                  <pic:blipFill>
                    <a:blip r:embed="rId261">
                      <a:extLst>
                        <a:ext uri="{28A0092B-C50C-407E-A947-70E740481C1C}">
                          <a14:useLocalDpi xmlns:a14="http://schemas.microsoft.com/office/drawing/2010/main" val="0"/>
                        </a:ext>
                      </a:extLst>
                    </a:blip>
                    <a:stretch>
                      <a:fillRect/>
                    </a:stretch>
                  </pic:blipFill>
                  <pic:spPr>
                    <a:xfrm>
                      <a:off x="0" y="0"/>
                      <a:ext cx="5943600" cy="3363595"/>
                    </a:xfrm>
                    <a:prstGeom prst="rect">
                      <a:avLst/>
                    </a:prstGeom>
                  </pic:spPr>
                </pic:pic>
              </a:graphicData>
            </a:graphic>
          </wp:inline>
        </w:drawing>
      </w:r>
    </w:p>
    <w:p w14:paraId="4A5B43C0" w14:textId="76E2EF8A" w:rsidR="00792687" w:rsidRDefault="0018766B" w:rsidP="0018766B">
      <w:pPr>
        <w:pStyle w:val="Caption"/>
        <w:jc w:val="center"/>
      </w:pPr>
      <w:r>
        <w:t xml:space="preserve">Figure </w:t>
      </w:r>
      <w:r>
        <w:fldChar w:fldCharType="begin"/>
      </w:r>
      <w:r>
        <w:instrText xml:space="preserve"> SEQ Figure \* ARABIC </w:instrText>
      </w:r>
      <w:r>
        <w:fldChar w:fldCharType="separate"/>
      </w:r>
      <w:r w:rsidR="00980002">
        <w:rPr>
          <w:noProof/>
        </w:rPr>
        <w:t>32</w:t>
      </w:r>
      <w:r>
        <w:fldChar w:fldCharType="end"/>
      </w:r>
      <w:r>
        <w:t>: Continuum of Participation</w:t>
      </w:r>
    </w:p>
    <w:p w14:paraId="2A9A23DF" w14:textId="77777777" w:rsidR="00361316" w:rsidRDefault="00361316" w:rsidP="00361316">
      <w:pPr>
        <w:pStyle w:val="NoSpacing"/>
      </w:pPr>
    </w:p>
    <w:p w14:paraId="63968C12" w14:textId="194FEF40" w:rsidR="00792687" w:rsidRDefault="00792687" w:rsidP="00792687">
      <w:r>
        <w:t>Field research and participant observation have their roots in anthropology</w:t>
      </w:r>
      <w:r w:rsidR="00BC38BE">
        <w:t xml:space="preserve"> </w:t>
      </w:r>
      <w:r w:rsidR="00BC38BE">
        <w:fldChar w:fldCharType="begin"/>
      </w:r>
      <w:r w:rsidR="007C07B4">
        <w:instrText xml:space="preserve"> ADDIN ZOTERO_ITEM CSL_CITATION {"citationID":"RUBt3lTR","properties":{"formattedCitation":"[128]","plainCitation":"[128]","noteIndex":0},"citationItems":[{"id":143,"uris":["http://zotero.org/users/5015692/items/GXFRCKAW"],"itemData":{"id":143,"type":"book","publisher":"Rowman Altamira","title":"Ethnography: A way of seeing","author":[{"family":"Wolcott","given":"Harry F"}],"issued":{"date-parts":[["1999"]]}}}],"schema":"https://github.com/citation-style-language/schema/raw/master/csl-citation.json"} </w:instrText>
      </w:r>
      <w:r w:rsidR="00BC38BE">
        <w:fldChar w:fldCharType="separate"/>
      </w:r>
      <w:r w:rsidR="007C07B4" w:rsidRPr="007C07B4">
        <w:t>[128]</w:t>
      </w:r>
      <w:r w:rsidR="00BC38BE">
        <w:fldChar w:fldCharType="end"/>
      </w:r>
      <w:r>
        <w:t>, with early pioneers like Franz Boas</w:t>
      </w:r>
      <w:r w:rsidR="00B60EB2">
        <w:t xml:space="preserve"> </w:t>
      </w:r>
      <w:r w:rsidR="00B60EB2">
        <w:fldChar w:fldCharType="begin"/>
      </w:r>
      <w:r w:rsidR="007C07B4">
        <w:instrText xml:space="preserve"> ADDIN ZOTERO_ITEM CSL_CITATION {"citationID":"0DhUt7Av","properties":{"formattedCitation":"[129]","plainCitation":"[129]","noteIndex":0},"citationItems":[{"id":163,"uris":["http://zotero.org/users/5015692/items/K4LNPB4W"],"itemData":{"id":163,"type":"book","publisher":"e-artnow sro","title":"The central eskimo","volume":"196","author":[{"family":"Boas","given":"Franz"}],"issued":{"date-parts":[["1964"]]}}}],"schema":"https://github.com/citation-style-language/schema/raw/master/csl-citation.json"} </w:instrText>
      </w:r>
      <w:r w:rsidR="00B60EB2">
        <w:fldChar w:fldCharType="separate"/>
      </w:r>
      <w:r w:rsidR="007C07B4" w:rsidRPr="007C07B4">
        <w:t>[129]</w:t>
      </w:r>
      <w:r w:rsidR="00B60EB2">
        <w:fldChar w:fldCharType="end"/>
      </w:r>
      <w:r>
        <w:t xml:space="preserve"> and Bronislaw Malinowski</w:t>
      </w:r>
      <w:r w:rsidR="00BC38BE">
        <w:t xml:space="preserve"> </w:t>
      </w:r>
      <w:r w:rsidR="00BC38BE">
        <w:fldChar w:fldCharType="begin"/>
      </w:r>
      <w:r w:rsidR="007C07B4">
        <w:instrText xml:space="preserve"> ADDIN ZOTERO_ITEM CSL_CITATION {"citationID":"iSy6CENP","properties":{"formattedCitation":"[130]","plainCitation":"[130]","noteIndex":0},"citationItems":[{"id":141,"uris":["http://zotero.org/users/5015692/items/3X54VHTQ"],"itemData":{"id":141,"type":"book","publisher":"Routledge","title":"Argonauts of the western Pacific","author":[{"family":"Malinowski","given":"Bronislaw"}],"issued":{"date-parts":[["2014"]]}}}],"schema":"https://github.com/citation-style-language/schema/raw/master/csl-citation.json"} </w:instrText>
      </w:r>
      <w:r w:rsidR="00BC38BE">
        <w:fldChar w:fldCharType="separate"/>
      </w:r>
      <w:r w:rsidR="007C07B4" w:rsidRPr="007C07B4">
        <w:t>[130]</w:t>
      </w:r>
      <w:r w:rsidR="00BC38BE">
        <w:fldChar w:fldCharType="end"/>
      </w:r>
      <w:r>
        <w:t xml:space="preserve"> using these methods to study native populations in Canada, the American Northwest, and Papua New Guinea in the early 20th century. Sociologists soon adopted these methods to study various social groups and communities, often with an interest in social reform.</w:t>
      </w:r>
    </w:p>
    <w:p w14:paraId="218889B9" w14:textId="1A8E42AB" w:rsidR="00792687" w:rsidRDefault="00792687" w:rsidP="00792687">
      <w:r>
        <w:t>For example, sociologist William Foote Whyte used participant observation to study street gangs in Boston in the 1930s, resulting in his classic book "Street Corner Society."</w:t>
      </w:r>
      <w:r w:rsidR="00040C7F">
        <w:t xml:space="preserve"> </w:t>
      </w:r>
      <w:r w:rsidR="00A20DDF">
        <w:fldChar w:fldCharType="begin"/>
      </w:r>
      <w:r w:rsidR="007C07B4">
        <w:instrText xml:space="preserve"> ADDIN ZOTERO_ITEM CSL_CITATION {"citationID":"JJvlH8Hy","properties":{"formattedCitation":"[131]","plainCitation":"[131]","noteIndex":0},"citationItems":[{"id":355,"uris":["http://zotero.org/users/5015692/items/BUWZWYSH"],"itemData":{"id":355,"type":"book","abstract":"The social structure of an Italian slum. This is an important socio-anthropological study of part of a modern community.  Harvard Book List (edited) 1949 #476 (PsycINFO Database Record (c) 2016 APA, all rights reserved)","collection-title":"Street Corner Society.","event-place":"University of Chicago Press","publisher":"Chicago","publisher-place":"University of Chicago Press","title":"Street Corner Society.","author":[{"family":"Whyte","given":"W.F."}],"issued":{"date-parts":[["1943"]]}}}],"schema":"https://github.com/citation-style-language/schema/raw/master/csl-citation.json"} </w:instrText>
      </w:r>
      <w:r w:rsidR="00A20DDF">
        <w:fldChar w:fldCharType="separate"/>
      </w:r>
      <w:r w:rsidR="007C07B4" w:rsidRPr="007C07B4">
        <w:t>[131]</w:t>
      </w:r>
      <w:r w:rsidR="00A20DDF">
        <w:fldChar w:fldCharType="end"/>
      </w:r>
      <w:r>
        <w:t xml:space="preserve"> More recently, sociologist Alice Goffman used field research to study the impact of mass incarceration on a low-income African American community in Philadelphia, as documented in her book "On the Run."</w:t>
      </w:r>
      <w:r w:rsidR="0003467A">
        <w:t xml:space="preserve"> </w:t>
      </w:r>
      <w:r w:rsidR="0003467A">
        <w:fldChar w:fldCharType="begin"/>
      </w:r>
      <w:r w:rsidR="007C07B4">
        <w:instrText xml:space="preserve"> ADDIN ZOTERO_ITEM CSL_CITATION {"citationID":"IllaCUPX","properties":{"formattedCitation":"[132]","plainCitation":"[132]","noteIndex":0},"citationItems":[{"id":356,"uris":["http://zotero.org/users/5015692/items/5NAIAR43"],"itemData":{"id":356,"type":"book","abstract":"Forty years in, the War on Drugs has done almost nothing to prevent drugs from being sold or used, but it has nonetheless created a little-known surveillance state in America’s most disadvantaged neighborhoods. Arrest quotas and high-tech surveillance techniques criminalize entire blocks, and transform the very associations that should stabilize young lives—family, relationships, jobs—into liabilities, as the police use such relationships to track down suspects, demand information, and threaten consequences.\n\nAlice Goffman spent six years living in one such neighborhood in Philadelphia, and her close observations and often harrowing stories reveal the pernicious effects of this pervasive policing. Goffman introduces us to an unforgettable cast of young African American men who are caught up in this web of warrants and surveillance—some of them small-time drug dealers, others just ordinary guys dealing with limited choices. All find the web of presumed criminality, built as it is on the very associations and friendships that make up a life, nearly impossible to escape. We watch as the pleasures of summer-evening stoop-sitting are shattered by the arrival of a carful of cops looking to serve a warrant; we watch—and can’t help but be shocked—as teenagers teach their younger siblings and cousins how to run from the police (and, crucially, to keep away from friends and family so they can stay hidden); and we see, over and over, the relentless toll that the presumption of criminality takes on families—and futures.\n\nWhile not denying the problems of the drug trade, and the violence that often accompanies it, through her gripping accounts of daily life in the forgotten neighborhoods of America’s cities, Goffman makes it impossible for us to ignore the very real human costs of our failed response—the blighting of entire neighborhoods, and the needless sacrifice of whole generations.","event-place":"CHicago","language":"English","number-of-pages":"288","publisher":"The University of Chicago Press","publisher-place":"CHicago","title":"On the Run: Fugitive Life in an American City","author":[{"literal":"Goffman, Alice"}],"issued":{"date-parts":[["2014"]]}}}],"schema":"https://github.com/citation-style-language/schema/raw/master/csl-citation.json"} </w:instrText>
      </w:r>
      <w:r w:rsidR="0003467A">
        <w:fldChar w:fldCharType="separate"/>
      </w:r>
      <w:r w:rsidR="007C07B4" w:rsidRPr="007C07B4">
        <w:t>[132]</w:t>
      </w:r>
      <w:r w:rsidR="0003467A">
        <w:fldChar w:fldCharType="end"/>
      </w:r>
    </w:p>
    <w:p w14:paraId="54C32F61" w14:textId="77777777" w:rsidR="00792687" w:rsidRDefault="00792687" w:rsidP="00792687">
      <w:r>
        <w:t>One potential risk of participant observation is "going native," where the researcher becomes so immersed in the group being studied that they lose objectivity and critical distance. To mitigate this risk, researchers must be reflexive about their role and maintain a balance between building rapport with participants and preserving an analytical perspective.</w:t>
      </w:r>
    </w:p>
    <w:p w14:paraId="3CE6EC18" w14:textId="77777777" w:rsidR="00792687" w:rsidRDefault="00792687" w:rsidP="00792687">
      <w:r>
        <w:t>Field research and participant observation offer several strengths, such as the ability to generate rich, context-specific data and to uncover social processes and meanings that may not be accessible through other methods. However, these methods also have limitations, such as the potential for researcher bias, the difficulty of generalizing findings to other settings, and ethical challenges around informed consent and confidentiality.</w:t>
      </w:r>
    </w:p>
    <w:p w14:paraId="5327D768" w14:textId="60527BCB" w:rsidR="00A626FE" w:rsidRPr="000E309B" w:rsidRDefault="007609BB" w:rsidP="007609BB">
      <w:pPr>
        <w:pStyle w:val="Heading3"/>
      </w:pPr>
      <w:bookmarkStart w:id="170" w:name="_Toc169156790"/>
      <w:r>
        <w:lastRenderedPageBreak/>
        <w:t>S</w:t>
      </w:r>
      <w:r w:rsidR="00D14B33" w:rsidRPr="000E309B">
        <w:t xml:space="preserve">trengths and </w:t>
      </w:r>
      <w:r>
        <w:t>W</w:t>
      </w:r>
      <w:r w:rsidR="00D14B33" w:rsidRPr="000E309B">
        <w:t xml:space="preserve">eaknesses of </w:t>
      </w:r>
      <w:r>
        <w:t>F</w:t>
      </w:r>
      <w:r w:rsidR="00D14B33" w:rsidRPr="000E309B">
        <w:t xml:space="preserve">ield </w:t>
      </w:r>
      <w:r>
        <w:t>R</w:t>
      </w:r>
      <w:r w:rsidR="00D14B33" w:rsidRPr="000E309B">
        <w:t>esearch</w:t>
      </w:r>
      <w:bookmarkEnd w:id="170"/>
    </w:p>
    <w:p w14:paraId="5ACA0217" w14:textId="71B401FD" w:rsidR="009975B1" w:rsidRDefault="009975B1" w:rsidP="009975B1">
      <w:r>
        <w:t>Field research offers several unique strengths that set it apart from other research methods. Firstly, it allows researchers to gain firsthand experience and knowledge about the people, events, and processes they study. For example, in her study of homeless women in Los Angeles, sociologist Elliot Liebow (1993) spent months living in a shelter and accompanying women as they navigated the welfare system and searched for housing</w:t>
      </w:r>
      <w:r w:rsidR="00236739">
        <w:t xml:space="preserve"> </w:t>
      </w:r>
      <w:r w:rsidR="00DF619C">
        <w:fldChar w:fldCharType="begin"/>
      </w:r>
      <w:r w:rsidR="007C07B4">
        <w:instrText xml:space="preserve"> ADDIN ZOTERO_ITEM CSL_CITATION {"citationID":"fAODo9U8","properties":{"formattedCitation":"[133]","plainCitation":"[133]","noteIndex":0},"citationItems":[{"id":357,"uris":["http://zotero.org/users/5015692/items/6ICBNX5B"],"itemData":{"id":357,"type":"book","abstract":"In \"Tell Them Who I Am,\" Liebow carefully investigates and documents the patterns and routines of homeless women.  Through the women's own words and Liebow's thoughtful and sympathetic commentary, \"Tell Them Who I Am\" examines every aspect of their lives; the variety of jobs the women have, as well as the obstacles which prevent some from obtaining employment; relationships with family members, friends, and lovers, both within and outside the shelter; conflicts with the shelter staff and the need to maintain a sense of privacy in a public environment; the frustrations of dealing with an inefficient and underfunded public bureaucracy; and the struggle to maintain a fragile sense of community in the face of such destructive forces as racism and mental illness.  [Liebow] shows a side of our society—the lower tier—that few have seen, and argues that only through a deeper understanding of poverty and its consequences will we ever be able to address successfully the problem of homelessness. (PsycINFO Database Record (c) 2016 APA, all rights reserved)","collection-title":"Tell them who I am:  The lives of homeless women.","event-place":"New York,  NY,  US","ISBN":"0-02-919095-9","note":"page: xxi, 339","number-of-pages":"xxi, 339","publisher":"Free Press","publisher-place":"New York,  NY,  US","title":"Tell them who I am:  The lives of homeless women.","author":[{"family":"Liebow","given":"Elliot"}],"issued":{"date-parts":[["1993"]]}}}],"schema":"https://github.com/citation-style-language/schema/raw/master/csl-citation.json"} </w:instrText>
      </w:r>
      <w:r w:rsidR="00DF619C">
        <w:fldChar w:fldCharType="separate"/>
      </w:r>
      <w:r w:rsidR="007C07B4" w:rsidRPr="007C07B4">
        <w:t>[133]</w:t>
      </w:r>
      <w:r w:rsidR="00DF619C">
        <w:fldChar w:fldCharType="end"/>
      </w:r>
      <w:r>
        <w:t>. This close-up lens on everyday life enabled Liebow to obtain detailed data and insights that would have been difficult to capture through other methods.</w:t>
      </w:r>
    </w:p>
    <w:p w14:paraId="4620F50B" w14:textId="22174B70" w:rsidR="009975B1" w:rsidRDefault="009975B1" w:rsidP="009975B1">
      <w:r>
        <w:t>Secondly, field research is an excellent method for understanding the role of social context in shaping people's lives and experiences. It enables researchers to grasp the intricacies and complexities of daily life and to uncover previously unknown elements of people's experiences. For instance, in his study of a Chicago housing project, sociologist Sudhir Venkatesh (2008) discovered an underground economy and a complex system of informal rules and norms that governed residents' lives, which had been largely invisible to outsiders</w:t>
      </w:r>
      <w:r w:rsidR="00587297">
        <w:t xml:space="preserve"> </w:t>
      </w:r>
      <w:r w:rsidR="00587297">
        <w:fldChar w:fldCharType="begin"/>
      </w:r>
      <w:r w:rsidR="007C07B4">
        <w:instrText xml:space="preserve"> ADDIN ZOTERO_ITEM CSL_CITATION {"citationID":"wS72Yupm","properties":{"formattedCitation":"[134]","plainCitation":"[134]","noteIndex":0},"citationItems":[{"id":358,"uris":["http://zotero.org/users/5015692/items/KMUVL7X3"],"itemData":{"id":358,"type":"book","abstract":"When Venkatesh first entered an abandoned housing project in Chicago, he was simply looking for people to answer a multiple-choice survey about urban poverty. A first-year graduate student hoping to impress his professors with his boldness, he never imagined that as a result of the assignment he would befriend a gang leader named J.T. and spend the better part of the next decade inside the projects under J.T.'s protection, documenting what he saw there. Venkatesh got to know the neighborhood dealers, crackheads, squatters, prostitutes, pimps, activists, cops, organizers, and officials. Granted this unprecedented access, he learned how J.T. and his gang ran their crack-selling business, conducted public relations within their community, and essentially acted as the neighborhoods main political, economic, and social force. This book offers a brazen inside view into the morally ambiguous, highly intricate, often corrupt struggle to survive in what is tantamount to an urban war zone. It is also the story of a complicated friendship between the author and J.T.--two young and ambitious men, side by side but a universe apart. (PsycINFO Database Record (c) 2019 APA, all rights reserved)","collection-title":"Gang leader for a day: A rogue sociologist takes to the streets.","event-place":"New York,  NY,  US","ISBN":"978-1-59420-150-9","note":"page: xiv, 302","number-of-pages":"xiv, 302","publisher":"Penguin Press","publisher-place":"New York,  NY,  US","title":"Gang leader for a day: A rogue sociologist takes to the streets.","author":[{"family":"Venkatesh","given":"Sudhir"}],"issued":{"date-parts":[["2008"]]}}}],"schema":"https://github.com/citation-style-language/schema/raw/master/csl-citation.json"} </w:instrText>
      </w:r>
      <w:r w:rsidR="00587297">
        <w:fldChar w:fldCharType="separate"/>
      </w:r>
      <w:r w:rsidR="007C07B4" w:rsidRPr="007C07B4">
        <w:t>[134]</w:t>
      </w:r>
      <w:r w:rsidR="00587297">
        <w:fldChar w:fldCharType="end"/>
      </w:r>
      <w:r>
        <w:t>.</w:t>
      </w:r>
    </w:p>
    <w:p w14:paraId="443AB85D" w14:textId="6F3D9781" w:rsidR="009975B1" w:rsidRDefault="009975B1" w:rsidP="009975B1">
      <w:r>
        <w:t>However, the rich data collected during field research comes at a cost. Because field researchers focus on depth rather than breadth, they cannot gather data from as many individuals as they could with methods like surveys. Field research is also highly time-intensive and emotionally taxing, as researchers must invest significant time and energy in building and maintaining relationships with participants.</w:t>
      </w:r>
      <w:r w:rsidR="00F225B8">
        <w:t xml:space="preserve"> Several</w:t>
      </w:r>
      <w:r w:rsidR="00F225B8" w:rsidRPr="000E309B">
        <w:t xml:space="preserve"> researchers have documented the complexities of relationships with research participants</w:t>
      </w:r>
      <w:r w:rsidR="00F225B8">
        <w:t xml:space="preserve"> </w:t>
      </w:r>
      <w:r w:rsidR="00364C81">
        <w:fldChar w:fldCharType="begin"/>
      </w:r>
      <w:r w:rsidR="007C07B4">
        <w:instrText xml:space="preserve"> ADDIN ZOTERO_ITEM CSL_CITATION {"citationID":"QamaoyOK","properties":{"formattedCitation":"[135], [136], [137]","plainCitation":"[135], [136], [137]","noteIndex":0},"citationItems":[{"id":145,"uris":["http://zotero.org/users/5015692/items/EJAPEB5T"],"itemData":{"id":145,"type":"article-journal","container-title":"Qualitative research","issue":"1","page":"3–22","title":"The intimate insider: negotiating the ethics of friendship when doing insider research","volume":"11","author":[{"family":"Taylor","given":"Jodie"}],"issued":{"date-parts":[["2011"]]}}},{"id":139,"uris":["http://zotero.org/users/5015692/items/WLL8522M"],"itemData":{"id":139,"type":"article-journal","container-title":"Journal of medical ethics and history of medicine","title":"Ethical challenges of researchers in qualitative studies: the necessity to develop a specific guideline","volume":"7","author":[{"family":"Sanjari","given":"Mahnaz"},{"family":"Bahramnezhad","given":"Fatemeh"},{"family":"Fomani","given":"Fatemeh Khoshnava"},{"family":"Shoghi","given":"Mahnaz"},{"family":"Cheraghi","given":"Mohammad Ali"}],"issued":{"date-parts":[["2014"]]}}},{"id":155,"uris":["http://zotero.org/users/5015692/items/2DV3P8PK"],"itemData":{"id":155,"type":"article-journal","container-title":"The qualitative report","issue":"29","page":"1–13","title":"On the inside looking in: Methodological insights and challenges in conducting qualitative insider research","volume":"19","author":[{"family":"Greene","given":"Melanie J"}],"issued":{"date-parts":[["2014"]]}}}],"schema":"https://github.com/citation-style-language/schema/raw/master/csl-citation.json"} </w:instrText>
      </w:r>
      <w:r w:rsidR="00364C81">
        <w:fldChar w:fldCharType="separate"/>
      </w:r>
      <w:r w:rsidR="007C07B4" w:rsidRPr="007C07B4">
        <w:t>[135], [136], [137]</w:t>
      </w:r>
      <w:r w:rsidR="00364C81">
        <w:fldChar w:fldCharType="end"/>
      </w:r>
      <w:r w:rsidR="00F225B8" w:rsidRPr="000E309B">
        <w:t>.</w:t>
      </w:r>
    </w:p>
    <w:p w14:paraId="23E72EEF" w14:textId="72AB9C9A" w:rsidR="009975B1" w:rsidRDefault="009975B1" w:rsidP="009975B1">
      <w:r>
        <w:t>Moreover, field researchers may face ethical challenges, such as maintaining appropriate boundaries, protecting participant confidentiality, and obtaining informed consent in fluid, real-world settings. For example, sociologist Alice Goffman grappled with the ethical implications of witnessing and documenting illegal activities during her fieldwork with young men in a low-income Philadelphia neighborhood</w:t>
      </w:r>
      <w:r w:rsidR="00FC038F">
        <w:t xml:space="preserve"> </w:t>
      </w:r>
      <w:r w:rsidR="00FC038F">
        <w:fldChar w:fldCharType="begin"/>
      </w:r>
      <w:r w:rsidR="007C07B4">
        <w:instrText xml:space="preserve"> ADDIN ZOTERO_ITEM CSL_CITATION {"citationID":"PbHAf8b6","properties":{"formattedCitation":"[132]","plainCitation":"[132]","noteIndex":0},"citationItems":[{"id":356,"uris":["http://zotero.org/users/5015692/items/5NAIAR43"],"itemData":{"id":356,"type":"book","abstract":"Forty years in, the War on Drugs has done almost nothing to prevent drugs from being sold or used, but it has nonetheless created a little-known surveillance state in America’s most disadvantaged neighborhoods. Arrest quotas and high-tech surveillance techniques criminalize entire blocks, and transform the very associations that should stabilize young lives—family, relationships, jobs—into liabilities, as the police use such relationships to track down suspects, demand information, and threaten consequences.\n\nAlice Goffman spent six years living in one such neighborhood in Philadelphia, and her close observations and often harrowing stories reveal the pernicious effects of this pervasive policing. Goffman introduces us to an unforgettable cast of young African American men who are caught up in this web of warrants and surveillance—some of them small-time drug dealers, others just ordinary guys dealing with limited choices. All find the web of presumed criminality, built as it is on the very associations and friendships that make up a life, nearly impossible to escape. We watch as the pleasures of summer-evening stoop-sitting are shattered by the arrival of a carful of cops looking to serve a warrant; we watch—and can’t help but be shocked—as teenagers teach their younger siblings and cousins how to run from the police (and, crucially, to keep away from friends and family so they can stay hidden); and we see, over and over, the relentless toll that the presumption of criminality takes on families—and futures.\n\nWhile not denying the problems of the drug trade, and the violence that often accompanies it, through her gripping accounts of daily life in the forgotten neighborhoods of America’s cities, Goffman makes it impossible for us to ignore the very real human costs of our failed response—the blighting of entire neighborhoods, and the needless sacrifice of whole generations.","event-place":"CHicago","language":"English","number-of-pages":"288","publisher":"The University of Chicago Press","publisher-place":"CHicago","title":"On the Run: Fugitive Life in an American City","author":[{"literal":"Goffman, Alice"}],"issued":{"date-parts":[["2014"]]}}}],"schema":"https://github.com/citation-style-language/schema/raw/master/csl-citation.json"} </w:instrText>
      </w:r>
      <w:r w:rsidR="00FC038F">
        <w:fldChar w:fldCharType="separate"/>
      </w:r>
      <w:r w:rsidR="007C07B4" w:rsidRPr="007C07B4">
        <w:t>[132]</w:t>
      </w:r>
      <w:r w:rsidR="00FC038F">
        <w:fldChar w:fldCharType="end"/>
      </w:r>
      <w:r>
        <w:t>.</w:t>
      </w:r>
    </w:p>
    <w:p w14:paraId="61AF0C47" w14:textId="77777777" w:rsidR="009975B1" w:rsidRDefault="009975B1" w:rsidP="009975B1">
      <w:r>
        <w:t>Field researchers must also be reflexive about how their own backgrounds, biases, and experiences may shape their observations and interpretations. Engaging in critical self-reflection throughout the research process can help researchers identify and mitigate potential sources of bias.</w:t>
      </w:r>
    </w:p>
    <w:p w14:paraId="531A5B6B" w14:textId="77777777" w:rsidR="009975B1" w:rsidRDefault="009975B1" w:rsidP="009975B1">
      <w:r>
        <w:t>Another limitation of field research is that the findings may not be directly generalizable to other settings or populations, given the context-specific nature of the data. However, field research can still generate valuable insights and theoretical propositions that can be tested and refined through further research.</w:t>
      </w:r>
    </w:p>
    <w:p w14:paraId="57C7E826" w14:textId="77777777" w:rsidR="009975B1" w:rsidRDefault="009975B1" w:rsidP="009975B1">
      <w:r>
        <w:t xml:space="preserve">Finally, documentation can be challenging for field researchers, who must rely primarily on their own observations and field notes. Effective documentation strategies include jotting down brief notes during observations, setting aside regular time for more detailed write-ups, and using </w:t>
      </w:r>
      <w:r>
        <w:lastRenderedPageBreak/>
        <w:t>multiple methods (e.g., field notes, photographs, audio recordings) to capture different aspects of the research experience.</w:t>
      </w:r>
    </w:p>
    <w:p w14:paraId="5327D77C" w14:textId="5708B1A5" w:rsidR="00A626FE" w:rsidRPr="000E309B" w:rsidRDefault="007609BB" w:rsidP="007609BB">
      <w:pPr>
        <w:pStyle w:val="Heading3"/>
      </w:pPr>
      <w:bookmarkStart w:id="171" w:name="_Toc169156791"/>
      <w:r>
        <w:t>G</w:t>
      </w:r>
      <w:r w:rsidR="00D14B33" w:rsidRPr="000E309B">
        <w:t xml:space="preserve">etting </w:t>
      </w:r>
      <w:r>
        <w:t>I</w:t>
      </w:r>
      <w:r w:rsidR="00D14B33" w:rsidRPr="000E309B">
        <w:t>n</w:t>
      </w:r>
      <w:bookmarkEnd w:id="171"/>
    </w:p>
    <w:p w14:paraId="2A8536B7" w14:textId="77777777" w:rsidR="00BC11E8" w:rsidRDefault="00BC11E8" w:rsidP="00BC11E8">
      <w:r w:rsidRPr="00BC11E8">
        <w:t>When planning a field research project, researchers must make two crucial decisions: choosing the field site and determining their role as observers. These decisions are influenced by various factors, some within the researcher's control and others beyond it, and they have significant implications for the data that can be collected and analyzed.</w:t>
      </w:r>
    </w:p>
    <w:p w14:paraId="68837E93" w14:textId="77777777" w:rsidR="00C71995" w:rsidRDefault="00C71995" w:rsidP="00C71995">
      <w:r>
        <w:t>While a research question can guide the choice of research location, in inductive field research the question may evolve based on initial observations. Researchers often begin fieldwork with a broad topic of interest, remaining open to refining their focus as they gather data. Even when starting with a defined question, flexibility is key as new insights emerge.</w:t>
      </w:r>
    </w:p>
    <w:p w14:paraId="4A435D7F" w14:textId="77777777" w:rsidR="00C71995" w:rsidRDefault="00C71995" w:rsidP="00C71995">
      <w:r>
        <w:t>Once a general topic is identified, several factors shape site selection:</w:t>
      </w:r>
    </w:p>
    <w:p w14:paraId="1E556F05" w14:textId="77777777" w:rsidR="00C71995" w:rsidRDefault="00C71995" w:rsidP="00AD139A">
      <w:pPr>
        <w:pStyle w:val="Heading4"/>
      </w:pPr>
      <w:r>
        <w:t>Research Goals and Topical Relevance</w:t>
      </w:r>
    </w:p>
    <w:p w14:paraId="4E90E2FD" w14:textId="77777777" w:rsidR="00C71995" w:rsidRDefault="00C71995" w:rsidP="00C71995">
      <w:r>
        <w:t>What does the researcher aim to accomplish through field research? The behaviors and interactions relevant to the research topic should be observable at the chosen site(s).</w:t>
      </w:r>
    </w:p>
    <w:p w14:paraId="4C3308E2" w14:textId="77777777" w:rsidR="00C71995" w:rsidRDefault="00C71995" w:rsidP="00AD139A">
      <w:pPr>
        <w:pStyle w:val="Heading4"/>
      </w:pPr>
      <w:r>
        <w:t>Time and Scale</w:t>
      </w:r>
    </w:p>
    <w:p w14:paraId="5CE8B0B9" w14:textId="34FEE869" w:rsidR="00C71995" w:rsidRDefault="00C71995" w:rsidP="00C71995">
      <w:r>
        <w:t xml:space="preserve">Field research often involves immersive observation over extended periods, sometimes years </w:t>
      </w:r>
      <w:r w:rsidR="00A45928">
        <w:fldChar w:fldCharType="begin"/>
      </w:r>
      <w:r w:rsidR="007C07B4">
        <w:instrText xml:space="preserve"> ADDIN ZOTERO_ITEM CSL_CITATION {"citationID":"HPkFw1ha","properties":{"formattedCitation":"[138], [139]","plainCitation":"[138], [139]","noteIndex":0},"citationItems":[{"id":153,"uris":["http://zotero.org/users/5015692/items/Q64JS9CX"],"itemData":{"id":153,"type":"article-journal","container-title":"Business Ethics: A European Review","issue":"2","page":"126–139","title":"Corporate social responsibility in small-and medium-size enterprises: investigating employee engagement in fair trade companies","volume":"19","author":[{"family":"Davies","given":"Iain A"},{"family":"Crane","given":"Andrew"}],"issued":{"date-parts":[["2010"]]}}},{"id":148,"uris":["http://zotero.org/users/5015692/items/R8EA97IG"],"itemData":{"id":148,"type":"article-journal","container-title":"International Small Business Journal","issue":"4","page":"315–337","title":"An entrepreneurial network evolving: Patterns of change","volume":"28","author":[{"family":"Jack","given":"Sarah"},{"family":"Moult","given":"Susan"},{"family":"Anderson","given":"Alistair R"},{"family":"Dodd","given":"Sarah"}],"issued":{"date-parts":[["2010"]]}}}],"schema":"https://github.com/citation-style-language/schema/raw/master/csl-citation.json"} </w:instrText>
      </w:r>
      <w:r w:rsidR="00A45928">
        <w:fldChar w:fldCharType="separate"/>
      </w:r>
      <w:r w:rsidR="007C07B4" w:rsidRPr="007C07B4">
        <w:t>[138], [139]</w:t>
      </w:r>
      <w:r w:rsidR="00A45928">
        <w:fldChar w:fldCharType="end"/>
      </w:r>
      <w:r>
        <w:t>. Researchers must assess how much time they can realistically dedicate to daily/weekly participation and observation. Smaller-scale projects may be more feasible depending on time constraints. Single or multi-site research is another key consideration.</w:t>
      </w:r>
    </w:p>
    <w:p w14:paraId="0DFAB59C" w14:textId="77777777" w:rsidR="00C71995" w:rsidRDefault="00C71995" w:rsidP="00AD139A">
      <w:pPr>
        <w:pStyle w:val="Heading4"/>
      </w:pPr>
      <w:r>
        <w:t>Geographic Limitations and Opportunities</w:t>
      </w:r>
    </w:p>
    <w:p w14:paraId="6615D0BA" w14:textId="3F43C871" w:rsidR="00C71995" w:rsidRDefault="00C71995" w:rsidP="00C71995">
      <w:r>
        <w:t>Proximity of research sites to the researcher's home base, along with ability and resources to travel, shape geographic parameters. Some researchers relocate to live near their population of interest, as seen in Professor Erik Larson's global comparative research on economic institutions</w:t>
      </w:r>
      <w:r w:rsidR="007D1CC2">
        <w:t xml:space="preserve"> </w:t>
      </w:r>
      <w:r w:rsidR="007D1CC2">
        <w:fldChar w:fldCharType="begin"/>
      </w:r>
      <w:r w:rsidR="007C07B4">
        <w:instrText xml:space="preserve"> ADDIN ZOTERO_ITEM CSL_CITATION {"citationID":"jtWiklwi","properties":{"formattedCitation":"[140]","plainCitation":"[140]","noteIndex":0},"citationItems":[{"id":147,"uris":["http://zotero.org/users/5015692/items/V2SGCBNX"],"itemData":{"id":147,"type":"article-journal","container-title":"Economy and Society","issue":"4","page":"460–487","title":"Time and the constitution of markets: internal dynamics and external relations of stock exchanges in Fiji, Ghana and Iceland","volume":"39","author":[{"family":"Larson","given":"Erik W"}],"issued":{"date-parts":[["2010"]]}}}],"schema":"https://github.com/citation-style-language/schema/raw/master/csl-citation.json"} </w:instrText>
      </w:r>
      <w:r w:rsidR="007D1CC2">
        <w:fldChar w:fldCharType="separate"/>
      </w:r>
      <w:r w:rsidR="007C07B4" w:rsidRPr="007C07B4">
        <w:t>[140]</w:t>
      </w:r>
      <w:r w:rsidR="007D1CC2">
        <w:fldChar w:fldCharType="end"/>
      </w:r>
      <w:r>
        <w:t xml:space="preserve"> and Sociologist Sara Dorow's fieldwork in China on transnational adoption</w:t>
      </w:r>
      <w:r w:rsidR="003571D1">
        <w:t xml:space="preserve"> </w:t>
      </w:r>
      <w:r w:rsidR="003571D1">
        <w:fldChar w:fldCharType="begin"/>
      </w:r>
      <w:r w:rsidR="007C07B4">
        <w:instrText xml:space="preserve"> ADDIN ZOTERO_ITEM CSL_CITATION {"citationID":"jAu6JSsg","properties":{"formattedCitation":"[141]","plainCitation":"[141]","noteIndex":0},"citationItems":[{"id":156,"uris":["http://zotero.org/users/5015692/items/5XLU9M89"],"itemData":{"id":156,"type":"article-journal","container-title":"Critical Sociology","issue":"2-3","page":"357–379","title":"Racialized Choices: Chinese adoption and thewhite noise'of blackness","volume":"32","author":[{"family":"Dorow","given":"Sara"}],"issued":{"date-parts":[["2006"]]}}}],"schema":"https://github.com/citation-style-language/schema/raw/master/csl-citation.json"} </w:instrText>
      </w:r>
      <w:r w:rsidR="003571D1">
        <w:fldChar w:fldCharType="separate"/>
      </w:r>
      <w:r w:rsidR="007C07B4" w:rsidRPr="007C07B4">
        <w:t>[141]</w:t>
      </w:r>
      <w:r w:rsidR="003571D1">
        <w:fldChar w:fldCharType="end"/>
      </w:r>
      <w:r>
        <w:t>.</w:t>
      </w:r>
    </w:p>
    <w:p w14:paraId="76758E28" w14:textId="77777777" w:rsidR="00C71995" w:rsidRDefault="00C71995" w:rsidP="00C71995">
      <w:r>
        <w:t>Existing connections, memberships, and local opportunities can counterbalance limitations and expand site possibilities. A researcher's organizational affiliations or social network may facilitate access to desirable locations.</w:t>
      </w:r>
    </w:p>
    <w:p w14:paraId="019DB9C5" w14:textId="77777777" w:rsidR="00C71995" w:rsidRDefault="00C71995" w:rsidP="00AD139A">
      <w:pPr>
        <w:pStyle w:val="Heading4"/>
      </w:pPr>
      <w:r>
        <w:t>Researcher Identity and Access</w:t>
      </w:r>
    </w:p>
    <w:p w14:paraId="1AEC795C" w14:textId="77777777" w:rsidR="00C71995" w:rsidRDefault="00C71995" w:rsidP="00C71995">
      <w:r>
        <w:t>Both voluntary (achieved) and involuntary (ascribed) aspects of a researcher's identity can affect their ability to access certain field sites and participant populations.</w:t>
      </w:r>
    </w:p>
    <w:p w14:paraId="63729380" w14:textId="77777777" w:rsidR="00C71995" w:rsidRDefault="00C71995" w:rsidP="00C71995">
      <w:r>
        <w:t>Ascribed characteristics like age, race, and mobility may raise challenges for researchers studying groups or contexts where they are demographic outliers. A middle-aged man might face obstacles doing full participant observation of children's birthday parties, for example.</w:t>
      </w:r>
    </w:p>
    <w:p w14:paraId="1299898D" w14:textId="77777777" w:rsidR="00C71995" w:rsidRDefault="00C71995" w:rsidP="00C71995">
      <w:r>
        <w:lastRenderedPageBreak/>
        <w:t>Achieved status characteristics like occupation and education are more flexible. Researchers have some control over whether and how much to disclose, and certain credentials can legitimize access to otherwise restricted locations. A licensed paralegal's qualifications may open doors at law offices.</w:t>
      </w:r>
    </w:p>
    <w:p w14:paraId="2A5E59E3" w14:textId="61ADC6A0" w:rsidR="00C71995" w:rsidRDefault="00C71995" w:rsidP="00C71995">
      <w:r>
        <w:t>Thoughtful awareness of how one's background and personal characteristics may be perceived by participants is vital. However, many successful field studies have been conducted by researchers who did not necessarily "blend in" at their sites, like Gowan's work with homeless men in San Francisco</w:t>
      </w:r>
      <w:r w:rsidR="00CC75D2">
        <w:t xml:space="preserve"> </w:t>
      </w:r>
      <w:r w:rsidR="00CC75D2">
        <w:fldChar w:fldCharType="begin"/>
      </w:r>
      <w:r w:rsidR="007C07B4">
        <w:instrText xml:space="preserve"> ADDIN ZOTERO_ITEM CSL_CITATION {"citationID":"ycY04lyK","properties":{"formattedCitation":"[142]","plainCitation":"[142]","noteIndex":0},"citationItems":[{"id":151,"uris":["http://zotero.org/users/5015692/items/LMMKL7CG"],"itemData":{"id":151,"type":"book","publisher":"U of Minnesota Press","title":"Hobos, hustlers, and backsliders: Homeless in San Francisco","author":[{"family":"Gowan","given":"Teresa"}],"issued":{"date-parts":[["2010"]]}}}],"schema":"https://github.com/citation-style-language/schema/raw/master/csl-citation.json"} </w:instrText>
      </w:r>
      <w:r w:rsidR="00CC75D2">
        <w:fldChar w:fldCharType="separate"/>
      </w:r>
      <w:r w:rsidR="007C07B4" w:rsidRPr="007C07B4">
        <w:t>[142]</w:t>
      </w:r>
      <w:r w:rsidR="00CC75D2">
        <w:fldChar w:fldCharType="end"/>
      </w:r>
      <w:r>
        <w:t>. The point is not to uphold limiting socially defined categories, but to make informed choices.</w:t>
      </w:r>
    </w:p>
    <w:p w14:paraId="405825FA" w14:textId="77777777" w:rsidR="00C71995" w:rsidRDefault="00C71995" w:rsidP="00AD139A">
      <w:pPr>
        <w:pStyle w:val="Heading4"/>
      </w:pPr>
      <w:r>
        <w:t>Collaboration Considerations</w:t>
      </w:r>
    </w:p>
    <w:p w14:paraId="10B5C39D" w14:textId="77777777" w:rsidR="00C71995" w:rsidRDefault="00C71995" w:rsidP="00C71995">
      <w:r>
        <w:t>Is the project envisioned as collaborative or individual? Collaborating expands the scope of data that can be collected and provides a support network. However, interpersonal conflicts, competing time commitments, and divergent methodologies or theoretical viewpoints among research partners can pose challenges.</w:t>
      </w:r>
    </w:p>
    <w:p w14:paraId="2378ECF0" w14:textId="32043A6D" w:rsidR="00C71995" w:rsidRDefault="00C71995" w:rsidP="00C71995">
      <w:r>
        <w:t xml:space="preserve">While limitations are key considerations, it is equally important to recognize the opportunities afforded by one's social and geographic location when selecting field sites. </w:t>
      </w:r>
      <w:r w:rsidR="00E93E65">
        <w:t>The</w:t>
      </w:r>
      <w:r>
        <w:t xml:space="preserve"> element of "being in the right place at the right time" is often also at play.</w:t>
      </w:r>
    </w:p>
    <w:p w14:paraId="5327D789" w14:textId="5684DA77" w:rsidR="00A626FE" w:rsidRPr="000E309B" w:rsidRDefault="008A037F" w:rsidP="00E06643">
      <w:pPr>
        <w:pStyle w:val="Heading3"/>
      </w:pPr>
      <w:bookmarkStart w:id="172" w:name="_Toc169156792"/>
      <w:r w:rsidRPr="008A037F">
        <w:t>Researcher Roles in Participant Observation: Navigating the Field</w:t>
      </w:r>
      <w:bookmarkEnd w:id="172"/>
    </w:p>
    <w:p w14:paraId="181A3DA0" w14:textId="77777777" w:rsidR="007D29E6" w:rsidRDefault="007D29E6" w:rsidP="007D29E6">
      <w:r>
        <w:t>Upon selecting a research site, investigators must make deliberate choices about their role and identity in the field. These decisions, shaped by both limitations and opportunities, profoundly impact the trajectory of the project.</w:t>
      </w:r>
    </w:p>
    <w:p w14:paraId="39DB6BB1" w14:textId="77777777" w:rsidR="007D29E6" w:rsidRDefault="007D29E6" w:rsidP="00E06643">
      <w:pPr>
        <w:pStyle w:val="Heading4"/>
      </w:pPr>
      <w:r>
        <w:t>Overt vs. Covert Research</w:t>
      </w:r>
    </w:p>
    <w:p w14:paraId="31BF4390" w14:textId="77777777" w:rsidR="007D29E6" w:rsidRDefault="007D29E6" w:rsidP="007D29E6">
      <w:r>
        <w:t>A fundamental decision is whether to conduct the study overtly or covertly. Overt researchers disclose their purpose to participants, while covert researchers pose as ordinary participants without revealing their research agenda.</w:t>
      </w:r>
    </w:p>
    <w:p w14:paraId="50B11BB0" w14:textId="77777777" w:rsidR="007D29E6" w:rsidRDefault="007D29E6" w:rsidP="007D29E6">
      <w:r>
        <w:t>Overt research has its advantages. Although establishing initial rapport may be challenging, having an insider vouch for the researcher can smooth the way. While participants may be self-conscious at first, knowing they are being observed, comfort levels typically increase over time. Importantly, overt researchers sidestep the ethical quandaries of deception.</w:t>
      </w:r>
    </w:p>
    <w:p w14:paraId="0D6FF9DD" w14:textId="46708B38" w:rsidR="007D29E6" w:rsidRDefault="007D29E6" w:rsidP="007D29E6">
      <w:r>
        <w:t>Conversely, covert researchers may find it easier to gain access and elicit natural behavior. However, they face dilemmas around the duration of concealment, participants' potential reactions upon discovery, and the necessity to engage in unsettling or unethical activities to maintain cover. Field researcher Richard Mitchell, who conducted covert research among right-wing survivalists, expressed profound regret over participating in violently racist and homophobic storytelling to blend in</w:t>
      </w:r>
      <w:r w:rsidR="00E14FF1">
        <w:t xml:space="preserve"> </w:t>
      </w:r>
      <w:r w:rsidR="00E14FF1">
        <w:fldChar w:fldCharType="begin"/>
      </w:r>
      <w:r w:rsidR="007C07B4">
        <w:instrText xml:space="preserve"> ADDIN ZOTERO_ITEM CSL_CITATION {"citationID":"3p1p0PGl","properties":{"formattedCitation":"[143]","plainCitation":"[143]","noteIndex":0},"citationItems":[{"id":152,"uris":["http://zotero.org/users/5015692/items/LY5ATE4W"],"itemData":{"id":152,"type":"article-journal","container-title":"Fieldwork, Experiencing","title":"An inside view of qualitative research","author":[{"family":"Shaffir","given":"W."},{"family":"Stebbins","given":"R. A."}],"issued":{"date-parts":[["1991"]]}}}],"schema":"https://github.com/citation-style-language/schema/raw/master/csl-citation.json"} </w:instrText>
      </w:r>
      <w:r w:rsidR="00E14FF1">
        <w:fldChar w:fldCharType="separate"/>
      </w:r>
      <w:r w:rsidR="007C07B4" w:rsidRPr="007C07B4">
        <w:t>[143]</w:t>
      </w:r>
      <w:r w:rsidR="00E14FF1">
        <w:fldChar w:fldCharType="end"/>
      </w:r>
      <w:r>
        <w:t>.</w:t>
      </w:r>
    </w:p>
    <w:p w14:paraId="4649BBE0" w14:textId="77777777" w:rsidR="007D29E6" w:rsidRDefault="007D29E6" w:rsidP="007D29E6">
      <w:r>
        <w:lastRenderedPageBreak/>
        <w:t>Institutional Review Board (IRB) policies may preclude deception in federally funded or institutionally affiliated research. The public or private nature of the field site also factors into the ethics of covert observation, as expectations of privacy vary.</w:t>
      </w:r>
    </w:p>
    <w:p w14:paraId="0184D024" w14:textId="77777777" w:rsidR="007D29E6" w:rsidRDefault="007D29E6" w:rsidP="00E06643">
      <w:pPr>
        <w:pStyle w:val="Heading4"/>
      </w:pPr>
      <w:r>
        <w:t>Insiders and Key Informants</w:t>
      </w:r>
    </w:p>
    <w:p w14:paraId="5F31A94D" w14:textId="77777777" w:rsidR="007D29E6" w:rsidRDefault="007D29E6" w:rsidP="007D29E6">
      <w:r>
        <w:t>Insiders or "key informants" with pre-existing connections to the researcher provide invaluable context, help interpret observations, and shed light on group culture. Cultivating relationships with multiple key informants is ideal to capture diverse perspectives.</w:t>
      </w:r>
    </w:p>
    <w:p w14:paraId="13F4E8BD" w14:textId="77777777" w:rsidR="007D29E6" w:rsidRDefault="007D29E6" w:rsidP="00DF21AF">
      <w:pPr>
        <w:pStyle w:val="Heading4"/>
      </w:pPr>
      <w:r>
        <w:t>Degree of Immersion</w:t>
      </w:r>
    </w:p>
    <w:p w14:paraId="3591649E" w14:textId="36C283CA" w:rsidR="007D29E6" w:rsidRDefault="007D29E6" w:rsidP="007D29E6">
      <w:r>
        <w:t>Within the overt/covert dichotomy, researchers must calibrate their level of engagement. Davis describes a spectrum from "Martian" to "Convert"</w:t>
      </w:r>
      <w:r w:rsidR="003D5350">
        <w:t xml:space="preserve"> </w:t>
      </w:r>
      <w:r w:rsidR="003D5350">
        <w:fldChar w:fldCharType="begin"/>
      </w:r>
      <w:r w:rsidR="007C07B4">
        <w:instrText xml:space="preserve"> ADDIN ZOTERO_ITEM CSL_CITATION {"citationID":"5xTByqUj","properties":{"formattedCitation":"[144]","plainCitation":"[144]","noteIndex":0},"citationItems":[{"id":157,"uris":["http://zotero.org/users/5015692/items/RNJ8ZWBQ"],"itemData":{"id":157,"type":"article-journal","container-title":"Urban Life and Culture","issue":"3","page":"333–343","title":"The Martian and the convert: Ontological polarities in social research","volume":"2","author":[{"family":"Davis","given":"Fred"}],"issued":{"date-parts":[["1973"]]}}}],"schema":"https://github.com/citation-style-language/schema/raw/master/csl-citation.json"} </w:instrText>
      </w:r>
      <w:r w:rsidR="003D5350">
        <w:fldChar w:fldCharType="separate"/>
      </w:r>
      <w:r w:rsidR="007C07B4" w:rsidRPr="007C07B4">
        <w:t>[144]</w:t>
      </w:r>
      <w:r w:rsidR="003D5350">
        <w:fldChar w:fldCharType="end"/>
      </w:r>
      <w:r w:rsidR="007B03AD">
        <w:t xml:space="preserve">. </w:t>
      </w:r>
      <w:r w:rsidRPr="007B03AD">
        <w:rPr>
          <w:i/>
          <w:iCs/>
        </w:rPr>
        <w:t>The Martian</w:t>
      </w:r>
      <w:r>
        <w:t xml:space="preserve"> maintains some distance, observing with an outsider's analytical lens</w:t>
      </w:r>
      <w:r w:rsidR="007B03AD">
        <w:t xml:space="preserve"> while</w:t>
      </w:r>
      <w:r>
        <w:t xml:space="preserve"> </w:t>
      </w:r>
      <w:r w:rsidRPr="00A44625">
        <w:rPr>
          <w:i/>
          <w:iCs/>
        </w:rPr>
        <w:t>The Convert</w:t>
      </w:r>
      <w:r>
        <w:t xml:space="preserve"> dives deep into participants' lives, seeking understanding through full immersion. Earlier in this chapter, "Participant Observation Levels" were delineated along a "Nonparticipation" to "Complete Membership" continuum. Thoughtful consideration of these roles is crucial.</w:t>
      </w:r>
    </w:p>
    <w:p w14:paraId="613BD48D" w14:textId="77777777" w:rsidR="007D29E6" w:rsidRDefault="007D29E6" w:rsidP="00DF21AF">
      <w:pPr>
        <w:pStyle w:val="Heading4"/>
      </w:pPr>
      <w:r>
        <w:t>Power and Exploitation</w:t>
      </w:r>
    </w:p>
    <w:p w14:paraId="4F56171D" w14:textId="77777777" w:rsidR="007D29E6" w:rsidRDefault="007D29E6" w:rsidP="007D29E6">
      <w:r>
        <w:t>As in interviewing, power imbalances and the potential for exploitation color field research relationships. Sustained interaction and blurred boundaries between "research" and personal dynamics heighten these risks. Carefully evaluating these issues is an ethical imperative.</w:t>
      </w:r>
    </w:p>
    <w:p w14:paraId="00E36758" w14:textId="77777777" w:rsidR="007D29E6" w:rsidRDefault="007D29E6" w:rsidP="007D29E6">
      <w:r>
        <w:t>Ultimately, field researchers must reflexively negotiate the complex landscape of participant observation, balancing research goals with ethical obligations. Conscientious decision-making about one's role and identity in the field sets the stage for a successful and principled project.</w:t>
      </w:r>
    </w:p>
    <w:p w14:paraId="67E64424" w14:textId="77777777" w:rsidR="001E7ED7" w:rsidRPr="001E7ED7" w:rsidRDefault="001E7ED7" w:rsidP="00DF21AF">
      <w:pPr>
        <w:pStyle w:val="Heading3"/>
      </w:pPr>
      <w:bookmarkStart w:id="173" w:name="_Toc169156793"/>
      <w:r w:rsidRPr="001E7ED7">
        <w:t>The Vital Role of Field Notes in Qualitative Research</w:t>
      </w:r>
      <w:bookmarkEnd w:id="173"/>
    </w:p>
    <w:p w14:paraId="66843DC0" w14:textId="77777777" w:rsidR="001E7ED7" w:rsidRDefault="001E7ED7" w:rsidP="001E7ED7">
      <w:r>
        <w:t>In participant observation research, field notes serve a crucial function: to capture the researcher's observations as faithfully and efficiently as possible. While not aiming for literary flair or broad accessibility, these notes form the bedrock upon which qualitative analysis is built. As the official record of what was observed, field notes should be treated with utmost seriousness and care.</w:t>
      </w:r>
    </w:p>
    <w:p w14:paraId="4C708FB8" w14:textId="77777777" w:rsidR="001E7ED7" w:rsidRDefault="001E7ED7" w:rsidP="00DF21AF">
      <w:pPr>
        <w:pStyle w:val="Heading4"/>
      </w:pPr>
      <w:r>
        <w:t xml:space="preserve">Types of Field Notes: </w:t>
      </w:r>
      <w:r w:rsidRPr="00DF21AF">
        <w:t>Descriptive</w:t>
      </w:r>
      <w:r>
        <w:t xml:space="preserve"> and Analytic</w:t>
      </w:r>
    </w:p>
    <w:p w14:paraId="4A4FB189" w14:textId="77777777" w:rsidR="001E7ED7" w:rsidRDefault="001E7ED7" w:rsidP="001E7ED7">
      <w:r>
        <w:t>Field notes can be broadly categorized into two types: descriptive and analytic. Although the boundary between "description" and "analysis" can be blurry, the distinction provides a useful framework for conceptualizing the writing and interpretation of field notes.</w:t>
      </w:r>
    </w:p>
    <w:p w14:paraId="28B85F09" w14:textId="77777777" w:rsidR="001E7ED7" w:rsidRDefault="001E7ED7" w:rsidP="00DF21AF">
      <w:pPr>
        <w:pStyle w:val="Heading4"/>
      </w:pPr>
      <w:r w:rsidRPr="00DF21AF">
        <w:t>Descriptive</w:t>
      </w:r>
      <w:r>
        <w:t xml:space="preserve"> Field Notes: Capturing Observations Objectively</w:t>
      </w:r>
    </w:p>
    <w:p w14:paraId="7E6CD2FC" w14:textId="77777777" w:rsidR="001E7ED7" w:rsidRDefault="001E7ED7" w:rsidP="001E7ED7">
      <w:r>
        <w:t>Descriptive field notes aim to document the researcher's observations as straightforwardly and objectively as possible. The goal is to present a clear, unvarnished account of what was seen, heard, and experienced in the field.</w:t>
      </w:r>
    </w:p>
    <w:p w14:paraId="4CED9D2C" w14:textId="77777777" w:rsidR="001E7ED7" w:rsidRDefault="001E7ED7" w:rsidP="001E7ED7">
      <w:r>
        <w:lastRenderedPageBreak/>
        <w:t>In these notes, the researcher strives to avoid explanations, comments, or interpretations of the observed phenomena. The focus is on capturing the raw data of observation, unfiltered by the researcher's subjective lens. By maintaining this descriptive stance, the researcher lays the groundwork for subsequent analysis.</w:t>
      </w:r>
    </w:p>
    <w:p w14:paraId="48BE365F" w14:textId="77777777" w:rsidR="001E7ED7" w:rsidRDefault="001E7ED7" w:rsidP="001E7ED7">
      <w:r>
        <w:t>However, it is important to acknowledge that pure objectivity is an elusive ideal. Even in striving for unbiased description, the researcher's perceptions and choices about what to record inevitably shape the content of field notes. Nonetheless, the aim of descriptive field notes is to minimize overt interpretation and present observations as neutrally as possible.</w:t>
      </w:r>
    </w:p>
    <w:p w14:paraId="4C57EA4B" w14:textId="77777777" w:rsidR="001E7ED7" w:rsidRDefault="001E7ED7" w:rsidP="00E06643">
      <w:pPr>
        <w:pStyle w:val="Heading4"/>
      </w:pPr>
      <w:r>
        <w:t>The Power of Descriptive Field Notes</w:t>
      </w:r>
    </w:p>
    <w:p w14:paraId="74371BD8" w14:textId="77777777" w:rsidR="001E7ED7" w:rsidRDefault="001E7ED7" w:rsidP="001E7ED7">
      <w:r>
        <w:t>While descriptive field notes may seem mundane or unremarkable in the moment, they are a vital component of qualitative research. These notes provide the foundation upon which researchers can build their understanding of the social world they are studying.</w:t>
      </w:r>
    </w:p>
    <w:p w14:paraId="4792AAC8" w14:textId="77777777" w:rsidR="001E7ED7" w:rsidRDefault="001E7ED7" w:rsidP="001E7ED7">
      <w:r>
        <w:t>By capturing the details of everyday life, interactions, and events in the field, descriptive notes enable researchers to identify patterns, themes, and insights that may not be immediately apparent. They serve as the raw material for generating questions, developing hypotheses, and constructing theoretical frameworks.</w:t>
      </w:r>
    </w:p>
    <w:p w14:paraId="2777A743" w14:textId="77777777" w:rsidR="001E7ED7" w:rsidRDefault="001E7ED7" w:rsidP="001E7ED7">
      <w:r>
        <w:t>Moreover, descriptive field notes serve as evidence of the researcher's work and the basis for substantiating claims and conclusions. In qualitative research, where replicability is often not possible, field notes provide a measure of transparency and accountability. They allow others to understand the context and foundation of the researcher's analysis.</w:t>
      </w:r>
    </w:p>
    <w:p w14:paraId="51C37F86" w14:textId="21141261" w:rsidR="0051300F" w:rsidRPr="0051300F" w:rsidRDefault="0051300F" w:rsidP="001567BF">
      <w:pPr>
        <w:pStyle w:val="Heading4"/>
      </w:pPr>
      <w:r w:rsidRPr="0051300F">
        <w:t xml:space="preserve">Strategies and Challenges in Field </w:t>
      </w:r>
      <w:r w:rsidR="00D04417" w:rsidRPr="0051300F">
        <w:t>Notetaking</w:t>
      </w:r>
    </w:p>
    <w:p w14:paraId="77ABD809" w14:textId="361CD7E0" w:rsidR="00D04417" w:rsidRDefault="00D04417" w:rsidP="00D04417">
      <w:r>
        <w:t>Field researchers employ various strategies to record their observations while immersed in the research setting. While some contexts, such as meetings, may allow for leisurely notetaking with a notebook or tablet, most field research requires more creative approaches. Researchers have been known to jot notes on their hands, carry tiny notebooks or recorders, and even scribble on toilet paper during restroom breaks. The proliferation of smartphones has made field note-taking less conspicuous</w:t>
      </w:r>
      <w:r w:rsidR="004E7FFE">
        <w:t xml:space="preserve"> since</w:t>
      </w:r>
      <w:r>
        <w:t xml:space="preserve"> using a phone blends seamlessly into most environments.</w:t>
      </w:r>
    </w:p>
    <w:p w14:paraId="0E5CF05C" w14:textId="77777777" w:rsidR="00D04417" w:rsidRDefault="00D04417" w:rsidP="00D04417">
      <w:r>
        <w:t>The optimal note-taking strategy hinges on the specific research site and the researcher's role. When a notebook or smartphone does not seem out of place, these tools should be utilized. However, researchers must strike a delicate balance between jotting down observations and fully engaging in the setting. While pure observers may find this balance easier to achieve, participant-observers must be particularly mindful not to let note-taking detract from their immersion in the field.</w:t>
      </w:r>
    </w:p>
    <w:p w14:paraId="4EC3AFB9" w14:textId="0570FB3C" w:rsidR="003D00D3" w:rsidRPr="000E309B" w:rsidRDefault="003D00D3" w:rsidP="003D00D3">
      <w:r w:rsidRPr="000E309B">
        <w:rPr>
          <w:noProof/>
        </w:rPr>
        <w:lastRenderedPageBreak/>
        <w:drawing>
          <wp:anchor distT="0" distB="0" distL="114300" distR="114300" simplePos="0" relativeHeight="251912276" behindDoc="0" locked="0" layoutInCell="1" allowOverlap="1" wp14:anchorId="44393662" wp14:editId="61D5AD12">
            <wp:simplePos x="0" y="0"/>
            <wp:positionH relativeFrom="page">
              <wp:posOffset>1485900</wp:posOffset>
            </wp:positionH>
            <wp:positionV relativeFrom="paragraph">
              <wp:posOffset>1304925</wp:posOffset>
            </wp:positionV>
            <wp:extent cx="4791456" cy="2816352"/>
            <wp:effectExtent l="19050" t="19050" r="28575" b="22225"/>
            <wp:wrapTopAndBottom/>
            <wp:docPr id="17671" name="Picture 17671" descr="A notebook with writing and drawings&#10;&#10;Description automatically generated"/>
            <wp:cNvGraphicFramePr/>
            <a:graphic xmlns:a="http://schemas.openxmlformats.org/drawingml/2006/main">
              <a:graphicData uri="http://schemas.openxmlformats.org/drawingml/2006/picture">
                <pic:pic xmlns:pic="http://schemas.openxmlformats.org/drawingml/2006/picture">
                  <pic:nvPicPr>
                    <pic:cNvPr id="17671" name="Picture 17671" descr="A notebook with writing and drawings&#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791456" cy="281635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04417">
        <w:t>In situations where overt notetaking would be inappropriate or disruptive, researchers may still find opportunities to jot down brief notes discreetly. Developing a "shorthand" system of abbreviations and symbols can help maximize efficiency and minimize time away from participation. Many field researchers hone such techniques to streamline their note-taking process.</w:t>
      </w:r>
      <w:r>
        <w:t xml:space="preserve"> The following figure </w:t>
      </w:r>
      <w:r w:rsidRPr="000E309B">
        <w:t xml:space="preserve">is an example page from a field notebook found at the United States Library of Congress, </w:t>
      </w:r>
      <w:hyperlink r:id="rId263" w:history="1">
        <w:r w:rsidRPr="00620222">
          <w:rPr>
            <w:rStyle w:val="Hyperlink"/>
          </w:rPr>
          <w:t>https://www.loc.gov/folklife/edresources/ed-trainingdocuments.html</w:t>
        </w:r>
      </w:hyperlink>
      <w:hyperlink r:id="rId264">
        <w:r w:rsidRPr="000E309B">
          <w:rPr>
            <w:rStyle w:val="Hyperlink"/>
          </w:rPr>
          <w:t>.</w:t>
        </w:r>
      </w:hyperlink>
    </w:p>
    <w:p w14:paraId="6725FC72" w14:textId="77777777" w:rsidR="00237885" w:rsidRDefault="00237885" w:rsidP="00237885">
      <w:pPr>
        <w:pStyle w:val="NoSpacing"/>
      </w:pPr>
    </w:p>
    <w:p w14:paraId="7BDC9DE0" w14:textId="5D5D80E0" w:rsidR="00D04417" w:rsidRDefault="00D04417" w:rsidP="00D04417">
      <w:r>
        <w:t xml:space="preserve">As with any skill, proficiency in field </w:t>
      </w:r>
      <w:r w:rsidR="003B1610">
        <w:t>notetaking</w:t>
      </w:r>
      <w:r>
        <w:t xml:space="preserve"> develops through practice. Far from being casual endeavors, field research and note-taking are deliberate and systematic. However, for novice researchers, the process may initially feel haphazard. Knowing when, what, where, and how to write are competencies that emerge through hands-on experience.</w:t>
      </w:r>
    </w:p>
    <w:p w14:paraId="297CFD07" w14:textId="7A37CCEF" w:rsidR="00D04417" w:rsidRDefault="00D04417" w:rsidP="00D04417">
      <w:r>
        <w:t xml:space="preserve">Despite the inherent challenges, the effort invested in field </w:t>
      </w:r>
      <w:r w:rsidR="00B34996">
        <w:t>notetaking</w:t>
      </w:r>
      <w:r>
        <w:t xml:space="preserve"> is invaluable. These notes form the foundation for more comprehensive write-ups and, ultimately, the analysis. Drawing on the philosophical thought experiment, "If a tree falls in the woods, but nobody hears it, did it make a sound?" one could argue that unrecorded observations are essentially lost to the research. Given the impossibility of remembering every detail across hours, days, months, or even years of fieldwork, diligent </w:t>
      </w:r>
      <w:r w:rsidR="00E8399F">
        <w:t>notetaking</w:t>
      </w:r>
      <w:r>
        <w:t xml:space="preserve"> is indispensable. Researchers must strive to write notes in the field to the extent possible and elaborate on them at the earliest opportunity in a more focused setting.</w:t>
      </w:r>
    </w:p>
    <w:p w14:paraId="6DCAAAFC" w14:textId="77777777" w:rsidR="00971888" w:rsidRPr="00971888" w:rsidRDefault="00971888" w:rsidP="00971888">
      <w:pPr>
        <w:pStyle w:val="Heading4"/>
      </w:pPr>
      <w:r w:rsidRPr="00971888">
        <w:t>Expanding Field Notes: Capturing Detail and Reflection</w:t>
      </w:r>
    </w:p>
    <w:p w14:paraId="3B6AA93B" w14:textId="77777777" w:rsidR="00A92319" w:rsidRDefault="00A92319" w:rsidP="00A92319">
      <w:r>
        <w:t>Immediately following any field observation, researchers should dedicate time to elaborating on the concise notes jotted down in the moment. Even if the initial notes seem comprehensive, the act of revisiting them in a distraction-free environment can yield surprising recollections. This review process also presents an ideal opportunity to incorporate reflections on the observed events.</w:t>
      </w:r>
    </w:p>
    <w:p w14:paraId="2549BE0C" w14:textId="77777777" w:rsidR="00A92319" w:rsidRDefault="00A92319" w:rsidP="00A92319">
      <w:r>
        <w:lastRenderedPageBreak/>
        <w:t>As researchers transcribe their notes into a digital format, they should strive to fill in any gaps and record as much detail as possible. While some details may seem trivial, it is prudent to err on the side of over-documentation. Comprehensive notes help researchers avoid the pitfall of generalization. Rather than making broad statements like "everyone discussed the topic," notes should specify who was speaking or acknowledge any uncertainty. Similarly, instead of labeling someone as "angry," it is more valuable to describe the specific behaviors that led to this interpretation, such as yelling, facial flushing, or gesticulation.</w:t>
      </w:r>
    </w:p>
    <w:p w14:paraId="10D05068" w14:textId="77777777" w:rsidR="00A92319" w:rsidRDefault="00A92319" w:rsidP="00A92319">
      <w:r>
        <w:t>In addition to capturing the nuances of interactions and conversations, researchers must also document the precise location and context of the observed activities. Early in a field research project, there may be a heightened emphasis on describing the physical setting and the individuals involved. These initial notes might include detailed depictions of the environment and key players. Some researchers find it helpful to sketch maps or, when appropriate, take photographs of the field sites. As observations continue in the same location and with the same participants, these descriptive elements may become less salient, making the early documentation particularly valuable.</w:t>
      </w:r>
    </w:p>
    <w:p w14:paraId="599ABF10" w14:textId="77777777" w:rsidR="00A92319" w:rsidRDefault="00A92319" w:rsidP="00A92319">
      <w:r>
        <w:t>To maintain the distinction between objective observations and subjective interpretations, researchers often employ specific punctuation or formatting conventions. For example, they might use all-capital letters or brackets to set apart personal thoughts and reactions. While these interpretive notes may not always be directly utilized, they can provide valuable insights during the analysis phase.</w:t>
      </w:r>
    </w:p>
    <w:p w14:paraId="52131E39" w14:textId="77777777" w:rsidR="00A92319" w:rsidRDefault="00A92319" w:rsidP="00A92319">
      <w:r>
        <w:t>Indeed, the "here is what I thought" segments of field notes serve multiple purposes. They may capture complex emotions or impressions, particularly when researchers experience frustration or annoyance in the field. Given the interpersonal nature of field research and the inevitable ups and downs of relationships with participants, documenting these emotional responses is crucial. Such reflections can inform later analysis, provide catharsis in the moment, or expose potential biases that researchers must acknowledge as confounding factors.</w:t>
      </w:r>
    </w:p>
    <w:p w14:paraId="0D2A2295" w14:textId="77777777" w:rsidR="00A92319" w:rsidRDefault="00A92319" w:rsidP="00A92319">
      <w:r>
        <w:t>The specific approach to organizing and formatting field notes will vary among researchers, depending on their individual preferences and needs. Some may use brackets for personal reflections, while others opt for word processor comments, distinct font styles, or color-coding. Another option is to create a two-column structure, with one column reserved for direct observations and the other for reactions and impressions. Ultimately, the key is to adopt a strategy that enables accurate, detailed recording while clearly distinguishing between observations and interpretations.</w:t>
      </w:r>
    </w:p>
    <w:p w14:paraId="36A23148" w14:textId="061A2818" w:rsidR="00A800E5" w:rsidRPr="000E309B" w:rsidRDefault="00A800E5" w:rsidP="00A800E5">
      <w:r>
        <w:t>As an example, the following is an excerpt from</w:t>
      </w:r>
      <w:r w:rsidR="003B38D0">
        <w:t xml:space="preserve"> Amy</w:t>
      </w:r>
      <w:r>
        <w:t xml:space="preserve"> Blackstone’s first meeting with two</w:t>
      </w:r>
      <w:r w:rsidRPr="000E309B">
        <w:t xml:space="preserve"> key informants in a field research project concerning the breast cancer movement</w:t>
      </w:r>
      <w:r>
        <w:t xml:space="preserve"> </w:t>
      </w:r>
      <w:r>
        <w:fldChar w:fldCharType="begin"/>
      </w:r>
      <w:r w:rsidR="007C07B4">
        <w:instrText xml:space="preserve"> ADDIN ZOTERO_ITEM CSL_CITATION {"citationID":"ajinfhAb","properties":{"formattedCitation":"[2]","plainCitation":"[2]","noteIndex":0},"citationItems":[{"id":82,"uris":["http://zotero.org/users/5015692/items/KPFQFANX"],"itemData":{"id":82,"type":"book","publisher":"The Saylor Foundation","title":"Principles of sociological inquiry–qualitative and quantitative methods","author":[{"family":"Blackstone","given":"Amy"}],"issued":{"date-parts":[["2012"]]}}}],"schema":"https://github.com/citation-style-language/schema/raw/master/csl-citation.json"} </w:instrText>
      </w:r>
      <w:r>
        <w:fldChar w:fldCharType="separate"/>
      </w:r>
      <w:r w:rsidR="007C07B4" w:rsidRPr="007C07B4">
        <w:t>[2]</w:t>
      </w:r>
      <w:r>
        <w:fldChar w:fldCharType="end"/>
      </w:r>
      <w:r w:rsidRPr="000E309B">
        <w:t>.</w:t>
      </w:r>
    </w:p>
    <w:p w14:paraId="07495C9E" w14:textId="77777777" w:rsidR="00A800E5" w:rsidRPr="000E309B" w:rsidRDefault="00A800E5" w:rsidP="00A800E5">
      <w:pPr>
        <w:pStyle w:val="Quote"/>
      </w:pPr>
      <w:r w:rsidRPr="000E309B">
        <w:t>1/14/99, 11:00am</w:t>
      </w:r>
    </w:p>
    <w:p w14:paraId="2472DB7D" w14:textId="77777777" w:rsidR="00A800E5" w:rsidRPr="000E309B" w:rsidRDefault="00A800E5" w:rsidP="00A800E5">
      <w:pPr>
        <w:pStyle w:val="Quote"/>
      </w:pPr>
      <w:r w:rsidRPr="000E309B">
        <w:lastRenderedPageBreak/>
        <w:t>Met Jane and Polly at the XX office today. I was scheduled to be there at 10:30 but traffic was so bad due to last night’s snow storm that I did not get there until 11:00am. Jane and Polly did not seem bothered by my tardiness (Polly, “We don’t keep a time clock around here.”). I walked into the building and took the elevator up to the second floor. I was a little unsure about where to go from there so I just walked into the first open door and said, “I’m looking for the XX office.” A woman showed me into a large office (long and slightly irregular shape with windows on one wall, a desk and table and many chairs. Also two computers set up on a counter that runs along the wall across from the windows.) Two women were looking at a computer screen that was on the counter. When I walked in I introduced myself and Jane and Polly introduced themselves to me. Both women shook my hand, though Jane was the first to do so and did so with slightly more selfassurance than Polly. Polly told me to hang my coat on one of the “coat racks” and gestured to the many chairs that were around the office. I placed my coat and purse in what I hoped would be the most out of the way location; a corner behind the table.</w:t>
      </w:r>
    </w:p>
    <w:p w14:paraId="7885F46E" w14:textId="326D18BE" w:rsidR="00A800E5" w:rsidRDefault="0020553A" w:rsidP="00A800E5">
      <w:r w:rsidRPr="0020553A">
        <w:t>Though its compelling plot and prose will not win it a Pulitzer Prize, that is not its goal. Rather, Blackstone wanted to provide a setting and a first impression of the two women who would probably be contenders for important informants. Note that whenever someone is directly cited, quotation marks are used</w:t>
      </w:r>
      <w:r w:rsidR="00BE3941">
        <w:t xml:space="preserve"> since h</w:t>
      </w:r>
      <w:r w:rsidRPr="0020553A">
        <w:t>ours or even minutes after they are heard, direct quotes might be difficult to recall.</w:t>
      </w:r>
    </w:p>
    <w:p w14:paraId="6B26BDFD" w14:textId="0E29AD96" w:rsidR="007B2668" w:rsidRDefault="007B2668" w:rsidP="007B2668">
      <w:pPr>
        <w:pStyle w:val="Heading3"/>
      </w:pPr>
      <w:bookmarkStart w:id="174" w:name="_Toc169156794"/>
      <w:r>
        <w:t>Technology in Field Research</w:t>
      </w:r>
      <w:bookmarkEnd w:id="174"/>
    </w:p>
    <w:p w14:paraId="1085F0BD" w14:textId="77777777" w:rsidR="00E92330" w:rsidRDefault="00E92330" w:rsidP="00E92330">
      <w:r>
        <w:t>In recent years, technology has become an increasingly integral part of field research, offering new tools and methods for data collection, management, and communication. From smartphones and tablets to specialized software and social media platforms, researchers now have access to a wide range of digital resources that can enhance and streamline their work in the field.</w:t>
      </w:r>
    </w:p>
    <w:p w14:paraId="7E27CC80" w14:textId="56A58A46" w:rsidR="00E92330" w:rsidRDefault="00E92330" w:rsidP="00E92330">
      <w:r>
        <w:t xml:space="preserve">One of the primary ways technology is used in field research is for data collection. Researchers can now use smartphones or tablets to record audio or video, take photographs, and input field notes directly into digital formats. This not only saves time and reduces the risk of lost or damaged paper notes but also allows for easy organization and searching of data. </w:t>
      </w:r>
      <w:r w:rsidR="00645D3E">
        <w:t>For example, i</w:t>
      </w:r>
      <w:r w:rsidR="00645D3E" w:rsidRPr="00645D3E">
        <w:t>n a study conducted by Kaufmann and Peil, the researchers used smartphone diaries to collect data on the everyday experiences of international students in Germany</w:t>
      </w:r>
      <w:r w:rsidR="00666060">
        <w:t xml:space="preserve"> </w:t>
      </w:r>
      <w:r w:rsidR="00666060">
        <w:fldChar w:fldCharType="begin"/>
      </w:r>
      <w:r w:rsidR="007C07B4">
        <w:instrText xml:space="preserve"> ADDIN ZOTERO_ITEM CSL_CITATION {"citationID":"ApTVStrZ","properties":{"formattedCitation":"[145]","plainCitation":"[145]","noteIndex":0},"citationItems":[{"id":364,"uris":["http://zotero.org/users/5015692/items/NB4H5N8T"],"itemData":{"id":364,"type":"article-journal","abstract":"How do people use media technologies in everyday life and how do they make sense of them? This is one of the core questions in media and communication studies, gaining even more in relevance in light of the rapidly changing, convergent media environment. Yet, rich and context-sensitive data about media and technology use are difficult to generate when media consumption is increasingly pervasive, ubiquitous, and often goes on in passing. At the same time, the full potential of smartphones in qualitative research has not yet been realized. The mobile instant messaging interview (MIMI) introduced and assessed in this paper is intended to fill this gap by exploiting some of the unique communication and multimedia features offered by mobile instant messaging apps. Drawing on diary techniques and on the tried and tested mobile experience sampling method (MESM), the MIMI uses WhatsApp for an in situ exploration of distinct settings and situations of social action (e.g., media usage). To substantiate the approach, the results of a pilot study conducted with young smartphone users are presented, discussing the advantages and drawbacks of mobile instant messaging interviews in detail, from the researcher?s as well as the participant?s point of view.","container-title":"Mobile Media &amp; Communication","DOI":"10.1177/2050157919852392","ISSN":"2050-1579","issue":"2","note":"publisher: SAGE Publications","page":"229-246","title":"The mobile instant messaging interview (MIMI): Using WhatsApp to enhance self-reporting and explore media usage in situ","volume":"8","author":[{"family":"Kaufmann","given":"Katja"},{"family":"Peil","given":"Corinna"}],"issued":{"date-parts":[["2020",5,1]]}}}],"schema":"https://github.com/citation-style-language/schema/raw/master/csl-citation.json"} </w:instrText>
      </w:r>
      <w:r w:rsidR="00666060">
        <w:fldChar w:fldCharType="separate"/>
      </w:r>
      <w:r w:rsidR="007C07B4" w:rsidRPr="007C07B4">
        <w:t>[145]</w:t>
      </w:r>
      <w:r w:rsidR="00666060">
        <w:fldChar w:fldCharType="end"/>
      </w:r>
      <w:r w:rsidR="00645D3E" w:rsidRPr="00645D3E">
        <w:t>.</w:t>
      </w:r>
      <w:r w:rsidR="001C3C74">
        <w:t xml:space="preserve"> </w:t>
      </w:r>
      <w:r w:rsidR="001C3C74" w:rsidRPr="001C3C74">
        <w:t>The</w:t>
      </w:r>
      <w:r w:rsidR="00666060">
        <w:t>y</w:t>
      </w:r>
      <w:r w:rsidR="001C3C74" w:rsidRPr="001C3C74">
        <w:t xml:space="preserve"> employed a combination of mobile instant messaging interviews (MIMIs) via WhatsApp and mobile media diaries to gather data from 34 international students over a period of six months.</w:t>
      </w:r>
    </w:p>
    <w:p w14:paraId="5EA1B77B" w14:textId="7CB4D63F" w:rsidR="00E92330" w:rsidRDefault="00E92330" w:rsidP="00E92330">
      <w:r>
        <w:t xml:space="preserve">In addition to data collection, technology can also assist with data management and analysis. Qualitative data analysis software such as NVivo or ATLAS.ti allows researchers to organize, code, and analyze large amounts of data more efficiently than manual methods. These programs can help researchers identify patterns, themes, and relationships in their data, as well as visualize their </w:t>
      </w:r>
      <w:r>
        <w:lastRenderedPageBreak/>
        <w:t>findings through charts, graphs, or maps. For instance, in their study of community participation in urban agriculture projects, researchers used NVivo to analyze interview transcripts and field notes, enabling them to identify key motivations and challenges faced by participants</w:t>
      </w:r>
      <w:r w:rsidR="00020742">
        <w:t xml:space="preserve"> </w:t>
      </w:r>
      <w:r w:rsidR="00241C90">
        <w:fldChar w:fldCharType="begin"/>
      </w:r>
      <w:r w:rsidR="007C07B4">
        <w:instrText xml:space="preserve"> ADDIN ZOTERO_ITEM CSL_CITATION {"citationID":"SyEFHJ9B","properties":{"formattedCitation":"[146]","plainCitation":"[146]","noteIndex":0},"citationItems":[{"id":363,"uris":["http://zotero.org/users/5015692/items/QS82GIBA"],"itemData":{"id":363,"type":"article-journal","abstract":"Abstract Community gardening is lauded as an urban planning tool to enhance local food systems while improving degraded urban environments. To understand how best to expand community gardening participation, this study explores the perceived benefits of community gardening in Baltimore, Maryland. In-depth interviews and focused group interviews with community gardeners revealed that gardens provide benefits at multiple levels, creating an ?urban oasis? that provides refuge from urban decay while revitalizing city neighborhoods. At the individual level, gardeners underscored psychological benefits, including pride and a connection with nature. At the neighborhood level, gardeners developed trusting relationships with their neighbors and shared learning experiences. At the community level, gardeners perceived that gardens reclaim city space by cleaning up degraded lots, creating gathering places, and improving the food environment. The variety of perceived benefits that gardens provide to individuals and their communities should be promoted as a tool for developing healthy urban environments.","container-title":"Culture, Agriculture, Food and Environment","DOI":"10.1111/cuag.12035","ISSN":"2153-9553","issue":"2","journalAbbreviation":"Culture, Agriculture, Food and Environment","note":"publisher: John Wiley &amp; Sons, Ltd","page":"69-82","title":"Growing an Urban Oasis: A Qualitative Study of the Perceived Benefits of Community Gardening in Baltimore, Maryland","volume":"36","author":[{"family":"Poulsen","given":"Melissa N."},{"family":"Hulland","given":"Kristyna R. S."},{"family":"Gulas","given":"Carolyn A."},{"family":"Pham","given":"Hieu"},{"family":"Dalglish","given":"Sarah L."},{"family":"Wilkinson","given":"Rebecca K."},{"family":"Winch","given":"Peter J."}],"issued":{"date-parts":[["2014",12,1]]}}}],"schema":"https://github.com/citation-style-language/schema/raw/master/csl-citation.json"} </w:instrText>
      </w:r>
      <w:r w:rsidR="00241C90">
        <w:fldChar w:fldCharType="separate"/>
      </w:r>
      <w:r w:rsidR="007C07B4" w:rsidRPr="007C07B4">
        <w:t>[146]</w:t>
      </w:r>
      <w:r w:rsidR="00241C90">
        <w:fldChar w:fldCharType="end"/>
      </w:r>
      <w:r>
        <w:t>.</w:t>
      </w:r>
    </w:p>
    <w:p w14:paraId="58A5AAC9" w14:textId="77777777" w:rsidR="00E92330" w:rsidRDefault="00E92330" w:rsidP="00E92330">
      <w:r>
        <w:t>Technology can also facilitate communication and collaboration among researchers and with participants. Email, instant messaging, and video conferencing tools like Skype or Zoom allow researchers to stay connected with colleagues and share updates or insights in real-time, even when working in different locations. Social media platforms such as Facebook or Twitter can be used to recruit participants, disseminate findings, or engage in public outreach. However, researchers must be mindful of ethical considerations when using these tools, such as maintaining participant confidentiality and obtaining informed consent for online interactions.</w:t>
      </w:r>
    </w:p>
    <w:p w14:paraId="191D1C5F" w14:textId="77777777" w:rsidR="00E92330" w:rsidRDefault="00E92330" w:rsidP="00E92330">
      <w:r>
        <w:t>While technology offers many benefits for field research, it is not without its challenges and limitations. Researchers must be trained in the proper use of digital tools and be prepared to troubleshoot technical issues that may arise in the field. They must also consider the potential impact of technology on their relationships with participants, as the presence of recording devices or laptops may alter the dynamics of interactions or create barriers to building rapport. Additionally, the use of technology may not be appropriate or feasible in all research contexts, such as in communities with limited access to digital resources or in settings where technology is viewed with suspicion or distrust.</w:t>
      </w:r>
    </w:p>
    <w:p w14:paraId="7C2102BD" w14:textId="109FE0AF" w:rsidR="007D7BC9" w:rsidRDefault="00E92330" w:rsidP="00E92330">
      <w:r>
        <w:t>Despite these challenges, the integration of technology in field research has the potential to enhance the efficiency, depth, and impact of qualitative inquiry. As digital tools continue to evolve and become more accessible, researchers must remain open to new possibilities while also being critical and reflective about their use. By leveraging technology thoughtfully and ethically, field researchers can collect richer data, gain new insights, and share their findings with a wider audience, ultimately contributing to a more comprehensive understanding of the social world.</w:t>
      </w:r>
    </w:p>
    <w:p w14:paraId="5327D7AE" w14:textId="123D5F81" w:rsidR="00A626FE" w:rsidRPr="000E309B" w:rsidRDefault="006A4CB0" w:rsidP="006A4CB0">
      <w:pPr>
        <w:pStyle w:val="Heading3"/>
      </w:pPr>
      <w:bookmarkStart w:id="175" w:name="_Toc169156795"/>
      <w:r>
        <w:t>A</w:t>
      </w:r>
      <w:r w:rsidR="00D14B33" w:rsidRPr="000E309B">
        <w:t xml:space="preserve">nalysis of </w:t>
      </w:r>
      <w:r>
        <w:t>F</w:t>
      </w:r>
      <w:r w:rsidR="00D14B33" w:rsidRPr="000E309B">
        <w:t xml:space="preserve">ield </w:t>
      </w:r>
      <w:r>
        <w:t>R</w:t>
      </w:r>
      <w:r w:rsidR="00D14B33" w:rsidRPr="000E309B">
        <w:t xml:space="preserve">esearch </w:t>
      </w:r>
      <w:r>
        <w:t>D</w:t>
      </w:r>
      <w:r w:rsidR="00D14B33" w:rsidRPr="000E309B">
        <w:t>ata</w:t>
      </w:r>
      <w:bookmarkEnd w:id="175"/>
    </w:p>
    <w:p w14:paraId="1AC40BB3" w14:textId="77777777" w:rsidR="009A7FAB" w:rsidRDefault="009A7FAB" w:rsidP="009A7FAB">
      <w:r>
        <w:t>Writing and analyzing field notes is a process of moving from pure description to deeper analysis. Field notes can span a range from primarily descriptive in nature to more analytic. Descriptive field notes capture the objective details of what was observed. In contrast, analytic field notes go a step further by incorporating the researcher's own impressions, interpretations, and emerging insights about those observations.</w:t>
      </w:r>
    </w:p>
    <w:p w14:paraId="4BC77365" w14:textId="77777777" w:rsidR="009A7FAB" w:rsidRDefault="009A7FAB" w:rsidP="009A7FAB">
      <w:r>
        <w:t>The analysis of field note data begins from the moment a researcher enters the field and continues throughout their interactions with participants, the writing of notes, and reflection on the meaning of those experiences. Often there is a natural progression from descriptive to more analytic notes once the researcher leaves a given observation period. The initial jotted notes or recordings captured in the field, sometimes scribbled on a notepad or even on the researcher's hand, must then be converted into more organized, readable notes, typically by typing them up on a computer. This is a crucial transition point where the analysis often begins.</w:t>
      </w:r>
    </w:p>
    <w:p w14:paraId="2B64655A" w14:textId="4B1DF988" w:rsidR="009A7FAB" w:rsidRDefault="009A7FAB" w:rsidP="009A7FAB">
      <w:r>
        <w:lastRenderedPageBreak/>
        <w:t xml:space="preserve">Paying close attention and capturing as much detail as possible while still in the field is essential. However, the immediate post-observation period is just as critical. Researchers often spend several hours typing up their field notes after each observation session. This keyboarding process provides invaluable time for reflection away from the field, allowing the researcher to contemplate the significance of what they observed and to capture emerging analytic insights. Even details that seemed unimportant </w:t>
      </w:r>
      <w:r w:rsidR="00A738CF">
        <w:t>now</w:t>
      </w:r>
      <w:r>
        <w:t xml:space="preserve"> may later prove to be crucial pieces of the analytic puzzle.</w:t>
      </w:r>
    </w:p>
    <w:p w14:paraId="64DE46D7" w14:textId="23074089" w:rsidR="009A7FAB" w:rsidRDefault="009A7FAB" w:rsidP="009A7FAB">
      <w:r>
        <w:t xml:space="preserve">Once the analytic field notes are compiled in an electronic format, the researcher can begin the process of coding the data to identify patterns and themes. As described in Chapter 10, coding is an iterative process involving cycles of open coding to identify initial concepts, followed by focused coding to </w:t>
      </w:r>
      <w:r w:rsidR="00A738CF">
        <w:t>home in on</w:t>
      </w:r>
      <w:r>
        <w:t xml:space="preserve"> the most frequent or significant themes. Through this systematic coding process, the researcher allows the data itself to guide the discovery of concepts rather than searching for preconceived hypotheses.</w:t>
      </w:r>
    </w:p>
    <w:p w14:paraId="34851357" w14:textId="77777777" w:rsidR="009A7FAB" w:rsidRDefault="009A7FAB" w:rsidP="009A7FAB">
      <w:r>
        <w:t>This "bottom-up" analytic approach is sometimes called grounded theory (see Chapter 2). As the name suggests, the goal is to generate theory that is grounded in the empirical observation of a group's actual lived experience. The researcher approaches the analysis with an open-minded desire to understand the social setting, allowing the data to guide the conceptual discovery process. For example, a researcher observing a classroom might capture rich descriptive details about student-teacher interactions, environmental factors, and social dynamics. During analysis, concepts like authority structures, engagement levels, or peer influences might emerge as key theoretical insights grounded in those specific observations.</w:t>
      </w:r>
    </w:p>
    <w:p w14:paraId="5327D7B5" w14:textId="7CACB0BA" w:rsidR="00A626FE" w:rsidRPr="000E309B" w:rsidRDefault="009A7FAB" w:rsidP="00DE5896">
      <w:r>
        <w:t>While generating theory from the ground up through inductive analysis can be an exciting prospect, it is normal for researchers to feel some anxiety with the open-ended nature of the process. Without the structure of predetermined hypotheses, the researcher must trust in the process and let the data lead the way. However, the ultimate reward of developing a coherent theory deeply rooted in empirical observation can be well worth the journey through that ambiguity.</w:t>
      </w:r>
    </w:p>
    <w:p w14:paraId="5327D7B6" w14:textId="77645D06" w:rsidR="00A626FE" w:rsidRPr="000E309B" w:rsidRDefault="006A4CB0" w:rsidP="006A4CB0">
      <w:pPr>
        <w:pStyle w:val="Heading3"/>
      </w:pPr>
      <w:bookmarkStart w:id="176" w:name="_Toc169156796"/>
      <w:r>
        <w:t>E</w:t>
      </w:r>
      <w:r w:rsidR="00D14B33" w:rsidRPr="000E309B">
        <w:t xml:space="preserve">thical </w:t>
      </w:r>
      <w:r>
        <w:t>I</w:t>
      </w:r>
      <w:r w:rsidR="00D14B33" w:rsidRPr="000E309B">
        <w:t>ssues</w:t>
      </w:r>
      <w:bookmarkEnd w:id="176"/>
    </w:p>
    <w:p w14:paraId="78A55FA1" w14:textId="613217A8" w:rsidR="00A3145A" w:rsidRDefault="00A3145A" w:rsidP="00A3145A">
      <w:r>
        <w:t xml:space="preserve">While Chapter 3 provided an overview of general research ethics, field observations raise additional ethical complexities that warrant special consideration. Observation is often considered one of the least obtrusive data collection methods. However, it can still present significant issues related to participant privacy. Interestingly, this recognition has evolved over time. As recently as 1989, researcher Jorgensen argued that observational studies could not infringe on privacy because they did not directly involve human </w:t>
      </w:r>
      <w:r w:rsidR="0044538D">
        <w:t>subjects if</w:t>
      </w:r>
      <w:r>
        <w:t xml:space="preserve"> no experimentation was conducted. However, current regulations from the United States federal government and research institutions now clearly specify that observation can indeed raise privacy concerns, particularly when the researcher engages in covert observation (i.e., the researcher participates without disclosing their research role), as this deception alters the privacy dynamic.</w:t>
      </w:r>
    </w:p>
    <w:p w14:paraId="2DEB3D34" w14:textId="3389A06D" w:rsidR="00A3145A" w:rsidRDefault="00A3145A" w:rsidP="00A3145A">
      <w:r>
        <w:lastRenderedPageBreak/>
        <w:t>To navigate these ethical complexities, Spradley recommends that field researchers adhere to the following guidelines put forth by the American Anthropological Association</w:t>
      </w:r>
      <w:r w:rsidR="00B36B98">
        <w:t xml:space="preserve"> </w:t>
      </w:r>
      <w:r w:rsidR="00B36B98">
        <w:fldChar w:fldCharType="begin"/>
      </w:r>
      <w:r w:rsidR="007C07B4">
        <w:instrText xml:space="preserve"> ADDIN ZOTERO_ITEM CSL_CITATION {"citationID":"p7jNuuZG","properties":{"formattedCitation":"[147]","plainCitation":"[147]","noteIndex":0},"citationItems":[{"id":138,"uris":["http://zotero.org/users/5015692/items/PI9EWGGU"],"itemData":{"id":138,"type":"article-journal","container-title":"Wadsworth, Belmont, USA","title":"P. 1980. Participant observation","author":[{"family":"Spradley","given":"James"}],"issued":{"date-parts":[["2016"]]}}}],"schema":"https://github.com/citation-style-language/schema/raw/master/csl-citation.json"} </w:instrText>
      </w:r>
      <w:r w:rsidR="00B36B98">
        <w:fldChar w:fldCharType="separate"/>
      </w:r>
      <w:r w:rsidR="007C07B4" w:rsidRPr="007C07B4">
        <w:t>[147]</w:t>
      </w:r>
      <w:r w:rsidR="00B36B98">
        <w:fldChar w:fldCharType="end"/>
      </w:r>
      <w:r>
        <w:t>:</w:t>
      </w:r>
    </w:p>
    <w:p w14:paraId="3AFC3BCD" w14:textId="77777777" w:rsidR="00A3145A" w:rsidRDefault="00A3145A" w:rsidP="00E03052">
      <w:pPr>
        <w:pStyle w:val="ListParagraph"/>
        <w:numPr>
          <w:ilvl w:val="0"/>
          <w:numId w:val="317"/>
        </w:numPr>
      </w:pPr>
      <w:r>
        <w:t>Prioritize the well-being of study participants above all else.</w:t>
      </w:r>
    </w:p>
    <w:p w14:paraId="798EFC37" w14:textId="77777777" w:rsidR="00A3145A" w:rsidRDefault="00A3145A" w:rsidP="00E03052">
      <w:pPr>
        <w:pStyle w:val="ListParagraph"/>
        <w:numPr>
          <w:ilvl w:val="0"/>
          <w:numId w:val="317"/>
        </w:numPr>
      </w:pPr>
      <w:r>
        <w:t>Safeguard participants' rights, interests, and sensitivities.</w:t>
      </w:r>
    </w:p>
    <w:p w14:paraId="7D6EB486" w14:textId="77777777" w:rsidR="00A3145A" w:rsidRDefault="00A3145A" w:rsidP="00E03052">
      <w:pPr>
        <w:pStyle w:val="ListParagraph"/>
        <w:numPr>
          <w:ilvl w:val="0"/>
          <w:numId w:val="317"/>
        </w:numPr>
      </w:pPr>
      <w:r>
        <w:t>Ensure participants are informed about the researcher's aims and intentions.</w:t>
      </w:r>
    </w:p>
    <w:p w14:paraId="1B108446" w14:textId="77777777" w:rsidR="00A3145A" w:rsidRDefault="00A3145A" w:rsidP="00E03052">
      <w:pPr>
        <w:pStyle w:val="ListParagraph"/>
        <w:numPr>
          <w:ilvl w:val="0"/>
          <w:numId w:val="317"/>
        </w:numPr>
      </w:pPr>
      <w:r>
        <w:t>Protect the privacy of participants.</w:t>
      </w:r>
    </w:p>
    <w:p w14:paraId="63AF3430" w14:textId="77777777" w:rsidR="00A3145A" w:rsidRDefault="00A3145A" w:rsidP="00E03052">
      <w:pPr>
        <w:pStyle w:val="ListParagraph"/>
        <w:numPr>
          <w:ilvl w:val="0"/>
          <w:numId w:val="317"/>
        </w:numPr>
      </w:pPr>
      <w:r>
        <w:t>Avoid any exploitation or harm to participants.</w:t>
      </w:r>
    </w:p>
    <w:p w14:paraId="53720F92" w14:textId="4792BE42" w:rsidR="00A3145A" w:rsidRDefault="00A3145A" w:rsidP="00E03052">
      <w:pPr>
        <w:pStyle w:val="ListParagraph"/>
        <w:numPr>
          <w:ilvl w:val="0"/>
          <w:numId w:val="317"/>
        </w:numPr>
      </w:pPr>
      <w:r>
        <w:t xml:space="preserve">Make research reports available to sponsors, participants, and the </w:t>
      </w:r>
      <w:r w:rsidR="00E03052">
        <w:t>public</w:t>
      </w:r>
      <w:r>
        <w:t>.</w:t>
      </w:r>
    </w:p>
    <w:p w14:paraId="59CC30B9" w14:textId="57C481BB" w:rsidR="00A3145A" w:rsidRDefault="00A3145A" w:rsidP="00A3145A">
      <w:r>
        <w:t>In addition to privacy concerns, field researchers may encounter other ethical dilemmas. Chatman describes two key challenges: "guilty knowledge," where the researcher becomes privy to confidential information, and "dirty hands," where the researcher is aware of wrongdoing but does not intervene</w:t>
      </w:r>
      <w:r w:rsidR="00B36B98">
        <w:t xml:space="preserve"> </w:t>
      </w:r>
      <w:r w:rsidR="00B36B98">
        <w:fldChar w:fldCharType="begin"/>
      </w:r>
      <w:r w:rsidR="007C07B4">
        <w:instrText xml:space="preserve"> ADDIN ZOTERO_ITEM CSL_CITATION {"citationID":"XlRkkleR","properties":{"formattedCitation":"[148]","plainCitation":"[148]","noteIndex":0},"citationItems":[{"id":158,"uris":["http://zotero.org/users/5015692/items/SV4SK3TI"],"itemData":{"id":158,"type":"book","collection-number":"29","publisher":"Greenwood Publishing Group","title":"The information world of retired women","author":[{"family":"Chatman","given":"Elfreda Annmary"}],"issued":{"date-parts":[["1992"]]}}}],"schema":"https://github.com/citation-style-language/schema/raw/master/csl-citation.json"} </w:instrText>
      </w:r>
      <w:r w:rsidR="00B36B98">
        <w:fldChar w:fldCharType="separate"/>
      </w:r>
      <w:r w:rsidR="007C07B4" w:rsidRPr="007C07B4">
        <w:t>[148]</w:t>
      </w:r>
      <w:r w:rsidR="00B36B98">
        <w:fldChar w:fldCharType="end"/>
      </w:r>
      <w:r>
        <w:t>. For example, imagine during an observation, a participant confides in the researcher about a sensitive personal struggle they are facing. The researcher must then grapple with the extent of their ethical obligation to help or maintain confidentiality. These situations can be extremely challenging, as the researcher must balance their commitment to the integrity of the observational process with their moral imperative to avoid harm.</w:t>
      </w:r>
    </w:p>
    <w:p w14:paraId="29A8DF5E" w14:textId="13566762" w:rsidR="00A20B12" w:rsidRDefault="00A3145A" w:rsidP="00A3145A">
      <w:r>
        <w:t>When confronted with such ethical dilemmas, researchers must carefully weigh the principles of beneficence (doing good), non-maleficence (avoiding harm), justice, and respect for persons. Consulting with colleagues, institutional review boards, or ethics committees can provide valuable guidance. Ultimately, researchers must strive to make ethical decisions that prioritize the well-being of participants while maintaining the integrity of the research process. By anticipating potential ethical pitfalls and having a framework for navigating them, researchers can conduct observational studies that are both rigorous and ethically sound.</w:t>
      </w:r>
    </w:p>
    <w:p w14:paraId="5327D7BF" w14:textId="1D877F5B" w:rsidR="00A626FE" w:rsidRPr="000E309B" w:rsidRDefault="006A4CB0" w:rsidP="006A4CB0">
      <w:pPr>
        <w:pStyle w:val="Heading3"/>
      </w:pPr>
      <w:bookmarkStart w:id="177" w:name="_Toc169156797"/>
      <w:r>
        <w:t>R</w:t>
      </w:r>
      <w:r w:rsidR="00D14B33" w:rsidRPr="000E309B">
        <w:t>eliabil</w:t>
      </w:r>
      <w:r w:rsidR="000276F3">
        <w:t>i</w:t>
      </w:r>
      <w:r w:rsidR="00D14B33" w:rsidRPr="000E309B">
        <w:t xml:space="preserve">ty and </w:t>
      </w:r>
      <w:r>
        <w:t>V</w:t>
      </w:r>
      <w:r w:rsidR="00D14B33" w:rsidRPr="000E309B">
        <w:t>alidity</w:t>
      </w:r>
      <w:bookmarkEnd w:id="177"/>
    </w:p>
    <w:p w14:paraId="2445D25C" w14:textId="77777777" w:rsidR="004C0717" w:rsidRDefault="004C0717" w:rsidP="004C0717">
      <w:r>
        <w:t>Like all forms of research, field observation must adhere to standards of reliability and validity to ensure the integrity and trustworthiness of the findings. However, the way these concepts are defined and applied differs between quantitative and qualitative approaches.</w:t>
      </w:r>
    </w:p>
    <w:p w14:paraId="19C13852" w14:textId="77777777" w:rsidR="004C0717" w:rsidRDefault="004C0717" w:rsidP="004C0717">
      <w:r>
        <w:t>In quantitative research, reliability often refers to the ability to reproduce the same results across different studies. However, this definition is not entirely applicable to field observation, where the dynamic nature of social phenomena and the unique perspective of the researcher make exact replication unrealistic. Instead, reliability in field observation is better conceptualized as the consistency of findings across repeated observations conducted in varied conditions and locations. By observing the same phenomena in multiple contexts, researchers can assess the stability and dependability of their insights.</w:t>
      </w:r>
    </w:p>
    <w:p w14:paraId="5194AE8E" w14:textId="77777777" w:rsidR="004C0717" w:rsidRDefault="004C0717" w:rsidP="004C0717">
      <w:r>
        <w:t xml:space="preserve">Validity in qualitative research, including field observation, is generally understood as the extent to which the findings are plausible, credible, trustworthy, and defensible. In other words, do the observations and interpretations accurately reflect the reality of the phenomena being studied? </w:t>
      </w:r>
      <w:r>
        <w:lastRenderedPageBreak/>
        <w:t>One significant threat to validity in observational research is researcher bias. Because the researcher serves as the primary instrument of data collection and analysis, their subjective perceptions, preconceptions, and choices about what to observe and record can skew the findings. For example, a researcher studying workplace dynamics might inadvertently omit observations about prejudicial behaviors, leading to an incomplete or distorted picture.</w:t>
      </w:r>
    </w:p>
    <w:p w14:paraId="29D87693" w14:textId="77777777" w:rsidR="004C0717" w:rsidRDefault="004C0717" w:rsidP="004C0717">
      <w:r>
        <w:t>To enhance validity, field researchers can employ several strategies. Triangulation involves using multiple data sources, observers, or theoretical frameworks to corroborate findings. For instance, a researcher might compare their observations with interviews or documents to check for consistency. Engaging in regular critical self-reflection, where the researcher explicitly examines their own biases and assumptions, can also help mitigate the risk of distortion. By actively questioning their own interpretations and seeking alternative explanations, researchers can strengthen the credibility of their conclusions.</w:t>
      </w:r>
    </w:p>
    <w:p w14:paraId="5327D7C6" w14:textId="218AD746" w:rsidR="00A626FE" w:rsidRPr="000E309B" w:rsidRDefault="00537ACB" w:rsidP="00397934">
      <w:pPr>
        <w:pStyle w:val="Heading3"/>
      </w:pPr>
      <w:bookmarkStart w:id="178" w:name="_Toc169156798"/>
      <w:r>
        <w:rPr>
          <w:noProof/>
        </w:rPr>
        <w:drawing>
          <wp:anchor distT="0" distB="0" distL="114300" distR="114300" simplePos="0" relativeHeight="251992148" behindDoc="0" locked="0" layoutInCell="1" allowOverlap="1" wp14:anchorId="66716D52" wp14:editId="6D37962E">
            <wp:simplePos x="0" y="0"/>
            <wp:positionH relativeFrom="column">
              <wp:align>right</wp:align>
            </wp:positionH>
            <wp:positionV relativeFrom="paragraph">
              <wp:posOffset>0</wp:posOffset>
            </wp:positionV>
            <wp:extent cx="914400" cy="914400"/>
            <wp:effectExtent l="19050" t="19050" r="19050" b="19050"/>
            <wp:wrapSquare wrapText="bothSides"/>
            <wp:docPr id="640121773" name="Picture 6" descr="A drawing of a dra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21773" name="Picture 6" descr="A drawing of a draw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97934">
        <w:t>A</w:t>
      </w:r>
      <w:r w:rsidR="00D14B33" w:rsidRPr="000E309B">
        <w:t xml:space="preserve"> </w:t>
      </w:r>
      <w:r w:rsidR="00397934">
        <w:t>S</w:t>
      </w:r>
      <w:r w:rsidR="00D14B33" w:rsidRPr="000E309B">
        <w:t xml:space="preserve">ampling of </w:t>
      </w:r>
      <w:r w:rsidR="00397934">
        <w:t>R</w:t>
      </w:r>
      <w:r w:rsidR="00D14B33" w:rsidRPr="000E309B">
        <w:t>esearch</w:t>
      </w:r>
      <w:bookmarkEnd w:id="178"/>
    </w:p>
    <w:p w14:paraId="5327D7C7" w14:textId="740BAB54" w:rsidR="00A626FE" w:rsidRPr="000E309B" w:rsidRDefault="00D14B33" w:rsidP="00DE0B58">
      <w:pPr>
        <w:pStyle w:val="Heading4"/>
      </w:pPr>
      <w:r w:rsidRPr="000E309B">
        <w:t>Managerial Work</w:t>
      </w:r>
    </w:p>
    <w:p w14:paraId="69B348BF" w14:textId="64F63F17" w:rsidR="00AA37EA" w:rsidRDefault="00AA37EA" w:rsidP="005B6DB8">
      <w:r>
        <w:t>In his seminal 1971 study, Henry Mintzberg employed structured observation to investigate the nature of managerial work</w:t>
      </w:r>
      <w:r w:rsidR="009A3B54">
        <w:t xml:space="preserve"> </w:t>
      </w:r>
      <w:r w:rsidR="009A3B54">
        <w:fldChar w:fldCharType="begin"/>
      </w:r>
      <w:r w:rsidR="007C07B4">
        <w:instrText xml:space="preserve"> ADDIN ZOTERO_ITEM CSL_CITATION {"citationID":"kTgwTxCJ","properties":{"formattedCitation":"[149]","plainCitation":"[149]","noteIndex":0},"citationItems":[{"id":146,"uris":["http://zotero.org/users/5015692/items/MQVH3ADU"],"itemData":{"id":146,"type":"article-journal","container-title":"Management science","issue":"2","page":"B–97","title":"Managerial work: Analysis from observation","volume":"18","author":[{"family":"Mintzberg","given":"Henry"}],"issued":{"date-parts":[["1971"]]}}}],"schema":"https://github.com/citation-style-language/schema/raw/master/csl-citation.json"} </w:instrText>
      </w:r>
      <w:r w:rsidR="009A3B54">
        <w:fldChar w:fldCharType="separate"/>
      </w:r>
      <w:r w:rsidR="007C07B4" w:rsidRPr="007C07B4">
        <w:t>[149]</w:t>
      </w:r>
      <w:r w:rsidR="009A3B54">
        <w:fldChar w:fldCharType="end"/>
      </w:r>
      <w:r>
        <w:t xml:space="preserve">. His research aimed to provide a realistic portrayal of what managers </w:t>
      </w:r>
      <w:r w:rsidR="003E68AA">
        <w:t>do</w:t>
      </w:r>
      <w:r>
        <w:t xml:space="preserve"> </w:t>
      </w:r>
      <w:r w:rsidR="00535ED2">
        <w:t>daily</w:t>
      </w:r>
      <w:r>
        <w:t>, challenging prevailing assumptions about managerial roles and behaviors.</w:t>
      </w:r>
    </w:p>
    <w:p w14:paraId="37326FC3" w14:textId="77777777" w:rsidR="00AA37EA" w:rsidRDefault="00AA37EA" w:rsidP="005B6DB8">
      <w:r>
        <w:t>Mintzberg's methodology involved intensively observing the work of five chief executives from medium to large organizations in the United States. He carefully selected a diverse sample, including executives from a consulting firm, a technology company, a hospital, a consumer goods manufacturer, and a school system. This purposive sampling strategy aimed to capture a range of managerial contexts.</w:t>
      </w:r>
    </w:p>
    <w:p w14:paraId="1C6DECF6" w14:textId="77777777" w:rsidR="00AA37EA" w:rsidRDefault="00AA37EA" w:rsidP="005B6DB8">
      <w:r>
        <w:t>Over the course of one intensive week for each executive, Mintzberg meticulously recorded every activity, ranging from formal meetings to impromptu conversations. He collected detailed, chronological notes on the nature, duration, and participants involved in each activity. Mintzberg also gathered supplementary data, such as documents and self-reported accounts from the executives, to enrich his observational data.</w:t>
      </w:r>
    </w:p>
    <w:p w14:paraId="6868C5FD" w14:textId="77777777" w:rsidR="00AA37EA" w:rsidRDefault="00AA37EA" w:rsidP="005B6DB8">
      <w:r>
        <w:t>To analyze this wealth of qualitative data, Mintzberg employed a combination of inductive and deductive approaches. He carefully coded and categorized the observed activities, allowing patterns and themes to emerge from the data itself. At the same time, he applied existing theoretical frameworks, such as the distinction between formal and informal interactions, to help interpret his observations.</w:t>
      </w:r>
    </w:p>
    <w:p w14:paraId="55F7E7A2" w14:textId="77777777" w:rsidR="00AA37EA" w:rsidRDefault="00AA37EA" w:rsidP="005B6DB8">
      <w:r>
        <w:t xml:space="preserve">Through this rigorous observational methodology, Mintzberg was able to generate rich, detailed descriptions of managerial work that challenged prevailing stereotypes. His findings highlighted the fragmented, varied, and interpersonal nature of managerial roles, contrasting with the traditional image of the reflective, systematic planner. Mintzberg's study demonstrated the power of </w:t>
      </w:r>
      <w:r>
        <w:lastRenderedPageBreak/>
        <w:t>structured observation to uncover the realities of organizational behavior and to generate grounded theoretical insights.</w:t>
      </w:r>
    </w:p>
    <w:p w14:paraId="4D47F4D2" w14:textId="5BC0D25F" w:rsidR="00AA37EA" w:rsidRDefault="00AA37EA" w:rsidP="005B6DB8">
      <w:r>
        <w:t>While the small sample size and specific focus on top executives limit the generalizability of Mintzberg's findings, his innovative methodology laid the groundwork for subsequent observational studies of managerial work. His approach exemplifies the value of in-depth, qualitative investigation for understanding complex organizational phenomena.</w:t>
      </w:r>
    </w:p>
    <w:p w14:paraId="5327D7E6" w14:textId="7EB89BA4" w:rsidR="00A626FE" w:rsidRPr="000E309B" w:rsidRDefault="00D14B33" w:rsidP="00DE0B58">
      <w:pPr>
        <w:pStyle w:val="Heading4"/>
      </w:pPr>
      <w:r w:rsidRPr="000E309B">
        <w:t>Turkopticon</w:t>
      </w:r>
    </w:p>
    <w:p w14:paraId="737C8BCC" w14:textId="47337BBB" w:rsidR="00971FCB" w:rsidRDefault="00971FCB" w:rsidP="00971FCB">
      <w:r>
        <w:t>In 2013, Lilly Irani and her colleagues conducted a study introducing Turkopticon</w:t>
      </w:r>
      <w:r w:rsidR="003740B5">
        <w:t xml:space="preserve"> </w:t>
      </w:r>
      <w:r w:rsidR="003740B5">
        <w:fldChar w:fldCharType="begin"/>
      </w:r>
      <w:r w:rsidR="007C07B4">
        <w:instrText xml:space="preserve"> ADDIN ZOTERO_ITEM CSL_CITATION {"citationID":"Mzsiakst","properties":{"formattedCitation":"[150]","plainCitation":"[150]","noteIndex":0},"citationItems":[{"id":149,"uris":["http://zotero.org/users/5015692/items/A6KFLKAY"],"itemData":{"id":149,"type":"paper-conference","container-title":"Proceedings of the SIGCHI conference on human factors in computing systems","page":"611–620","publisher":"ACM","title":"Turkopticon: Interrupting worker invisibility in amazon mechanical turk","author":[{"family":"Irani","given":"Lilly C"},{"family":"Silberman","given":"M"}],"issued":{"date-parts":[["2013"]]}}}],"schema":"https://github.com/citation-style-language/schema/raw/master/csl-citation.json"} </w:instrText>
      </w:r>
      <w:r w:rsidR="003740B5">
        <w:fldChar w:fldCharType="separate"/>
      </w:r>
      <w:r w:rsidR="007C07B4" w:rsidRPr="007C07B4">
        <w:t>[150]</w:t>
      </w:r>
      <w:r w:rsidR="003740B5">
        <w:fldChar w:fldCharType="end"/>
      </w:r>
      <w:r>
        <w:t>, a browser extension and website designed to help workers on Amazon Mechanical Turk (AMT) share information about employers (called "requesters" on the platform) and protect themselves from exploitation. AMT is a crowdsourcing platform where workers complete small tasks, such as image labeling or data entry, for minimal pay. Irani's research aimed to address the power imbalances and information asymmetries that often lead to worker exploitation on the platform.</w:t>
      </w:r>
    </w:p>
    <w:p w14:paraId="472ECE28" w14:textId="77777777" w:rsidR="00971FCB" w:rsidRDefault="00971FCB" w:rsidP="00971FCB">
      <w:r>
        <w:t>Irani's research methodology involved a combination of participatory design, qualitative interviews, and data analysis. The researchers collaborated closely with AMT workers throughout the development of Turkopticon, employing a participatory design approach. They sought input and feedback from workers at various stages of the design process to ensure that the system met their needs and addressed their concerns.</w:t>
      </w:r>
    </w:p>
    <w:p w14:paraId="5F2CF774" w14:textId="77777777" w:rsidR="00971FCB" w:rsidRDefault="00971FCB" w:rsidP="00971FCB">
      <w:r>
        <w:t>To gain a deep understanding of workers' experiences, challenges, and needs, the researchers conducted in-depth, semi-structured interviews with a diverse sample of AMT workers. These interviews explored topics such as workers' motivations, their strategies for finding good tasks and avoiding problematic requesters, and their experiences with exploitation or unfair treatment on the platform.</w:t>
      </w:r>
    </w:p>
    <w:p w14:paraId="27902D3F" w14:textId="77777777" w:rsidR="00971FCB" w:rsidRDefault="00971FCB" w:rsidP="00971FCB">
      <w:r>
        <w:t>In addition to the participatory design and qualitative interviews, Irani and her team analyzed data collected through Turkopticon to assess its impact and effectiveness. They examined usage patterns, worker reviews, and ratings of requesters to understand how workers leveraged the system to share information, make informed decisions about which tasks to accept, and collectively negotiate better working conditions.</w:t>
      </w:r>
    </w:p>
    <w:p w14:paraId="51B335E5" w14:textId="1CDA85ED" w:rsidR="00971FCB" w:rsidRDefault="00971FCB" w:rsidP="00971FCB">
      <w:r>
        <w:t xml:space="preserve">By employing these participatory and qualitative methods, Irani's study </w:t>
      </w:r>
      <w:r w:rsidR="00535ED2">
        <w:t>centered on</w:t>
      </w:r>
      <w:r>
        <w:t xml:space="preserve"> the voices and experiences of AMT workers, who are often marginalized and overlooked in discussions of digital labor. The research highlighted the potential for worker-led technological interventions, like Turkopticon, to mitigate power imbalances and promote fairness in digital labor markets.</w:t>
      </w:r>
    </w:p>
    <w:p w14:paraId="79E126A7" w14:textId="77777777" w:rsidR="00971FCB" w:rsidRDefault="00971FCB" w:rsidP="00971FCB">
      <w:r>
        <w:t xml:space="preserve">Irani's methodology exemplifies the value of collaborating directly with affected communities in the design and evaluation of technological systems. By combining participatory design, qualitative insights from interviews, and data analysis, the researchers were able to develop a nuanced </w:t>
      </w:r>
      <w:r>
        <w:lastRenderedPageBreak/>
        <w:t>understanding of the challenges faced by AMT workers and the ways in which Turkopticon could support their agency and well-being.</w:t>
      </w:r>
    </w:p>
    <w:p w14:paraId="00D61FE7" w14:textId="61EDDE60" w:rsidR="000325A9" w:rsidRDefault="00971FCB" w:rsidP="00971FCB">
      <w:r>
        <w:t>While the study focused specifically on AMT workers, the methodological approach and insights generated have broader implications for research on digital labor, platform economies, and the design of socio-technical systems. Irani's work demonstrates the importance of engaging with and amplifying the voices of marginalized stakeholders in the development and study of technologies that directly impact their lives and livelihoods.</w:t>
      </w:r>
    </w:p>
    <w:p w14:paraId="5327D7FA" w14:textId="2D712A0F" w:rsidR="00A626FE" w:rsidRDefault="00254084" w:rsidP="00397934">
      <w:pPr>
        <w:pStyle w:val="Heading3"/>
      </w:pPr>
      <w:bookmarkStart w:id="179" w:name="_Toc169156799"/>
      <w:r>
        <w:rPr>
          <w:noProof/>
        </w:rPr>
        <w:drawing>
          <wp:anchor distT="0" distB="0" distL="114300" distR="114300" simplePos="0" relativeHeight="251977812" behindDoc="0" locked="0" layoutInCell="1" allowOverlap="1" wp14:anchorId="69674508" wp14:editId="1E81D6B1">
            <wp:simplePos x="0" y="0"/>
            <wp:positionH relativeFrom="column">
              <wp:align>right</wp:align>
            </wp:positionH>
            <wp:positionV relativeFrom="paragraph">
              <wp:posOffset>0</wp:posOffset>
            </wp:positionV>
            <wp:extent cx="914400" cy="914400"/>
            <wp:effectExtent l="19050" t="19050" r="19050" b="19050"/>
            <wp:wrapSquare wrapText="bothSides"/>
            <wp:docPr id="471412180"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290EDC">
        <w:t>Summary of Chapter 1</w:t>
      </w:r>
      <w:r w:rsidR="00BA16B6">
        <w:t>2</w:t>
      </w:r>
      <w:r w:rsidR="00290EDC">
        <w:t>: Field Research</w:t>
      </w:r>
      <w:bookmarkEnd w:id="179"/>
    </w:p>
    <w:p w14:paraId="13292BEB" w14:textId="77777777" w:rsidR="00A0693E" w:rsidRDefault="00A0693E" w:rsidP="00A0693E">
      <w:r>
        <w:t>In this chapter, you have explored the crucial role of field research and participant observation in sociological inquiry. These qualitative methods allow you to immerse yourself in the social world, gaining rich, firsthand insights into the complexities of human behavior and interaction. By engaging in field research, you can uncover the intricate realities and meanings that shape people's lives and experiences.</w:t>
      </w:r>
    </w:p>
    <w:p w14:paraId="1EF86945" w14:textId="77777777" w:rsidR="00A0693E" w:rsidRDefault="00A0693E" w:rsidP="00A0693E">
      <w:r>
        <w:t>The primary concepts covered in this chapter include:</w:t>
      </w:r>
    </w:p>
    <w:p w14:paraId="7062A16D" w14:textId="77777777" w:rsidR="00A0693E" w:rsidRDefault="00A0693E" w:rsidP="00A0693E">
      <w:pPr>
        <w:pStyle w:val="ListParagraph"/>
        <w:numPr>
          <w:ilvl w:val="0"/>
          <w:numId w:val="318"/>
        </w:numPr>
      </w:pPr>
      <w:r>
        <w:t>Field research and participant observation</w:t>
      </w:r>
    </w:p>
    <w:p w14:paraId="12D7C6E4" w14:textId="77777777" w:rsidR="00A0693E" w:rsidRDefault="00A0693E" w:rsidP="00A0693E">
      <w:pPr>
        <w:pStyle w:val="ListParagraph"/>
        <w:numPr>
          <w:ilvl w:val="0"/>
          <w:numId w:val="318"/>
        </w:numPr>
      </w:pPr>
      <w:r>
        <w:t>Strengths and limitations of field research</w:t>
      </w:r>
    </w:p>
    <w:p w14:paraId="7AF5C8B4" w14:textId="77777777" w:rsidR="00A0693E" w:rsidRDefault="00A0693E" w:rsidP="00A0693E">
      <w:pPr>
        <w:pStyle w:val="ListParagraph"/>
        <w:numPr>
          <w:ilvl w:val="0"/>
          <w:numId w:val="318"/>
        </w:numPr>
      </w:pPr>
      <w:r>
        <w:t>Selecting a research site</w:t>
      </w:r>
    </w:p>
    <w:p w14:paraId="4221A437" w14:textId="77777777" w:rsidR="00A0693E" w:rsidRDefault="00A0693E" w:rsidP="00A0693E">
      <w:pPr>
        <w:pStyle w:val="ListParagraph"/>
        <w:numPr>
          <w:ilvl w:val="0"/>
          <w:numId w:val="318"/>
        </w:numPr>
      </w:pPr>
      <w:r>
        <w:t>Overt and covert research strategies</w:t>
      </w:r>
    </w:p>
    <w:p w14:paraId="1FA5B184" w14:textId="77777777" w:rsidR="00A0693E" w:rsidRDefault="00A0693E" w:rsidP="00A0693E">
      <w:pPr>
        <w:pStyle w:val="ListParagraph"/>
        <w:numPr>
          <w:ilvl w:val="0"/>
          <w:numId w:val="318"/>
        </w:numPr>
      </w:pPr>
      <w:r>
        <w:t>The importance of field notes</w:t>
      </w:r>
    </w:p>
    <w:p w14:paraId="3297DF22" w14:textId="77777777" w:rsidR="00A0693E" w:rsidRDefault="00A0693E" w:rsidP="00A0693E">
      <w:r>
        <w:t>Understanding these concepts is essential for conducting successful field research projects. By carefully considering factors such as research goals, time constraints, and researcher identity when selecting a site, you can ensure that your fieldwork yields valuable data. Choosing between overt and covert strategies, and navigating the ethical implications of each approach, will shape the nature of your interactions with participants and the insights you gain.</w:t>
      </w:r>
    </w:p>
    <w:p w14:paraId="3238ED96" w14:textId="326DB3BD" w:rsidR="00A711D8" w:rsidRDefault="00A0693E" w:rsidP="00A711D8">
      <w:r>
        <w:t>Moreover, the chapter emphasizes the critical role of field notes in qualitative research. Developing effective strategies for capturing, expanding, and organizing your observations will lay the foundation for robust analysis and meaningful contributions to sociological knowledge.</w:t>
      </w:r>
    </w:p>
    <w:p w14:paraId="7CDE9563" w14:textId="77777777" w:rsidR="00A711D8" w:rsidRDefault="00A711D8" w:rsidP="00A711D8"/>
    <w:p w14:paraId="5333A2BE" w14:textId="76168B4E" w:rsidR="00DF6737" w:rsidRDefault="00DF6737" w:rsidP="000E309B">
      <w:pPr>
        <w:spacing w:line="360" w:lineRule="auto"/>
        <w:sectPr w:rsidR="00DF6737" w:rsidSect="00FD08D0">
          <w:headerReference w:type="default" r:id="rId265"/>
          <w:pgSz w:w="12240" w:h="15840"/>
          <w:pgMar w:top="1440" w:right="1440" w:bottom="1440" w:left="1440" w:header="720" w:footer="720" w:gutter="0"/>
          <w:cols w:space="720"/>
          <w:docGrid w:linePitch="299"/>
        </w:sectPr>
      </w:pPr>
    </w:p>
    <w:p w14:paraId="5327D806" w14:textId="0D348ABF" w:rsidR="00A626FE" w:rsidRPr="000E309B" w:rsidRDefault="0039123A" w:rsidP="00235BA9">
      <w:pPr>
        <w:pStyle w:val="Heading2"/>
      </w:pPr>
      <w:bookmarkStart w:id="180" w:name="_Toc169156800"/>
      <w:r>
        <w:rPr>
          <w:noProof/>
        </w:rPr>
        <w:lastRenderedPageBreak/>
        <w:drawing>
          <wp:anchor distT="0" distB="0" distL="114300" distR="114300" simplePos="0" relativeHeight="251717716" behindDoc="0" locked="0" layoutInCell="1" allowOverlap="1" wp14:anchorId="70DDE69A" wp14:editId="6A18C642">
            <wp:simplePos x="0" y="0"/>
            <wp:positionH relativeFrom="column">
              <wp:align>right</wp:align>
            </wp:positionH>
            <wp:positionV relativeFrom="paragraph">
              <wp:posOffset>0</wp:posOffset>
            </wp:positionV>
            <wp:extent cx="1828800" cy="1828800"/>
            <wp:effectExtent l="0" t="0" r="0" b="0"/>
            <wp:wrapSquare wrapText="bothSides"/>
            <wp:docPr id="277451" name="Picture 27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51" name="Picture 27745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margin">
              <wp14:pctWidth>0</wp14:pctWidth>
            </wp14:sizeRelH>
            <wp14:sizeRelV relativeFrom="margin">
              <wp14:pctHeight>0</wp14:pctHeight>
            </wp14:sizeRelV>
          </wp:anchor>
        </w:drawing>
      </w:r>
      <w:r w:rsidR="00671066">
        <w:t>1</w:t>
      </w:r>
      <w:r w:rsidR="00BA16B6">
        <w:t>3</w:t>
      </w:r>
      <w:r w:rsidR="00671066">
        <w:t xml:space="preserve">: </w:t>
      </w:r>
      <w:r w:rsidR="00235BA9" w:rsidRPr="000E309B">
        <w:t>Unobtrusive Research</w:t>
      </w:r>
      <w:bookmarkEnd w:id="180"/>
    </w:p>
    <w:p w14:paraId="5327D808" w14:textId="0647821C" w:rsidR="00A626FE" w:rsidRPr="000E309B" w:rsidRDefault="00657643" w:rsidP="00657643">
      <w:pPr>
        <w:pStyle w:val="Heading3"/>
      </w:pPr>
      <w:bookmarkStart w:id="181" w:name="_Toc169156801"/>
      <w:r>
        <w:t>I</w:t>
      </w:r>
      <w:r w:rsidR="00D14B33" w:rsidRPr="000E309B">
        <w:t>ntroduction</w:t>
      </w:r>
      <w:bookmarkEnd w:id="181"/>
    </w:p>
    <w:p w14:paraId="0D39828D" w14:textId="4A318DC6" w:rsidR="00133DF5" w:rsidRDefault="00133DF5" w:rsidP="00133DF5">
      <w:r>
        <w:t xml:space="preserve">Are female and male athletes treated equally? It would be reasonable to think that 40 years after the passing of Title IX—the civil rights law that prohibits sex discrimination in education, including athletics—the answer would be a resounding yes. Moreover, the growing visibility of women athletes in sports such as golf, basketball, hockey, and tennis </w:t>
      </w:r>
      <w:r w:rsidR="0039123A">
        <w:t>seem</w:t>
      </w:r>
      <w:r>
        <w:t xml:space="preserve"> to indicate progress toward equality.</w:t>
      </w:r>
    </w:p>
    <w:p w14:paraId="50C2DDEE" w14:textId="747B15D5" w:rsidR="00133DF5" w:rsidRDefault="00133DF5" w:rsidP="00133DF5">
      <w:r>
        <w:t>However, research shows that inequities persist beneath the surface. Professor Michael Messner's unobtrusive study revealed ongoing disparities in the treatment of male and female athletes</w:t>
      </w:r>
      <w:r w:rsidR="00E82545">
        <w:t xml:space="preserve"> </w:t>
      </w:r>
      <w:r w:rsidR="00E82545">
        <w:fldChar w:fldCharType="begin"/>
      </w:r>
      <w:r w:rsidR="007C07B4">
        <w:instrText xml:space="preserve"> ADDIN ZOTERO_ITEM CSL_CITATION {"citationID":"ZSXeE6EC","properties":{"formattedCitation":"[151]","plainCitation":"[151]","noteIndex":0},"citationItems":[{"id":131,"uris":["http://zotero.org/users/5015692/items/U57H6VTW"],"itemData":{"id":131,"type":"book","publisher":"U of Minnesota Press","title":"Taking the field: Women, men, and sports","volume":"4","author":[{"family":"Messner","given":"Michael A"}],"issued":{"date-parts":[["2002"]]}}}],"schema":"https://github.com/citation-style-language/schema/raw/master/csl-citation.json"} </w:instrText>
      </w:r>
      <w:r w:rsidR="00E82545">
        <w:fldChar w:fldCharType="separate"/>
      </w:r>
      <w:r w:rsidR="007C07B4" w:rsidRPr="007C07B4">
        <w:t>[151]</w:t>
      </w:r>
      <w:r w:rsidR="00E82545">
        <w:fldChar w:fldCharType="end"/>
      </w:r>
      <w:r>
        <w:t>. Unobtrusive research involves analyzing existing data or observations rather than directly interacting with subjects, allowing a more objective assessment.</w:t>
      </w:r>
    </w:p>
    <w:p w14:paraId="5C5B67E5" w14:textId="3DFF44C1" w:rsidR="00133DF5" w:rsidRDefault="00133DF5" w:rsidP="00133DF5">
      <w:r>
        <w:t>Similarly, Professors Buysse and Embser-Herbert conducted a content analysis of photographs in a college athletics media guide</w:t>
      </w:r>
      <w:r w:rsidR="00206B6C">
        <w:t xml:space="preserve"> </w:t>
      </w:r>
      <w:r w:rsidR="00206B6C">
        <w:fldChar w:fldCharType="begin"/>
      </w:r>
      <w:r w:rsidR="007C07B4">
        <w:instrText xml:space="preserve"> ADDIN ZOTERO_ITEM CSL_CITATION {"citationID":"QfTn55B8","properties":{"formattedCitation":"[152]","plainCitation":"[152]","noteIndex":0},"citationItems":[{"id":133,"uris":["http://zotero.org/users/5015692/items/EQCMATE3"],"itemData":{"id":133,"type":"article-journal","container-title":"Gender &amp; Society","issue":"1","page":"66–81","title":"Constructions of gender in sport: An analysis of intercollegiate media guide cover photographs","volume":"18","author":[{"family":"Buysse","given":"Jo Ann M"},{"family":"Embser-Herbert","given":"Melissa Sheridan"}],"issued":{"date-parts":[["2004"]]}}}],"schema":"https://github.com/citation-style-language/schema/raw/master/csl-citation.json"} </w:instrText>
      </w:r>
      <w:r w:rsidR="00206B6C">
        <w:fldChar w:fldCharType="separate"/>
      </w:r>
      <w:r w:rsidR="007C07B4" w:rsidRPr="007C07B4">
        <w:t>[152]</w:t>
      </w:r>
      <w:r w:rsidR="00206B6C">
        <w:fldChar w:fldCharType="end"/>
      </w:r>
      <w:r>
        <w:t>. Their unobtrusive examination showed that colleges' visual representations of women athletes often maintain traditional definitions of femininity by portraying them as passive and overtly feminine rather than highlighting their athletic prowess. For example, women athletes may be shown posing statically and smiling, while men are depicted in active, athletic poses.</w:t>
      </w:r>
    </w:p>
    <w:p w14:paraId="2BF643B8" w14:textId="5818CC43" w:rsidR="00133DF5" w:rsidRDefault="00133DF5" w:rsidP="00133DF5">
      <w:r>
        <w:t>These studies suggest that despite Title IX and increased visibility, subtle forms of discrimination and stereotyping persist in the portrayal and treatment of women athletes. Unobtrusive research methods were key in uncovering these persistent inequities, as they allow analysis of naturalistic data without the potential influence of study participation on subjects' behavior. By examining existing visual and media representations, researchers were able to clear up misconceptions and reveal that genuine equality for women athletes remains an ongoing struggle, even 40 years after Title IX's passage. Continued research and advocacy are necessary to identify and challenge these lingering disparities.</w:t>
      </w:r>
    </w:p>
    <w:p w14:paraId="45127766" w14:textId="6003E569" w:rsidR="00133DF5" w:rsidRDefault="00E0031F" w:rsidP="0055744A">
      <w:pPr>
        <w:pStyle w:val="IntenseQuote"/>
      </w:pPr>
      <w:r>
        <w:rPr>
          <w:noProof/>
        </w:rPr>
        <w:drawing>
          <wp:anchor distT="0" distB="0" distL="114300" distR="114300" simplePos="0" relativeHeight="251944020" behindDoc="0" locked="0" layoutInCell="1" allowOverlap="1" wp14:anchorId="1084CAF5" wp14:editId="5FC1A45E">
            <wp:simplePos x="0" y="0"/>
            <wp:positionH relativeFrom="column">
              <wp:align>right</wp:align>
            </wp:positionH>
            <wp:positionV relativeFrom="paragraph">
              <wp:posOffset>0</wp:posOffset>
            </wp:positionV>
            <wp:extent cx="914400" cy="914400"/>
            <wp:effectExtent l="19050" t="19050" r="19050" b="19050"/>
            <wp:wrapSquare wrapText="bothSides"/>
            <wp:docPr id="765435003"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55744A">
        <w:t>Objectives</w:t>
      </w:r>
    </w:p>
    <w:p w14:paraId="606938A8" w14:textId="77777777" w:rsidR="00446E1F" w:rsidRDefault="00446E1F" w:rsidP="00446E1F">
      <w:pPr>
        <w:pStyle w:val="Quote"/>
      </w:pPr>
      <w:r>
        <w:t>Describe the key characteristics and advantages of unobtrusive research methods, including the ability to study behavior without influencing it, cost-effectiveness, and flexibility in data collection and analysis. Students should be able to clearly articulate how unobtrusive methods differ from other research approaches and identify situations where they may be particularly useful.</w:t>
      </w:r>
    </w:p>
    <w:p w14:paraId="47AECD79" w14:textId="77777777" w:rsidR="00446E1F" w:rsidRDefault="00446E1F" w:rsidP="00446E1F">
      <w:pPr>
        <w:pStyle w:val="Quote"/>
      </w:pPr>
      <w:r>
        <w:lastRenderedPageBreak/>
        <w:t>Understand the limitations of unobtrusive research, such as potential validity issues arising from the use of data collected for other purposes, the need to adapt research questions based on data availability, and the challenge of fully accounting for context. Students should recognize that while unobtrusive methods offer unique benefits, they also present specific drawbacks that researchers must carefully consider and address.</w:t>
      </w:r>
    </w:p>
    <w:p w14:paraId="5968AF35" w14:textId="77777777" w:rsidR="00446E1F" w:rsidRDefault="00446E1F" w:rsidP="00446E1F">
      <w:pPr>
        <w:pStyle w:val="Quote"/>
      </w:pPr>
      <w:r>
        <w:t>Distinguish between the two main types of unobtrusive data collection: content analysis of existing texts and analysis of physical traces and artifacts. Students should be able to provide examples of each type, explain their respective strengths and weaknesses, and discuss how researchers can effectively leverage these methods to gain insights into human behavior and social phenomena.</w:t>
      </w:r>
    </w:p>
    <w:p w14:paraId="18776A1D" w14:textId="77777777" w:rsidR="00446E1F" w:rsidRDefault="00446E1F" w:rsidP="00446E1F">
      <w:pPr>
        <w:pStyle w:val="Quote"/>
      </w:pPr>
      <w:r>
        <w:t>Conduct a basic content analysis by sampling relevant texts, unitizing them into analyzable segments, developing and applying a coding scheme, and interpreting the results using both quantitative and qualitative methods. Through hands-on practice or case study analysis, students should demonstrate the ability to systematically examine the content and meaning of written documents, transcripts, or visual media.</w:t>
      </w:r>
    </w:p>
    <w:p w14:paraId="66FCFE36" w14:textId="6E248E16" w:rsidR="0055744A" w:rsidRDefault="00446E1F" w:rsidP="00446E1F">
      <w:pPr>
        <w:pStyle w:val="Quote"/>
      </w:pPr>
      <w:r>
        <w:t>Critically evaluate the use of unobtrusive methods in published research studies, assessing the appropriateness of the chosen approach, the effectiveness of the data collection and analysis procedures, and the validity and reliability of the findings. By engaging with real-world examples, students should develop the skills needed to review and critique unobtrusive research, as well as to design and conduct their own studies using these methods.</w:t>
      </w:r>
    </w:p>
    <w:p w14:paraId="5327D811" w14:textId="14AD0CF0" w:rsidR="00A626FE" w:rsidRPr="000E309B" w:rsidRDefault="00657643" w:rsidP="00C176A4">
      <w:pPr>
        <w:pStyle w:val="Heading3"/>
      </w:pPr>
      <w:bookmarkStart w:id="182" w:name="_Toc169156802"/>
      <w:r>
        <w:t>W</w:t>
      </w:r>
      <w:r w:rsidR="00D14B33" w:rsidRPr="000E309B">
        <w:t xml:space="preserve">hat </w:t>
      </w:r>
      <w:r>
        <w:t>I</w:t>
      </w:r>
      <w:r w:rsidR="00D14B33" w:rsidRPr="000E309B">
        <w:t xml:space="preserve">s </w:t>
      </w:r>
      <w:r>
        <w:t>U</w:t>
      </w:r>
      <w:r w:rsidR="00D14B33" w:rsidRPr="000E309B">
        <w:t xml:space="preserve">nobtrusive </w:t>
      </w:r>
      <w:r>
        <w:t>R</w:t>
      </w:r>
      <w:r w:rsidR="00D14B33" w:rsidRPr="000E309B">
        <w:t>esearch?</w:t>
      </w:r>
      <w:bookmarkEnd w:id="182"/>
    </w:p>
    <w:p w14:paraId="0366DF6F" w14:textId="77777777" w:rsidR="009B38D2" w:rsidRDefault="009B38D2" w:rsidP="009B38D2">
      <w:r>
        <w:t>This chapter explores unobtrusive methods of collecting data, which allow researchers to gather information without interfering with the subjects under study. Both qualitative and quantitative researchers employ unobtrusive research methods, as they offer a unique advantage: the ability to collect data without requiring direct interaction with the individuals being studied.</w:t>
      </w:r>
    </w:p>
    <w:p w14:paraId="4DC86E6E" w14:textId="77777777" w:rsidR="009B38D2" w:rsidRDefault="009B38D2" w:rsidP="009B38D2">
      <w:r>
        <w:t>At first glance, it may seem counterintuitive for business—a discipline dedicated to understanding human purchasing behavior—to employ a methodology that does not involve direct contact with people. However, humans constantly create evidence of their behaviors through their actions and choices. For example, people:</w:t>
      </w:r>
    </w:p>
    <w:p w14:paraId="6E225C57" w14:textId="0178C4E6" w:rsidR="009B38D2" w:rsidRDefault="009B38D2" w:rsidP="009B38D2">
      <w:pPr>
        <w:pStyle w:val="ListParagraph"/>
        <w:numPr>
          <w:ilvl w:val="0"/>
          <w:numId w:val="319"/>
        </w:numPr>
      </w:pPr>
      <w:r>
        <w:t>Write letters to the editor of their local paper, expressing their opinions on various topics</w:t>
      </w:r>
      <w:r w:rsidR="00B01DD3">
        <w:t>.</w:t>
      </w:r>
    </w:p>
    <w:p w14:paraId="373D5D02" w14:textId="064C9C46" w:rsidR="009B38D2" w:rsidRDefault="009B38D2" w:rsidP="009B38D2">
      <w:pPr>
        <w:pStyle w:val="ListParagraph"/>
        <w:numPr>
          <w:ilvl w:val="0"/>
          <w:numId w:val="319"/>
        </w:numPr>
      </w:pPr>
      <w:r>
        <w:t>Create and consume various entertainment sources, such as movies and television shows, which reflect their preferences and values</w:t>
      </w:r>
      <w:r w:rsidR="00B01DD3">
        <w:t>.</w:t>
      </w:r>
    </w:p>
    <w:p w14:paraId="4825E2AE" w14:textId="4BCA7276" w:rsidR="009B38D2" w:rsidRDefault="009B38D2" w:rsidP="009B38D2">
      <w:pPr>
        <w:pStyle w:val="ListParagraph"/>
        <w:numPr>
          <w:ilvl w:val="0"/>
          <w:numId w:val="319"/>
        </w:numPr>
      </w:pPr>
      <w:r>
        <w:lastRenderedPageBreak/>
        <w:t>Make purchases, leaving behind records of their consumption patterns</w:t>
      </w:r>
      <w:r w:rsidR="00B01DD3">
        <w:t>.</w:t>
      </w:r>
    </w:p>
    <w:p w14:paraId="7075F597" w14:textId="563472E9" w:rsidR="009B38D2" w:rsidRDefault="009B38D2" w:rsidP="009B38D2">
      <w:pPr>
        <w:pStyle w:val="ListParagraph"/>
        <w:numPr>
          <w:ilvl w:val="0"/>
          <w:numId w:val="319"/>
        </w:numPr>
      </w:pPr>
      <w:r>
        <w:t>Engage in leisure activities, like lying on the grass in public parks, which can reveal how they choose to spend their free time.</w:t>
      </w:r>
    </w:p>
    <w:p w14:paraId="6B514EA1" w14:textId="77777777" w:rsidR="009B38D2" w:rsidRDefault="009B38D2" w:rsidP="009B38D2">
      <w:r>
        <w:t>All these activities leave behind tangible traces—worn paths, trash, recorded shows, printed papers, and more. For researchers, these traces serve as valuable sources of data that can be collected and analyzed without directly engaging with the individuals involved. By studying these unobtrusive data sources, researchers can gain insights into human behavior, preferences, and decision-making processes.</w:t>
      </w:r>
    </w:p>
    <w:p w14:paraId="738B902B" w14:textId="77777777" w:rsidR="009B38D2" w:rsidRDefault="009B38D2" w:rsidP="009B38D2">
      <w:r>
        <w:t>Unobtrusive research methods encompass several approaches, including content analysis (systematically examining and interpreting the content of texts, images, or other media), indirect measures (observing and measuring the physical traces left behind by human activity), and using data collected by others (such as government records or social media data). While these methods share the common characteristic of not requiring direct interaction between researchers and subjects, each has its own unique features and applications.</w:t>
      </w:r>
    </w:p>
    <w:p w14:paraId="7CD6C6DB" w14:textId="0525F5FE" w:rsidR="009B38D2" w:rsidRDefault="009B38D2" w:rsidP="009B38D2">
      <w:r>
        <w:t>As the chapter progresses, we will delve deeper into how data gathered through unobtrusive methods can be analyzed effectively and how researchers can ensure the reliability of their findings. By understanding and applying these research techniques, business professionals can gain valuable insights into consumer behavior and make more informed decisions based on objective, unobtrusive data.</w:t>
      </w:r>
    </w:p>
    <w:p w14:paraId="5327D818" w14:textId="49FF8057" w:rsidR="00A626FE" w:rsidRPr="000E309B" w:rsidRDefault="00D14B33" w:rsidP="00AA035E">
      <w:pPr>
        <w:pStyle w:val="Heading4"/>
      </w:pPr>
      <w:r w:rsidRPr="000E309B">
        <w:t>Strengths of Unobtrusive Research</w:t>
      </w:r>
    </w:p>
    <w:p w14:paraId="1521B283" w14:textId="6BCCCE95" w:rsidR="00D36403" w:rsidRDefault="00D36403" w:rsidP="00D36403">
      <w:r>
        <w:t>Researchers who are interested in gathering evidence of what people do, rather than what they say they do (as in survey and interview research), may find unobtrusive methods particularly valuable. While field researchers may also claim this advantage over interview and survey research, they cannot be entirely certain about the effect their presence may have on the behavior and interactions of the people they are studying. As with all research projects, unobtrusive research carries the risk of introducing researcher bias. However, one significant advantage of unobtrusive methods is that researchers do not need to worry about the impact of the research process on their subjects. This impact, known as the Hawthorne effect—where participants modify their behavior due to their awareness of being observed—is not a concern in unobtrusive research because there is no direct interaction between researchers and participants.</w:t>
      </w:r>
    </w:p>
    <w:p w14:paraId="0825A288" w14:textId="77777777" w:rsidR="00D36403" w:rsidRDefault="00D36403" w:rsidP="00D36403">
      <w:r>
        <w:t>Another notable benefit of unobtrusive research is its potential to be relatively low-cost compared to some other research methods. Since the "participants" are typically inanimate objects rather than human subjects, researchers may be able to access data without the need to compensate participants for their time and effort. However, it is important to note that travel to specific locations or access to certain documents and archives can still incur costs.</w:t>
      </w:r>
    </w:p>
    <w:p w14:paraId="6D876C4B" w14:textId="77777777" w:rsidR="00D36403" w:rsidRDefault="00D36403" w:rsidP="00D36403">
      <w:r>
        <w:t xml:space="preserve">Unobtrusive research also offers a degree of flexibility and forgiveness not found in many other methods. If researchers discover mistakes in their data collection process, it is generally much </w:t>
      </w:r>
      <w:r>
        <w:lastRenderedPageBreak/>
        <w:t>easier to correct these errors when conducting unobtrusive research. For instance, imagine if researchers realized after conducting 50 in-depth interviews that they had inadvertently omitted two crucial questions from the interview guide. They would be faced with limited and unappealing options, such as re-interviewing all participants, attempting to infer responses based on other data, re-framing the research question, or even abandoning the project entirely. Similar challenges arise with survey research and field research, where a "do-over" may be impossible or impractical. In contrast, unobtrusive researchers can often return to the original data source to gather additional information or rectify problems in the initial data collection process.</w:t>
      </w:r>
    </w:p>
    <w:p w14:paraId="190A2E1D" w14:textId="77777777" w:rsidR="00D36403" w:rsidRDefault="00D36403" w:rsidP="00D36403">
      <w:r>
        <w:t>Lastly, unobtrusive research is particularly well-suited for studies that examine processes occurring over extended periods. While longitudinal surveys—which collect data from the same participants at multiple points in time—can capture long-running processes, they are limited in their ability to examine events that took place long before the data collection began. They may also be less cost-effective for studying broad, wide-ranging processes. Unobtrusive methods, on the other hand, allow researchers to investigate events and processes from the distant past without relying on potentially error-prone retrospective accounts, as some longitudinal surveys do.</w:t>
      </w:r>
    </w:p>
    <w:p w14:paraId="7E1E9815" w14:textId="767C4473" w:rsidR="00AA035E" w:rsidRDefault="00D36403" w:rsidP="00D36403">
      <w:r>
        <w:t>In summary, unobtrusive research methods offer several key strengths, including the ability to study behavior without influencing it, cost-effectiveness, flexibility in correcting data collection errors, and the capacity to examine processes that unfold over extended periods. By leveraging these advantages, researchers can gain valuable insights into human behavior and social phenomena that may be difficult to access through other research methods.</w:t>
      </w:r>
    </w:p>
    <w:p w14:paraId="5327D81F" w14:textId="30D44F80" w:rsidR="00A626FE" w:rsidRPr="000E309B" w:rsidRDefault="00B40B09" w:rsidP="00476607">
      <w:pPr>
        <w:pStyle w:val="Heading4"/>
      </w:pPr>
      <w:r>
        <w:t>Limitations</w:t>
      </w:r>
      <w:r w:rsidR="00D14B33" w:rsidRPr="000E309B">
        <w:t xml:space="preserve"> of Unobtrusive Research</w:t>
      </w:r>
    </w:p>
    <w:p w14:paraId="7E0B0FC3" w14:textId="77777777" w:rsidR="004E4B28" w:rsidRDefault="004E4B28" w:rsidP="004E4B28">
      <w:r>
        <w:t>Despite the numerous advantages of unobtrusive research methods, it is important to acknowledge the unique set of challenges and limitations that researchers may face when employing these techniques.</w:t>
      </w:r>
    </w:p>
    <w:p w14:paraId="0C559982" w14:textId="77777777" w:rsidR="004E4B28" w:rsidRDefault="004E4B28" w:rsidP="004E4B28">
      <w:r>
        <w:t>One significant drawback stems from the fact that unobtrusive researchers often analyze data that was originally created or collected for purposes entirely different from their own research objectives. This can lead to validity issues, as the data may not perfectly align with the researcher's specific questions or hypotheses. For example, if a researcher is examining the changing portrayal of gender roles in magazine advertisements over time, they may have to rely on advertisements created to sell products rather than to accurately represent societal norms. The disconnect between the original purpose of the data and the researcher's goals can introduce potential biases or limitations in the analysis.</w:t>
      </w:r>
    </w:p>
    <w:p w14:paraId="47ED1E7F" w14:textId="77777777" w:rsidR="004E4B28" w:rsidRDefault="004E4B28" w:rsidP="004E4B28">
      <w:r>
        <w:t>Another challenge unobtrusive researchers may encounter is the absence of data sources relevant to their specific research interests. In some cases, the necessary data may simply not exist, forcing researchers to modify their original research questions or objectives to better fit the available data. This can be frustrating and may limit the scope or depth of the research project.</w:t>
      </w:r>
    </w:p>
    <w:p w14:paraId="1E11D5E1" w14:textId="77777777" w:rsidR="004E4B28" w:rsidRDefault="004E4B28" w:rsidP="004E4B28">
      <w:r>
        <w:lastRenderedPageBreak/>
        <w:t>Furthermore, accounting for context can be particularly difficult in unobtrusive research. Unlike field research, where researchers can directly observe the events leading up to a specific occurrence and witness participants' responses in real-time, unobtrusive researchers often lack access to this contextual information. While unobtrusive methods may be effective in determining what has occurred, understanding why something happened can be much more challenging without the ability to observe the full context.</w:t>
      </w:r>
    </w:p>
    <w:p w14:paraId="125411CA" w14:textId="77777777" w:rsidR="004E4B28" w:rsidRDefault="004E4B28" w:rsidP="004E4B28">
      <w:r>
        <w:t>To illustrate this point, consider a field researcher studying the dynamics of a workplace. They can directly observe interactions between employees, witness the events that lead to conflicts or collaborations, and note how individuals respond to various situations. In contrast, an unobtrusive researcher analyzing company emails or memos may be able to identify the occurrence of a conflict or collaboration but may struggle to fully understand the context and motivations behind these events without the benefit of direct observation.</w:t>
      </w:r>
    </w:p>
    <w:p w14:paraId="5327D820" w14:textId="24345F0A" w:rsidR="00A626FE" w:rsidRDefault="004E4B28" w:rsidP="00B40B09">
      <w:r>
        <w:t>In summary, while unobtrusive research methods offer numerous benefits, they also present researchers with unique challenges. These include potential validity issues arising from the use of data collected for other purposes, the possibility of having to adapt research questions due to limited data availability, and the difficulty of accounting for context when analyzing data unobtrusively. By being aware of these limitations and carefully considering how they may impact their research, investigators can work to mitigate these drawbacks and leverage the strengths of unobtrusive methods effectively.</w:t>
      </w:r>
    </w:p>
    <w:p w14:paraId="5327D821" w14:textId="34572E9B" w:rsidR="00A626FE" w:rsidRPr="000E309B" w:rsidRDefault="00B34C1D" w:rsidP="00B34C1D">
      <w:pPr>
        <w:pStyle w:val="Heading3"/>
      </w:pPr>
      <w:bookmarkStart w:id="183" w:name="_Toc169156803"/>
      <w:r>
        <w:t>U</w:t>
      </w:r>
      <w:r w:rsidR="00D14B33" w:rsidRPr="000E309B">
        <w:t xml:space="preserve">nobtrusive </w:t>
      </w:r>
      <w:r>
        <w:t>D</w:t>
      </w:r>
      <w:r w:rsidR="00D14B33" w:rsidRPr="000E309B">
        <w:t xml:space="preserve">ata </w:t>
      </w:r>
      <w:r>
        <w:t>C</w:t>
      </w:r>
      <w:r w:rsidR="00D14B33" w:rsidRPr="000E309B">
        <w:t>ollection</w:t>
      </w:r>
      <w:bookmarkEnd w:id="183"/>
    </w:p>
    <w:p w14:paraId="5327D822" w14:textId="7364B652" w:rsidR="00A626FE" w:rsidRPr="000E309B" w:rsidRDefault="00390F79" w:rsidP="00023786">
      <w:r w:rsidRPr="00390F79">
        <w:t>This section focuses on unobtrusive data gathering and what to do with it once collected. Unobtrusive data collection can be accomplished using two methods: content analysis of existing texts and analysis of physical evidence of human behavior, both of which are discussed below.</w:t>
      </w:r>
    </w:p>
    <w:p w14:paraId="5327D823" w14:textId="569BBEBD" w:rsidR="00A626FE" w:rsidRPr="000E309B" w:rsidRDefault="00662F0F" w:rsidP="002400F5">
      <w:pPr>
        <w:pStyle w:val="Heading4"/>
      </w:pPr>
      <w:r w:rsidRPr="00662F0F">
        <w:t>Content Analysis: Studying Human Communication Through Texts</w:t>
      </w:r>
    </w:p>
    <w:p w14:paraId="0027E3F6" w14:textId="699D7F36" w:rsidR="00A6290C" w:rsidRDefault="00A6290C" w:rsidP="00A6290C">
      <w:r>
        <w:t>One approach to conducting unobtrusive research is through the analysis of texts, which can take various forms. Content analysis is a type of unobtrusive research that involves the systematic study of human communications, addressing questions such as "Who says what, to whom, why, how, and with what effect?"</w:t>
      </w:r>
      <w:r w:rsidR="00A76B96">
        <w:t xml:space="preserve"> </w:t>
      </w:r>
      <w:r w:rsidR="00A76B96">
        <w:fldChar w:fldCharType="begin"/>
      </w:r>
      <w:r w:rsidR="007C07B4">
        <w:instrText xml:space="preserve"> ADDIN ZOTERO_ITEM CSL_CITATION {"citationID":"QsOumovR","properties":{"formattedCitation":"[153]","plainCitation":"[153]","noteIndex":0},"citationItems":[{"id":137,"uris":["http://zotero.org/users/5015692/items/JY9WZIUK"],"itemData":{"id":137,"type":"article-journal","container-title":"Wadsworth: Nelson Education Ltd","title":"The practice of social research (ed.)","author":[{"family":"Babbie","given":"Earl"}],"issued":{"date-parts":[["2010"]]}}}],"schema":"https://github.com/citation-style-language/schema/raw/master/csl-citation.json"} </w:instrText>
      </w:r>
      <w:r w:rsidR="00A76B96">
        <w:fldChar w:fldCharType="separate"/>
      </w:r>
      <w:r w:rsidR="007C07B4" w:rsidRPr="007C07B4">
        <w:t>[153]</w:t>
      </w:r>
      <w:r w:rsidR="00A76B96">
        <w:fldChar w:fldCharType="end"/>
      </w:r>
      <w:r>
        <w:t>. In other words, content analysis examines the meaning of texts, where "text" is understood broadly to include written documents (e.g., newspapers, letters), recorded speech (e.g., speeches, performances), and visual representations (e.g., television shows, photographs, movies).</w:t>
      </w:r>
    </w:p>
    <w:p w14:paraId="48C400A1" w14:textId="77777777" w:rsidR="00A6290C" w:rsidRDefault="00A6290C" w:rsidP="009C758D">
      <w:pPr>
        <w:pStyle w:val="Heading5"/>
      </w:pPr>
      <w:r>
        <w:t>Examples of Content Analysis Studies</w:t>
      </w:r>
    </w:p>
    <w:p w14:paraId="2259076C" w14:textId="3E577D1F" w:rsidR="00A6290C" w:rsidRDefault="00A6290C" w:rsidP="00A6290C">
      <w:r>
        <w:t>Braunsberger and Buckler used content analysis to investigate why people participate in consumer boycotts</w:t>
      </w:r>
      <w:r w:rsidR="009C758D">
        <w:t xml:space="preserve"> </w:t>
      </w:r>
      <w:r w:rsidR="009C758D">
        <w:fldChar w:fldCharType="begin"/>
      </w:r>
      <w:r w:rsidR="007C07B4">
        <w:instrText xml:space="preserve"> ADDIN ZOTERO_ITEM CSL_CITATION {"citationID":"NRPsT3YD","properties":{"formattedCitation":"[154]","plainCitation":"[154]","noteIndex":0},"citationItems":[{"id":136,"uris":["http://zotero.org/users/5015692/items/XXQE7A8A"],"itemData":{"id":136,"type":"article-journal","container-title":"Journal of Business Research","issue":"1","page":"96–102","title":"What motivates consumers to participate in boycotts: Lessons from the ongoing Canadian seafood boycott","volume":"64","author":[{"family":"Braunsberger","given":"Karin"},{"family":"Buckler","given":"Brian"}],"issued":{"date-parts":[["2011"]]}}}],"schema":"https://github.com/citation-style-language/schema/raw/master/csl-citation.json"} </w:instrText>
      </w:r>
      <w:r w:rsidR="009C758D">
        <w:fldChar w:fldCharType="separate"/>
      </w:r>
      <w:r w:rsidR="007C07B4" w:rsidRPr="007C07B4">
        <w:t>[154]</w:t>
      </w:r>
      <w:r w:rsidR="009C758D">
        <w:fldChar w:fldCharType="end"/>
      </w:r>
      <w:r>
        <w:t xml:space="preserve">. They analyzed a sample of 1,200 comments from a total of 17,496 pledges submitted to an online petition concerning a Canadian seafood boycott. The researchers found that 70.1% of the pledges wanted the company to discontinue its egregious behavior, while 29.67% </w:t>
      </w:r>
      <w:r>
        <w:lastRenderedPageBreak/>
        <w:t>aimed to send a message that the boycott would impact the company's bottom line (with some overlap between the two groups).</w:t>
      </w:r>
    </w:p>
    <w:p w14:paraId="2DBE9D30" w14:textId="7FFB7CF7" w:rsidR="00A6290C" w:rsidRDefault="00A6290C" w:rsidP="00A6290C">
      <w:r>
        <w:t>In another example, Cheyne, Dorfman, and Bukofzer analyzed the websites of 16 different cereals marketed to children, such as Apple Jacks, Cocoa Puffs, and Lucky Charms</w:t>
      </w:r>
      <w:r w:rsidR="007C74ED">
        <w:t xml:space="preserve"> </w:t>
      </w:r>
      <w:r w:rsidR="007C74ED">
        <w:fldChar w:fldCharType="begin"/>
      </w:r>
      <w:r w:rsidR="007C07B4">
        <w:instrText xml:space="preserve"> ADDIN ZOTERO_ITEM CSL_CITATION {"citationID":"FZt03KdB","properties":{"formattedCitation":"[155]","plainCitation":"[155]","noteIndex":0},"citationItems":[{"id":130,"uris":["http://zotero.org/users/5015692/items/C9W4VKNP"],"itemData":{"id":130,"type":"article-journal","container-title":"Journal of health communication","issue":"5","page":"563–582","title":"Marketing sugary cereals to children in the digital age: a content analysis of 17 child-targeted websites","volume":"18","author":[{"family":"Cheyne","given":"Andrew D"},{"family":"Dorfman","given":"Lori"},{"family":"Bukofzer","given":"Eliana"},{"family":"Harris","given":"Jennifer L"}],"issued":{"date-parts":[["2013"]]}}}],"schema":"https://github.com/citation-style-language/schema/raw/master/csl-citation.json"} </w:instrText>
      </w:r>
      <w:r w:rsidR="007C74ED">
        <w:fldChar w:fldCharType="separate"/>
      </w:r>
      <w:r w:rsidR="007C07B4" w:rsidRPr="007C07B4">
        <w:t>[155]</w:t>
      </w:r>
      <w:r w:rsidR="007C74ED">
        <w:fldChar w:fldCharType="end"/>
      </w:r>
      <w:r>
        <w:t>. They discovered that the sites employed various levels of presence to engage children with their products. The more successful sites, as measured by traffic data, featured activities with deeper "levels of immersion," such as advergames.</w:t>
      </w:r>
    </w:p>
    <w:p w14:paraId="334E910F" w14:textId="77777777" w:rsidR="00A6290C" w:rsidRDefault="00A6290C" w:rsidP="004C5A87">
      <w:pPr>
        <w:pStyle w:val="Heading5"/>
      </w:pPr>
      <w:r>
        <w:t>The Process of Content Analysis</w:t>
      </w:r>
    </w:p>
    <w:p w14:paraId="681FC683" w14:textId="77777777" w:rsidR="00A6290C" w:rsidRDefault="00A6290C" w:rsidP="00A6290C">
      <w:r>
        <w:t>Conducting a content analysis typically involves the following steps:</w:t>
      </w:r>
    </w:p>
    <w:p w14:paraId="3A351CA6" w14:textId="3AAC972B" w:rsidR="00A6290C" w:rsidRDefault="00A6290C" w:rsidP="00C419E4">
      <w:pPr>
        <w:pStyle w:val="ListParagraph"/>
        <w:numPr>
          <w:ilvl w:val="0"/>
          <w:numId w:val="320"/>
        </w:numPr>
      </w:pPr>
      <w:r>
        <w:t xml:space="preserve">Sampling: When faced with </w:t>
      </w:r>
      <w:r w:rsidR="00C419E4">
        <w:t>many</w:t>
      </w:r>
      <w:r>
        <w:t xml:space="preserve"> texts (e.g., newspaper stories, financial reports), the researcher selects a subset of texts from the population for analysis. The selection is purposive, focusing on texts with more relevant content.</w:t>
      </w:r>
    </w:p>
    <w:p w14:paraId="5D2F7D38" w14:textId="77777777" w:rsidR="00A6290C" w:rsidRDefault="00A6290C" w:rsidP="00C419E4">
      <w:pPr>
        <w:pStyle w:val="ListParagraph"/>
        <w:numPr>
          <w:ilvl w:val="0"/>
          <w:numId w:val="320"/>
        </w:numPr>
      </w:pPr>
      <w:r>
        <w:t>Unitizing: The researcher establishes and applies rules to divide each text into segments or "chunks" that serve as separate units of analysis. These units may include assumptions, effects, enablers, and barriers identified within the texts.</w:t>
      </w:r>
    </w:p>
    <w:p w14:paraId="15B9C5F0" w14:textId="77777777" w:rsidR="00A6290C" w:rsidRDefault="00A6290C" w:rsidP="00C419E4">
      <w:pPr>
        <w:pStyle w:val="ListParagraph"/>
        <w:numPr>
          <w:ilvl w:val="0"/>
          <w:numId w:val="320"/>
        </w:numPr>
      </w:pPr>
      <w:r>
        <w:t>Coding: The researcher develops a coding scheme based on themes discovered during the classification of the text. Each unitized text segment is then assigned one or more concepts through the coding process.</w:t>
      </w:r>
    </w:p>
    <w:p w14:paraId="6825B15C" w14:textId="77777777" w:rsidR="00A6290C" w:rsidRDefault="00A6290C" w:rsidP="00C419E4">
      <w:pPr>
        <w:pStyle w:val="ListParagraph"/>
        <w:numPr>
          <w:ilvl w:val="0"/>
          <w:numId w:val="320"/>
        </w:numPr>
      </w:pPr>
      <w:r>
        <w:t>Analysis: The coded data are analyzed using both quantitative and qualitative methods to identify the most frequently occurring themes, the contexts in which they appear, and their interrelationships.</w:t>
      </w:r>
    </w:p>
    <w:p w14:paraId="10DEE4A5" w14:textId="77777777" w:rsidR="00A6290C" w:rsidRDefault="00A6290C" w:rsidP="00A6290C">
      <w:r>
        <w:t>Sentiment analysis is a simple form of content analysis that captures people's opinions or attitudes towards a specific object, person, or phenomenon. For example, analyzing messages about a political candidate posted on an online forum and classifying each message as positive, negative, or neutral is a form of sentiment analysis. This approach helps determine the overall sentiment of the sample towards the candidate. While manual analysis is possible, natural language processing and analytics programs can automate the coding process for large datasets and track sentiment fluctuations over time.</w:t>
      </w:r>
    </w:p>
    <w:p w14:paraId="6E722077" w14:textId="77777777" w:rsidR="00A6290C" w:rsidRDefault="00A6290C" w:rsidP="00682764">
      <w:pPr>
        <w:pStyle w:val="Heading5"/>
      </w:pPr>
      <w:r>
        <w:t>Addressing Criticisms and Limitations</w:t>
      </w:r>
    </w:p>
    <w:p w14:paraId="2B545E6E" w14:textId="6EF18106" w:rsidR="00A6290C" w:rsidRDefault="00A6290C" w:rsidP="00A6290C">
      <w:r>
        <w:t>A common criticism of content analysis is the lack of systematic procedures that allow for replication by other researchers. Schilling addressed this issue by proposing a spiral model that organizes content analytic procedures into five phases: converting recorded data into transcripts, condensing raw data into protocols, developing a preliminary category system, generating coded protocols, and analyzing coded protocols to interpret the phenomenon of interest</w:t>
      </w:r>
      <w:r w:rsidR="00682764">
        <w:t xml:space="preserve"> </w:t>
      </w:r>
      <w:r w:rsidR="00682764">
        <w:fldChar w:fldCharType="begin"/>
      </w:r>
      <w:r w:rsidR="007C07B4">
        <w:instrText xml:space="preserve"> ADDIN ZOTERO_ITEM CSL_CITATION {"citationID":"ZXvbgnqA","properties":{"formattedCitation":"[156]","plainCitation":"[156]","noteIndex":0},"citationItems":[{"id":126,"uris":["http://zotero.org/users/5015692/items/DLQXTV2Y"],"itemData":{"id":126,"type":"article-journal","container-title":"European journal of psychological assessment","issue":"1","page":"28–37","title":"On the pragmatics of qualitative assessment","volume":"22","author":[{"family":"Schilling","given":"Jan"}],"issued":{"date-parts":[["2006"]]}}}],"schema":"https://github.com/citation-style-language/schema/raw/master/csl-citation.json"} </w:instrText>
      </w:r>
      <w:r w:rsidR="00682764">
        <w:fldChar w:fldCharType="separate"/>
      </w:r>
      <w:r w:rsidR="007C07B4" w:rsidRPr="007C07B4">
        <w:t>[156]</w:t>
      </w:r>
      <w:r w:rsidR="00682764">
        <w:fldChar w:fldCharType="end"/>
      </w:r>
      <w:r>
        <w:t>.</w:t>
      </w:r>
    </w:p>
    <w:p w14:paraId="4037B798" w14:textId="77777777" w:rsidR="00A6290C" w:rsidRDefault="00A6290C" w:rsidP="00A6290C">
      <w:r>
        <w:t xml:space="preserve">However, content analysis does have limitations. First, the coding process is limited to the information available in text form. If no suitable archive of text documents exists for the research question at hand, the analysis cannot be conducted. Second, sampling must be carefully executed </w:t>
      </w:r>
      <w:r>
        <w:lastRenderedPageBreak/>
        <w:t>to avoid bias. For instance, if the population is the published research literature on a given topic, unpublished research or recent work that has not yet been published may be systematically excluded.</w:t>
      </w:r>
    </w:p>
    <w:p w14:paraId="5327D836" w14:textId="61F5253B" w:rsidR="00A626FE" w:rsidRDefault="00A6290C" w:rsidP="009A1D76">
      <w:r>
        <w:t>Despite these limitations, content analysis remains a valuable unobtrusive research method for studying human communication through the systematic examination of texts. By carefully designing and executing content analysis studies, researchers can gain valuable insights into a wide range of social phenomena without directly interacting with the subjects of their investigation.</w:t>
      </w:r>
    </w:p>
    <w:p w14:paraId="3D37772F" w14:textId="77777777" w:rsidR="00B82D3D" w:rsidRDefault="00B82D3D" w:rsidP="00B82D3D">
      <w:pPr>
        <w:pStyle w:val="Heading5"/>
      </w:pPr>
      <w:r>
        <w:t>Hermeneutic Analysis: Interpreting Texts Within Their Socio-Historic Context</w:t>
      </w:r>
    </w:p>
    <w:p w14:paraId="13E414AD" w14:textId="77777777" w:rsidR="00B82D3D" w:rsidRDefault="00B82D3D" w:rsidP="00B82D3D">
      <w:r>
        <w:t>Hermeneutic analysis is a specific type of content analysis in which the researcher seeks to "interpret" the subjective meaning of a text within its socio-historic context. Unlike grounded theory or content analysis, which often ignore the context and meaning of text documents during the coding process, hermeneutic analysis is a genuinely interpretive technique for analyzing qualitative data. This method assumes that written texts narrate an author's experience within a socio-historic context and should be interpreted within that context. The researcher engages in a continuous iteration between a singular interpretation of the text (the part) and a holistic understanding of the context (the whole) to develop a fuller understanding of the phenomenon in its situated context, a process German philosopher Martin Heidegger called the hermeneutic circle.</w:t>
      </w:r>
    </w:p>
    <w:p w14:paraId="23D55201" w14:textId="77777777" w:rsidR="00B82D3D" w:rsidRDefault="00B82D3D" w:rsidP="00B82D3D">
      <w:r>
        <w:t>More broadly, hermeneutics is the study of interpretation and the theory and practice of interpretation. Traditional hermeneutics originated in religious studies and referred to the interpretation of written texts, particularly in religion, literature, and law. In the 20th century, Heidegger proposed that a more direct, non-mediated, and authentic way of understanding social reality is to experience it rather than observe it. The focus of philosophical hermeneutics then shifted from interpretation to existential understanding, with Heidegger arguing that texts allow readers to read about and relive an author's experiences. Contemporary hermeneutics, developed by Heidegger's students, further explored the limits of written texts for communicating social experiences. They proposed a framework of the interpretive process, encompassing all forms of communication, including written, verbal, and non-verbal, and examined issues that restrict the communicative ability of written texts, such as presumptions, language structures (e.g., grammar and syntax), and semiotics (the study of written signs such as symbolism and analogy).</w:t>
      </w:r>
    </w:p>
    <w:p w14:paraId="266B5164" w14:textId="77777777" w:rsidR="00B82D3D" w:rsidRDefault="00B82D3D" w:rsidP="00B82D3D">
      <w:r>
        <w:t>Hermeneutics is sometimes confused with exegesis, which refers specifically to the interpretation or critical explanation of written texts, especially religious texts. However, this use of hermeneutics improperly limits it to only written texts.</w:t>
      </w:r>
    </w:p>
    <w:p w14:paraId="6571AEED" w14:textId="77777777" w:rsidR="00B82D3D" w:rsidRPr="00570EB1" w:rsidRDefault="00B82D3D" w:rsidP="00570EB1">
      <w:pPr>
        <w:rPr>
          <w:b/>
          <w:bCs/>
        </w:rPr>
      </w:pPr>
      <w:r w:rsidRPr="00570EB1">
        <w:rPr>
          <w:b/>
          <w:bCs/>
        </w:rPr>
        <w:t>Examples of Content Analysis Research</w:t>
      </w:r>
    </w:p>
    <w:p w14:paraId="135E80CA" w14:textId="1BA88697" w:rsidR="00B82D3D" w:rsidRDefault="00B82D3D" w:rsidP="00B82D3D">
      <w:r>
        <w:t>Shen and Bissell analyzed the marketing of beauty products on Facebook using content analysis of product advertising</w:t>
      </w:r>
      <w:r w:rsidR="00CD379C">
        <w:t xml:space="preserve"> </w:t>
      </w:r>
      <w:r w:rsidR="00CD379C">
        <w:fldChar w:fldCharType="begin"/>
      </w:r>
      <w:r w:rsidR="007C07B4">
        <w:instrText xml:space="preserve"> ADDIN ZOTERO_ITEM CSL_CITATION {"citationID":"mGmeECk7","properties":{"formattedCitation":"[157]","plainCitation":"[157]","noteIndex":0},"citationItems":[{"id":142,"uris":["http://zotero.org/users/5015692/items/48CTAPEY"],"itemData":{"id":142,"type":"article-journal","container-title":"Journal of Promotion Management","issue":"5","page":"629–651","title":"Social media, social me: A content analysis of beauty companies’ use of Facebook in marketing and branding","volume":"19","author":[{"family":"Shen","given":"Bin"},{"family":"Bissell","given":"Kimberly"}],"issued":{"date-parts":[["2013"]]}}}],"schema":"https://github.com/citation-style-language/schema/raw/master/csl-citation.json"} </w:instrText>
      </w:r>
      <w:r w:rsidR="00CD379C">
        <w:fldChar w:fldCharType="separate"/>
      </w:r>
      <w:r w:rsidR="007C07B4" w:rsidRPr="007C07B4">
        <w:t>[157]</w:t>
      </w:r>
      <w:r w:rsidR="00CD379C">
        <w:fldChar w:fldCharType="end"/>
      </w:r>
      <w:r>
        <w:t xml:space="preserve">. They found significant differences in the marketing strategies of beauty product manufacturers and department stores, with manufacturers using entertainment like </w:t>
      </w:r>
      <w:r>
        <w:lastRenderedPageBreak/>
        <w:t>surveys and games in their Facebook ads, while department stores favored promotions like coupons and free samples.</w:t>
      </w:r>
    </w:p>
    <w:p w14:paraId="53A5A918" w14:textId="29656B63" w:rsidR="00B82D3D" w:rsidRDefault="00B82D3D" w:rsidP="00B82D3D">
      <w:r>
        <w:t>Park and Gretzel conducted a meta-analysis of published research on travel destination marketing with websites</w:t>
      </w:r>
      <w:r w:rsidR="00361FF5">
        <w:t xml:space="preserve"> </w:t>
      </w:r>
      <w:r w:rsidR="00361FF5">
        <w:fldChar w:fldCharType="begin"/>
      </w:r>
      <w:r w:rsidR="007C07B4">
        <w:instrText xml:space="preserve"> ADDIN ZOTERO_ITEM CSL_CITATION {"citationID":"EpjKZ24S","properties":{"formattedCitation":"[158]","plainCitation":"[158]","noteIndex":0},"citationItems":[{"id":127,"uris":["http://zotero.org/users/5015692/items/Z4VRHY52"],"itemData":{"id":127,"type":"article-journal","container-title":"Journal of travel research","issue":"1","page":"46–63","title":"Success factors for destination marketing web sites: A qualitative meta-analysis","volume":"46","author":[{"family":"Park","given":"Young A"},{"family":"Gretzel","given":"Ulrike"}],"issued":{"date-parts":[["2007"]]}}}],"schema":"https://github.com/citation-style-language/schema/raw/master/csl-citation.json"} </w:instrText>
      </w:r>
      <w:r w:rsidR="00361FF5">
        <w:fldChar w:fldCharType="separate"/>
      </w:r>
      <w:r w:rsidR="007C07B4" w:rsidRPr="007C07B4">
        <w:t>[158]</w:t>
      </w:r>
      <w:r w:rsidR="00361FF5">
        <w:fldChar w:fldCharType="end"/>
      </w:r>
      <w:r>
        <w:t xml:space="preserve">. They identified nine success factors for travel marketing websites: 1) Information Quality; 2) Ease of Use; 3) Security/Privacy; 4) Visual Appearance; 5) Personalization; 6) Responsiveness; 7) Interactivity; 8) Trust; </w:t>
      </w:r>
      <w:r w:rsidR="009811CA">
        <w:t>and</w:t>
      </w:r>
      <w:r>
        <w:t xml:space="preserve"> 9) Fulfillment. However, they also noted that the importance of these factors might vary between travel and non-travel websites and may shift as web technologies evolve.</w:t>
      </w:r>
    </w:p>
    <w:p w14:paraId="74204C22" w14:textId="420C5192" w:rsidR="00B82D3D" w:rsidRDefault="00B82D3D" w:rsidP="00B82D3D">
      <w:r>
        <w:t>Davis, Piger, and Sedor analyzed approximately 23,000 press releases of quarterly earnings statements between 1998 and 2003</w:t>
      </w:r>
      <w:r w:rsidR="009811CA">
        <w:t xml:space="preserve"> </w:t>
      </w:r>
      <w:r w:rsidR="009811CA">
        <w:fldChar w:fldCharType="begin"/>
      </w:r>
      <w:r w:rsidR="007C07B4">
        <w:instrText xml:space="preserve"> ADDIN ZOTERO_ITEM CSL_CITATION {"citationID":"OqxLzOmV","properties":{"formattedCitation":"[159]","plainCitation":"[159]","noteIndex":0},"citationItems":[{"id":132,"uris":["http://zotero.org/users/5015692/items/H6R6ZAHQ"],"itemData":{"id":132,"type":"article-journal","container-title":"Contemporary Accounting Research","issue":"3","page":"845–868","title":"Beyond the numbers: Measuring the information content of earnings press release language","volume":"29","author":[{"family":"Davis","given":"Angela K"},{"family":"Piger","given":"Jeremy M"},{"family":"Sedor","given":"Lisa M"}],"issued":{"date-parts":[["2012"]]}}}],"schema":"https://github.com/citation-style-language/schema/raw/master/csl-citation.json"} </w:instrText>
      </w:r>
      <w:r w:rsidR="009811CA">
        <w:fldChar w:fldCharType="separate"/>
      </w:r>
      <w:r w:rsidR="007C07B4" w:rsidRPr="007C07B4">
        <w:t>[159]</w:t>
      </w:r>
      <w:r w:rsidR="009811CA">
        <w:fldChar w:fldCharType="end"/>
      </w:r>
      <w:r>
        <w:t>. They found that "levels of net optimistic language in earnings press releases are predictive of firm performance in future quarters," suggesting that managers' use of optimistic language in quarterly earnings reports foreshadows future earnings increases.</w:t>
      </w:r>
    </w:p>
    <w:p w14:paraId="597D402D" w14:textId="77777777" w:rsidR="00B82D3D" w:rsidRPr="00570EB1" w:rsidRDefault="00B82D3D" w:rsidP="00570EB1">
      <w:pPr>
        <w:rPr>
          <w:b/>
          <w:bCs/>
        </w:rPr>
      </w:pPr>
      <w:r w:rsidRPr="00570EB1">
        <w:rPr>
          <w:b/>
          <w:bCs/>
        </w:rPr>
        <w:t>Primary and Secondary Sources in Content Analysis</w:t>
      </w:r>
    </w:p>
    <w:p w14:paraId="3513ECA5" w14:textId="77777777" w:rsidR="00B82D3D" w:rsidRDefault="00B82D3D" w:rsidP="00B82D3D">
      <w:r>
        <w:t>It is essential to recognize the distinction between primary and secondary sources in content analysis. Primary sources are original research, such as the studies conducted by Shen and Davis. Secondary sources, on the other hand, have already been published and analyzed by others, like Park's published reports on effective website marketing. While content analysis can involve both primary and secondary sources, it is more common for content analysts to focus on primary sources. When secondary sources are analyzed, the researcher's focus is usually on how the original analyst or presenter of data reached conclusions or on the choices made in terms of data presentation.</w:t>
      </w:r>
    </w:p>
    <w:p w14:paraId="7DEBA6B5" w14:textId="77777777" w:rsidR="00B82D3D" w:rsidRPr="00570EB1" w:rsidRDefault="00B82D3D" w:rsidP="00570EB1">
      <w:pPr>
        <w:rPr>
          <w:b/>
          <w:bCs/>
        </w:rPr>
      </w:pPr>
      <w:r w:rsidRPr="00570EB1">
        <w:rPr>
          <w:b/>
          <w:bCs/>
        </w:rPr>
        <w:t>Differentiating Between Literature Review and Content Analysis of Scholarly Literature</w:t>
      </w:r>
    </w:p>
    <w:p w14:paraId="54677BE4" w14:textId="77777777" w:rsidR="00B82D3D" w:rsidRDefault="00B82D3D" w:rsidP="00B82D3D">
      <w:r>
        <w:t>Students new to research methods sometimes struggle to understand the difference between a literature review and a content analysis of scholarly literature. A literature review analyzes peer-reviewed articles to understand the current state of knowledge on a particular topic, with findings generally taken at face value. In contrast, a content analysis of scholarly literature raises questions not typically addressed in a literature review, such as examining the authors (e.g., Who publishes what, where?), publication outlets (e.g., How well do different journals represent the diversity of the discipline?), or topics (e.g., How has the popularity of topics shifted over time?). A content analysis of scholarly articles is a "study of the studies" rather than a "review of studies."</w:t>
      </w:r>
    </w:p>
    <w:p w14:paraId="692E92C5" w14:textId="77777777" w:rsidR="00B82D3D" w:rsidRPr="00570EB1" w:rsidRDefault="00B82D3D" w:rsidP="00570EB1">
      <w:pPr>
        <w:rPr>
          <w:b/>
          <w:bCs/>
        </w:rPr>
      </w:pPr>
      <w:r w:rsidRPr="00570EB1">
        <w:rPr>
          <w:b/>
          <w:bCs/>
        </w:rPr>
        <w:t>Qualitative and Quantitative Approaches to Content Analysis</w:t>
      </w:r>
    </w:p>
    <w:p w14:paraId="3AC178FE" w14:textId="5723ED65" w:rsidR="00B82D3D" w:rsidRDefault="00B82D3D" w:rsidP="00B82D3D">
      <w:r>
        <w:t xml:space="preserve">Content analysis can be qualitative or quantitative, and researchers often use both strategies to strengthen their investigations. Qualitative content analysis aims to identify themes in the text being analyzed and their underlying meaning. For example, Brown conducted a content analysis of 500 randomly sampled news stories about welfare reform from 1993 to 1997 in California and </w:t>
      </w:r>
      <w:r>
        <w:lastRenderedPageBreak/>
        <w:t>Arizona, finding that California tended to view welfare reform as a legal issue while Arizona tended to see it as a racial issue</w:t>
      </w:r>
      <w:r w:rsidR="00E76AB6">
        <w:t xml:space="preserve"> </w:t>
      </w:r>
      <w:r w:rsidR="00E76AB6">
        <w:fldChar w:fldCharType="begin"/>
      </w:r>
      <w:r w:rsidR="007C07B4">
        <w:instrText xml:space="preserve"> ADDIN ZOTERO_ITEM CSL_CITATION {"citationID":"j95S6kzg","properties":{"formattedCitation":"[160]","plainCitation":"[160]","noteIndex":0},"citationItems":[{"id":134,"uris":["http://zotero.org/users/5015692/items/YHV5Q5ER"],"itemData":{"id":134,"type":"article-journal","container-title":"American Sociological Review","issue":"2","page":"290–314","title":"Race, legality, and the social policy consequences of anti-immigration mobilization","volume":"78","author":[{"family":"Brown","given":"Hana E"}],"issued":{"date-parts":[["2013"]]}}}],"schema":"https://github.com/citation-style-language/schema/raw/master/csl-citation.json"} </w:instrText>
      </w:r>
      <w:r w:rsidR="00E76AB6">
        <w:fldChar w:fldCharType="separate"/>
      </w:r>
      <w:r w:rsidR="007C07B4" w:rsidRPr="007C07B4">
        <w:t>[160]</w:t>
      </w:r>
      <w:r w:rsidR="00E76AB6">
        <w:fldChar w:fldCharType="end"/>
      </w:r>
      <w:r>
        <w:t>.</w:t>
      </w:r>
    </w:p>
    <w:p w14:paraId="085020CB" w14:textId="3E541558" w:rsidR="00B82D3D" w:rsidRDefault="00B82D3D" w:rsidP="00B82D3D">
      <w:r>
        <w:t>Quantitative content analysis, on the other hand, involves assigning numerical values to raw data for analysis using various statistical procedures. Chavez, Whiteford, and Hoewe conducted a quantitative content analysis of United States newspaper reporting on Mexican immigration, revealing that 41.3% of the analyzed stories were between 501−1000 words long, and the largest proportion of stories (50.6%) focused on crime</w:t>
      </w:r>
      <w:r w:rsidR="00DB3CD0">
        <w:t xml:space="preserve"> </w:t>
      </w:r>
      <w:r w:rsidR="00DB3CD0">
        <w:fldChar w:fldCharType="begin"/>
      </w:r>
      <w:r w:rsidR="007C07B4">
        <w:instrText xml:space="preserve"> ADDIN ZOTERO_ITEM CSL_CITATION {"citationID":"8DcY5CVS","properties":{"formattedCitation":"[161]","plainCitation":"[161]","noteIndex":0},"citationItems":[{"id":135,"uris":["http://zotero.org/users/5015692/items/JNRK5QJ6"],"itemData":{"id":135,"type":"article-journal","container-title":"Norteamérica","issue":"2","page":"111–125","title":"Reporting on immigration: A content analysis of major US newspapers' coverage of Mexican immigration","volume":"5","author":[{"family":"Chavez","given":"Manuel"},{"family":"Whiteford","given":"Scott"},{"family":"Hoewe","given":"Jennifer"}],"issued":{"date-parts":[["2010"]]}}}],"schema":"https://github.com/citation-style-language/schema/raw/master/csl-citation.json"} </w:instrText>
      </w:r>
      <w:r w:rsidR="00DB3CD0">
        <w:fldChar w:fldCharType="separate"/>
      </w:r>
      <w:r w:rsidR="007C07B4" w:rsidRPr="007C07B4">
        <w:t>[161]</w:t>
      </w:r>
      <w:r w:rsidR="00DB3CD0">
        <w:fldChar w:fldCharType="end"/>
      </w:r>
      <w:r>
        <w:t>.</w:t>
      </w:r>
    </w:p>
    <w:p w14:paraId="59B173FC" w14:textId="6D53315A" w:rsidR="00495571" w:rsidRDefault="00B82D3D" w:rsidP="00B82D3D">
      <w:r>
        <w:t>In summary, hermeneutic analysis is a type of content analysis that seeks to interpret the subjective meaning of texts within their socio-historic context. Content analysis can be applied to various research projects, using both primary and secondary sources. It is essential to distinguish between a literature review and a content analysis of scholarly literature, as they serve different purposes. Furthermore, content analysis can be approached qualitatively or quantitatively, depending on the research objectives and the nature of the data being analyzed.</w:t>
      </w:r>
    </w:p>
    <w:p w14:paraId="5327D842" w14:textId="6ED0529E" w:rsidR="00A626FE" w:rsidRPr="000E309B" w:rsidRDefault="00C43B29" w:rsidP="00056346">
      <w:pPr>
        <w:pStyle w:val="Heading4"/>
      </w:pPr>
      <w:r w:rsidRPr="00C43B29">
        <w:t>Unobtrusive Research: Analyzing Physical Traces and Material Artifacts</w:t>
      </w:r>
    </w:p>
    <w:p w14:paraId="60D4527C" w14:textId="07200E33" w:rsidR="005251C9" w:rsidRDefault="005251C9" w:rsidP="005251C9">
      <w:r>
        <w:t xml:space="preserve">In addition to texts, unobtrusive researchers may also be interested in analyzing the evidence that humans leave behind, which can provide insights into their identities and behaviors. This evidence includes physical traces left by humans and artifacts that reveal information about their beliefs, values, or norms. Physical traces can include worn paths across campus, materials in a landfill or someone's trash (a data source used by Reilly </w:t>
      </w:r>
      <w:r>
        <w:fldChar w:fldCharType="begin"/>
      </w:r>
      <w:r w:rsidR="007C07B4">
        <w:instrText xml:space="preserve"> ADDIN ZOTERO_ITEM CSL_CITATION {"citationID":"pbgiSmUl","properties":{"formattedCitation":"[162]","plainCitation":"[162]","noteIndex":0},"citationItems":[{"id":124,"uris":["http://zotero.org/users/5015692/items/NGQWLJA9"],"itemData":{"id":124,"type":"article-journal","container-title":"Journal of Consumer Research","issue":"2","page":"289–294","title":"A comparison of group differences in food consumption using household refuse","volume":"14","author":[{"family":"Reilly","given":"Michael D"},{"family":"Wallendorf","given":"Melanie"}],"issued":{"date-parts":[["1987"]]}}}],"schema":"https://github.com/citation-style-language/schema/raw/master/csl-citation.json"} </w:instrText>
      </w:r>
      <w:r>
        <w:fldChar w:fldCharType="separate"/>
      </w:r>
      <w:r w:rsidR="007C07B4" w:rsidRPr="007C07B4">
        <w:t>[162]</w:t>
      </w:r>
      <w:r>
        <w:fldChar w:fldCharType="end"/>
      </w:r>
      <w:r>
        <w:t>), indentations in furniture, or empty shelves in grocery stores. Material artifacts can include video games and gaming equipment, sculptures, mementos left on gravestones, housing structures, or even kitchen utensils.</w:t>
      </w:r>
    </w:p>
    <w:p w14:paraId="158B09DF" w14:textId="77777777" w:rsidR="005251C9" w:rsidRDefault="005251C9" w:rsidP="005251C9">
      <w:r>
        <w:t>The National Museum of American History in Washington, D.C., features an exhibit displaying chef Julia Child's home kitchen, where she filmed many of her famous cooking shows. By studying this kitchen, researchers can gain insights into how cooking has changed over the decades since Child's shows were on air. They can learn about the influence of kitchen layout, utensils, and appliances on entertainment practices, meal preparation time, and clean-up time. The presence of specific kitchen gadgets and utensils might even indicate something about the homeowner's social class. Answers to these questions have a bearing on human norms and interactions and are the types of questions that researchers using unobtrusive methods might seek to answer.</w:t>
      </w:r>
    </w:p>
    <w:p w14:paraId="1CB006BA" w14:textId="77777777" w:rsidR="005251C9" w:rsidRDefault="005251C9" w:rsidP="00E6763F">
      <w:pPr>
        <w:pStyle w:val="Heading5"/>
      </w:pPr>
      <w:r>
        <w:t>Challenges in Analyzing Physical Traces and Material Artifacts</w:t>
      </w:r>
    </w:p>
    <w:p w14:paraId="27FED833" w14:textId="77777777" w:rsidR="005251C9" w:rsidRDefault="005251C9" w:rsidP="005251C9">
      <w:r>
        <w:t xml:space="preserve">One challenge in analyzing physical traces and material artifacts is that researchers often do not have access to the people who left the traces or created the artifacts under analysis. It can be particularly challenging to interpret the meanings of these materials if they originate from a historical or cultural context different from the researcher's own. Situating the traces or artifacts under analysis in their original contexts and the researcher's own context is not always easy and can lead to problems related to validity and reliability. Researchers must consider whether they are viewing an object or physical trace as it was intended to be viewed and whether they have the </w:t>
      </w:r>
      <w:r>
        <w:lastRenderedPageBreak/>
        <w:t>necessary background knowledge about the original creators or users to understand their motivations.</w:t>
      </w:r>
    </w:p>
    <w:p w14:paraId="3051CB83" w14:textId="05C31E0E" w:rsidR="005251C9" w:rsidRDefault="005251C9" w:rsidP="005251C9">
      <w:r>
        <w:t>To illustrate this challenge, imagine an alien trying to understand some aspect of Western human culture simply by examining our artifacts. Cartoonist Mark Parisi demonstrates the potential for misunderstanding in his drawing featuring three tiny aliens standing atop a toilet</w:t>
      </w:r>
      <w:r w:rsidR="002011A0">
        <w:rPr>
          <w:rStyle w:val="FootnoteReference"/>
        </w:rPr>
        <w:footnoteReference w:id="10"/>
      </w:r>
      <w:r>
        <w:t>. One alien says, "Since water is the life-blood on this planet, this must be a temple of some sort... Let's stick around and see how they show their respect". Without a contextual understanding of Western human culture, the aliens have misidentified the purpose of the toilet and will be in for quite a surprise when someone arrives to use it!</w:t>
      </w:r>
    </w:p>
    <w:p w14:paraId="0EA57242" w14:textId="77777777" w:rsidR="005251C9" w:rsidRDefault="005251C9" w:rsidP="005251C9">
      <w:r>
        <w:t>The point is that while physical traces and material artifacts can be excellent sources of data, analyzing their meaning requires more than simply trying to understand them from the researcher's contextual position. Researchers must also be aware of who caused the physical trace or created the artifact, when they created it, why they created it, and for whom they created it. Answering these questions may require accessing additional materials beyond the traces or artifacts themselves, such as historical documents or, in the case of contemporary traces or artifacts, using other data collection methods like interviews with the creators.</w:t>
      </w:r>
    </w:p>
    <w:p w14:paraId="7040F500" w14:textId="026E328E" w:rsidR="00DA08F4" w:rsidRDefault="005251C9" w:rsidP="005251C9">
      <w:r>
        <w:t>In summary, unobtrusive research methods extend beyond the analysis of texts to include the study of physical traces and material artifacts left behind by humans. These traces and artifacts can provide valuable insights into human behavior, beliefs, values, and norms. However, researchers must be aware of the challenges associated with interpreting these materials, particularly when they come from different historical or cultural contexts. To ensure valid and reliable interpretations, researchers must situate the traces and artifacts in their original contexts and seek additional information about their creators, purposes, and intended audiences.</w:t>
      </w:r>
    </w:p>
    <w:p w14:paraId="5327D848" w14:textId="627E5385" w:rsidR="00A626FE" w:rsidRPr="000E309B" w:rsidRDefault="00EA61EC" w:rsidP="00056346">
      <w:pPr>
        <w:pStyle w:val="Heading4"/>
      </w:pPr>
      <w:r w:rsidRPr="00EA61EC">
        <w:t>Analyzing Texts, Physical Traces, and Artifacts in Unobtrusive Research</w:t>
      </w:r>
    </w:p>
    <w:p w14:paraId="15D4F267" w14:textId="77777777" w:rsidR="00D3696C" w:rsidRPr="00D3696C" w:rsidRDefault="00D3696C" w:rsidP="00D3696C">
      <w:r w:rsidRPr="00D3696C">
        <w:t>Once the set of texts, physical traces, or artifacts to be analyzed is identified, the next step is to determine how to proceed with the analysis. This step involves developing coding procedures, understanding the difference between manifest and latent content, and identifying patterns across the coded data.</w:t>
      </w:r>
    </w:p>
    <w:p w14:paraId="517CB10D" w14:textId="77777777" w:rsidR="00D3696C" w:rsidRDefault="00D3696C" w:rsidP="00D3696C">
      <w:pPr>
        <w:pStyle w:val="Heading5"/>
      </w:pPr>
      <w:r>
        <w:t>Coding Procedures</w:t>
      </w:r>
    </w:p>
    <w:p w14:paraId="37A11178" w14:textId="77777777" w:rsidR="00D3696C" w:rsidRDefault="00D3696C" w:rsidP="00D3696C">
      <w:r>
        <w:t>While coding procedures used for written documents obtained unobtrusively may resemble those used to code interview data, many data sources differ significantly from written documents or transcripts. For example, coding sculptures, worn paths, or kitchen utensils using open and focused coding, as one would for a written document, may not be feasible. In such cases, researchers may opt to take field notes and then code patterns in those notes. However, if the observation is conducted in person, the method is no longer unobtrusive.</w:t>
      </w:r>
    </w:p>
    <w:p w14:paraId="4FEC42BE" w14:textId="77777777" w:rsidR="00D3696C" w:rsidRDefault="00D3696C" w:rsidP="00D3696C">
      <w:r>
        <w:lastRenderedPageBreak/>
        <w:t>When analyzing a collection of items, such as kitchen utensils, taking field notes may not be the most effective way to record observations. Instead, researchers can develop a code sheet, also known as a tally sheet, to record details about the items in the sample. For example, if the research goal is to understand how utensils have changed over time, researchers could analyze sales records for utensils over the past 50 years to identify the top-selling utensil for each year. They could then record information about each utensil, such as its name, purpose, price in current dollar amounts, and ease of use on a 5-point scale. Researchers may also include other notes or observations about the utensils that come to light after seeing them being used.</w:t>
      </w:r>
    </w:p>
    <w:tbl>
      <w:tblPr>
        <w:tblStyle w:val="TableGrid"/>
        <w:tblW w:w="5781" w:type="dxa"/>
        <w:jc w:val="center"/>
        <w:tblInd w:w="0" w:type="dxa"/>
        <w:tblCellMar>
          <w:top w:w="107" w:type="dxa"/>
          <w:left w:w="124" w:type="dxa"/>
          <w:right w:w="115" w:type="dxa"/>
        </w:tblCellMar>
        <w:tblLook w:val="04A0" w:firstRow="1" w:lastRow="0" w:firstColumn="1" w:lastColumn="0" w:noHBand="0" w:noVBand="1"/>
      </w:tblPr>
      <w:tblGrid>
        <w:gridCol w:w="2231"/>
        <w:gridCol w:w="710"/>
        <w:gridCol w:w="710"/>
        <w:gridCol w:w="710"/>
        <w:gridCol w:w="710"/>
        <w:gridCol w:w="710"/>
      </w:tblGrid>
      <w:tr w:rsidR="00D74A3D" w:rsidRPr="000E309B" w14:paraId="73DDCB7C" w14:textId="77777777" w:rsidTr="00DE012D">
        <w:trPr>
          <w:trHeight w:val="352"/>
          <w:jc w:val="center"/>
        </w:trPr>
        <w:tc>
          <w:tcPr>
            <w:tcW w:w="2363" w:type="dxa"/>
            <w:tcBorders>
              <w:top w:val="single" w:sz="3" w:space="0" w:color="000000"/>
              <w:left w:val="single" w:sz="3" w:space="0" w:color="000000"/>
              <w:bottom w:val="single" w:sz="3" w:space="0" w:color="000000"/>
              <w:right w:val="single" w:sz="3" w:space="0" w:color="000000"/>
            </w:tcBorders>
          </w:tcPr>
          <w:p w14:paraId="2F743B29"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190E548F" w14:textId="77777777" w:rsidR="00D74A3D" w:rsidRPr="000E309B" w:rsidRDefault="00D74A3D" w:rsidP="00DE012D">
            <w:r w:rsidRPr="000E309B">
              <w:t>1960</w:t>
            </w:r>
          </w:p>
        </w:tc>
        <w:tc>
          <w:tcPr>
            <w:tcW w:w="683" w:type="dxa"/>
            <w:tcBorders>
              <w:top w:val="single" w:sz="3" w:space="0" w:color="000000"/>
              <w:left w:val="single" w:sz="3" w:space="0" w:color="000000"/>
              <w:bottom w:val="single" w:sz="3" w:space="0" w:color="000000"/>
              <w:right w:val="single" w:sz="3" w:space="0" w:color="000000"/>
            </w:tcBorders>
          </w:tcPr>
          <w:p w14:paraId="55CEC26C" w14:textId="77777777" w:rsidR="00D74A3D" w:rsidRPr="000E309B" w:rsidRDefault="00D74A3D" w:rsidP="00DE012D">
            <w:r w:rsidRPr="000E309B">
              <w:t>1970</w:t>
            </w:r>
          </w:p>
        </w:tc>
        <w:tc>
          <w:tcPr>
            <w:tcW w:w="683" w:type="dxa"/>
            <w:tcBorders>
              <w:top w:val="single" w:sz="3" w:space="0" w:color="000000"/>
              <w:left w:val="single" w:sz="3" w:space="0" w:color="000000"/>
              <w:bottom w:val="single" w:sz="3" w:space="0" w:color="000000"/>
              <w:right w:val="single" w:sz="3" w:space="0" w:color="000000"/>
            </w:tcBorders>
          </w:tcPr>
          <w:p w14:paraId="78058638" w14:textId="77777777" w:rsidR="00D74A3D" w:rsidRPr="000E309B" w:rsidRDefault="00D74A3D" w:rsidP="00DE012D">
            <w:r w:rsidRPr="000E309B">
              <w:t>1980</w:t>
            </w:r>
          </w:p>
        </w:tc>
        <w:tc>
          <w:tcPr>
            <w:tcW w:w="683" w:type="dxa"/>
            <w:tcBorders>
              <w:top w:val="single" w:sz="3" w:space="0" w:color="000000"/>
              <w:left w:val="single" w:sz="3" w:space="0" w:color="000000"/>
              <w:bottom w:val="single" w:sz="3" w:space="0" w:color="000000"/>
              <w:right w:val="single" w:sz="3" w:space="0" w:color="000000"/>
            </w:tcBorders>
          </w:tcPr>
          <w:p w14:paraId="06FAFC25" w14:textId="77777777" w:rsidR="00D74A3D" w:rsidRPr="000E309B" w:rsidRDefault="00D74A3D" w:rsidP="00DE012D">
            <w:r w:rsidRPr="000E309B">
              <w:t>1990</w:t>
            </w:r>
          </w:p>
        </w:tc>
        <w:tc>
          <w:tcPr>
            <w:tcW w:w="683" w:type="dxa"/>
            <w:tcBorders>
              <w:top w:val="single" w:sz="3" w:space="0" w:color="000000"/>
              <w:left w:val="single" w:sz="3" w:space="0" w:color="000000"/>
              <w:bottom w:val="single" w:sz="3" w:space="0" w:color="000000"/>
              <w:right w:val="single" w:sz="3" w:space="0" w:color="000000"/>
            </w:tcBorders>
          </w:tcPr>
          <w:p w14:paraId="65A7DD33" w14:textId="77777777" w:rsidR="00D74A3D" w:rsidRPr="000E309B" w:rsidRDefault="00D74A3D" w:rsidP="00DE012D">
            <w:r w:rsidRPr="000E309B">
              <w:t>2000</w:t>
            </w:r>
          </w:p>
        </w:tc>
      </w:tr>
      <w:tr w:rsidR="00D74A3D" w:rsidRPr="000E309B" w14:paraId="716BF3DE" w14:textId="77777777" w:rsidTr="00DE012D">
        <w:trPr>
          <w:trHeight w:val="352"/>
          <w:jc w:val="center"/>
        </w:trPr>
        <w:tc>
          <w:tcPr>
            <w:tcW w:w="2363" w:type="dxa"/>
            <w:tcBorders>
              <w:top w:val="single" w:sz="3" w:space="0" w:color="000000"/>
              <w:left w:val="single" w:sz="3" w:space="0" w:color="000000"/>
              <w:bottom w:val="single" w:sz="3" w:space="0" w:color="000000"/>
              <w:right w:val="single" w:sz="3" w:space="0" w:color="000000"/>
            </w:tcBorders>
          </w:tcPr>
          <w:p w14:paraId="1ED44BB6" w14:textId="77777777" w:rsidR="00D74A3D" w:rsidRPr="000E309B" w:rsidRDefault="00D74A3D" w:rsidP="00DE012D">
            <w:r w:rsidRPr="000E309B">
              <w:t>Utensil name</w:t>
            </w:r>
          </w:p>
        </w:tc>
        <w:tc>
          <w:tcPr>
            <w:tcW w:w="683" w:type="dxa"/>
            <w:tcBorders>
              <w:top w:val="single" w:sz="3" w:space="0" w:color="000000"/>
              <w:left w:val="single" w:sz="3" w:space="0" w:color="000000"/>
              <w:bottom w:val="single" w:sz="3" w:space="0" w:color="000000"/>
              <w:right w:val="single" w:sz="3" w:space="0" w:color="000000"/>
            </w:tcBorders>
          </w:tcPr>
          <w:p w14:paraId="51693BBD"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4D25AB75"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392F93A0"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713F3F15"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2264004B" w14:textId="77777777" w:rsidR="00D74A3D" w:rsidRPr="000E309B" w:rsidRDefault="00D74A3D" w:rsidP="00DE012D"/>
        </w:tc>
      </w:tr>
      <w:tr w:rsidR="00D74A3D" w:rsidRPr="000E309B" w14:paraId="474DED8C" w14:textId="77777777" w:rsidTr="00DE012D">
        <w:trPr>
          <w:trHeight w:val="352"/>
          <w:jc w:val="center"/>
        </w:trPr>
        <w:tc>
          <w:tcPr>
            <w:tcW w:w="2363" w:type="dxa"/>
            <w:tcBorders>
              <w:top w:val="single" w:sz="3" w:space="0" w:color="000000"/>
              <w:left w:val="single" w:sz="3" w:space="0" w:color="000000"/>
              <w:bottom w:val="single" w:sz="3" w:space="0" w:color="000000"/>
              <w:right w:val="single" w:sz="3" w:space="0" w:color="000000"/>
            </w:tcBorders>
          </w:tcPr>
          <w:p w14:paraId="55777572" w14:textId="77777777" w:rsidR="00D74A3D" w:rsidRPr="000E309B" w:rsidRDefault="00D74A3D" w:rsidP="00DE012D">
            <w:r w:rsidRPr="000E309B">
              <w:t>Utensil purpose</w:t>
            </w:r>
          </w:p>
        </w:tc>
        <w:tc>
          <w:tcPr>
            <w:tcW w:w="683" w:type="dxa"/>
            <w:tcBorders>
              <w:top w:val="single" w:sz="3" w:space="0" w:color="000000"/>
              <w:left w:val="single" w:sz="3" w:space="0" w:color="000000"/>
              <w:bottom w:val="single" w:sz="3" w:space="0" w:color="000000"/>
              <w:right w:val="single" w:sz="3" w:space="0" w:color="000000"/>
            </w:tcBorders>
          </w:tcPr>
          <w:p w14:paraId="62E18289"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00599FBC"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09519A3C"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1A96A659"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20786F2E" w14:textId="77777777" w:rsidR="00D74A3D" w:rsidRPr="000E309B" w:rsidRDefault="00D74A3D" w:rsidP="00DE012D"/>
        </w:tc>
      </w:tr>
      <w:tr w:rsidR="00D74A3D" w:rsidRPr="000E309B" w14:paraId="5F22EDF7" w14:textId="77777777" w:rsidTr="00DE012D">
        <w:trPr>
          <w:trHeight w:val="352"/>
          <w:jc w:val="center"/>
        </w:trPr>
        <w:tc>
          <w:tcPr>
            <w:tcW w:w="2363" w:type="dxa"/>
            <w:tcBorders>
              <w:top w:val="single" w:sz="3" w:space="0" w:color="000000"/>
              <w:left w:val="single" w:sz="3" w:space="0" w:color="000000"/>
              <w:bottom w:val="single" w:sz="3" w:space="0" w:color="000000"/>
              <w:right w:val="single" w:sz="3" w:space="0" w:color="000000"/>
            </w:tcBorders>
          </w:tcPr>
          <w:p w14:paraId="139EEE0A" w14:textId="77777777" w:rsidR="00D74A3D" w:rsidRPr="000E309B" w:rsidRDefault="00D74A3D" w:rsidP="00DE012D">
            <w:r w:rsidRPr="000E309B">
              <w:t>Price (in 1960 dollars)</w:t>
            </w:r>
          </w:p>
        </w:tc>
        <w:tc>
          <w:tcPr>
            <w:tcW w:w="683" w:type="dxa"/>
            <w:tcBorders>
              <w:top w:val="single" w:sz="3" w:space="0" w:color="000000"/>
              <w:left w:val="single" w:sz="3" w:space="0" w:color="000000"/>
              <w:bottom w:val="single" w:sz="3" w:space="0" w:color="000000"/>
              <w:right w:val="single" w:sz="3" w:space="0" w:color="000000"/>
            </w:tcBorders>
          </w:tcPr>
          <w:p w14:paraId="531EAD14"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5AE2C1FD"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4838EC10"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4AC503E5"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0333391E" w14:textId="77777777" w:rsidR="00D74A3D" w:rsidRPr="000E309B" w:rsidRDefault="00D74A3D" w:rsidP="00DE012D"/>
        </w:tc>
      </w:tr>
      <w:tr w:rsidR="00D74A3D" w:rsidRPr="000E309B" w14:paraId="1D3C55AA" w14:textId="77777777" w:rsidTr="00DE012D">
        <w:trPr>
          <w:trHeight w:val="352"/>
          <w:jc w:val="center"/>
        </w:trPr>
        <w:tc>
          <w:tcPr>
            <w:tcW w:w="2363" w:type="dxa"/>
            <w:tcBorders>
              <w:top w:val="single" w:sz="3" w:space="0" w:color="000000"/>
              <w:left w:val="single" w:sz="3" w:space="0" w:color="000000"/>
              <w:bottom w:val="single" w:sz="3" w:space="0" w:color="000000"/>
              <w:right w:val="single" w:sz="3" w:space="0" w:color="000000"/>
            </w:tcBorders>
          </w:tcPr>
          <w:p w14:paraId="5A10142B" w14:textId="77777777" w:rsidR="00D74A3D" w:rsidRPr="000E309B" w:rsidRDefault="00D74A3D" w:rsidP="00DE012D">
            <w:r w:rsidRPr="000E309B">
              <w:t>Ease of use (1-5 scale)</w:t>
            </w:r>
          </w:p>
        </w:tc>
        <w:tc>
          <w:tcPr>
            <w:tcW w:w="683" w:type="dxa"/>
            <w:tcBorders>
              <w:top w:val="single" w:sz="3" w:space="0" w:color="000000"/>
              <w:left w:val="single" w:sz="3" w:space="0" w:color="000000"/>
              <w:bottom w:val="single" w:sz="3" w:space="0" w:color="000000"/>
              <w:right w:val="single" w:sz="3" w:space="0" w:color="000000"/>
            </w:tcBorders>
          </w:tcPr>
          <w:p w14:paraId="35E294A2"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506CCA9D"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78A5D8FA"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0D81D6E6"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491DF492" w14:textId="77777777" w:rsidR="00D74A3D" w:rsidRPr="000E309B" w:rsidRDefault="00D74A3D" w:rsidP="00DE012D"/>
        </w:tc>
      </w:tr>
      <w:tr w:rsidR="00D74A3D" w:rsidRPr="000E309B" w14:paraId="4A262F31" w14:textId="77777777" w:rsidTr="00DE012D">
        <w:trPr>
          <w:trHeight w:val="352"/>
          <w:jc w:val="center"/>
        </w:trPr>
        <w:tc>
          <w:tcPr>
            <w:tcW w:w="2363" w:type="dxa"/>
            <w:tcBorders>
              <w:top w:val="single" w:sz="3" w:space="0" w:color="000000"/>
              <w:left w:val="single" w:sz="3" w:space="0" w:color="000000"/>
              <w:bottom w:val="single" w:sz="3" w:space="0" w:color="000000"/>
              <w:right w:val="single" w:sz="3" w:space="0" w:color="000000"/>
            </w:tcBorders>
          </w:tcPr>
          <w:p w14:paraId="2EAF1F52" w14:textId="77777777" w:rsidR="00D74A3D" w:rsidRPr="000E309B" w:rsidRDefault="00D74A3D" w:rsidP="00DE012D">
            <w:r w:rsidRPr="000E309B">
              <w:t>Other notes</w:t>
            </w:r>
          </w:p>
        </w:tc>
        <w:tc>
          <w:tcPr>
            <w:tcW w:w="683" w:type="dxa"/>
            <w:tcBorders>
              <w:top w:val="single" w:sz="3" w:space="0" w:color="000000"/>
              <w:left w:val="single" w:sz="3" w:space="0" w:color="000000"/>
              <w:bottom w:val="single" w:sz="3" w:space="0" w:color="000000"/>
              <w:right w:val="single" w:sz="3" w:space="0" w:color="000000"/>
            </w:tcBorders>
          </w:tcPr>
          <w:p w14:paraId="0F5147FC"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3C43550E"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7E22D100"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18B8E1D1" w14:textId="77777777" w:rsidR="00D74A3D" w:rsidRPr="000E309B" w:rsidRDefault="00D74A3D" w:rsidP="00DE012D"/>
        </w:tc>
        <w:tc>
          <w:tcPr>
            <w:tcW w:w="683" w:type="dxa"/>
            <w:tcBorders>
              <w:top w:val="single" w:sz="3" w:space="0" w:color="000000"/>
              <w:left w:val="single" w:sz="3" w:space="0" w:color="000000"/>
              <w:bottom w:val="single" w:sz="3" w:space="0" w:color="000000"/>
              <w:right w:val="single" w:sz="3" w:space="0" w:color="000000"/>
            </w:tcBorders>
          </w:tcPr>
          <w:p w14:paraId="07BBC94C" w14:textId="77777777" w:rsidR="00D74A3D" w:rsidRPr="000E309B" w:rsidRDefault="00D74A3D" w:rsidP="00DE012D"/>
        </w:tc>
      </w:tr>
    </w:tbl>
    <w:p w14:paraId="35C96584" w14:textId="77777777" w:rsidR="00D3696C" w:rsidRDefault="00D3696C" w:rsidP="00D3696C"/>
    <w:p w14:paraId="0A48416A" w14:textId="77777777" w:rsidR="00D3696C" w:rsidRDefault="00D3696C" w:rsidP="00D3696C">
      <w:r>
        <w:t>The code sheet may contain both qualitative and quantitative data. Statistical analysis can be performed on quantitative data, such as calculating the mean value on ease of use for each observed decade. Qualitative data would need to be analyzed using open and focused coding to identify patterns. In both cases, the aim is to identify patterns across the coded data.</w:t>
      </w:r>
    </w:p>
    <w:p w14:paraId="1A6276A1" w14:textId="77777777" w:rsidR="00D3696C" w:rsidRDefault="00D3696C" w:rsidP="00850671">
      <w:pPr>
        <w:pStyle w:val="Heading5"/>
      </w:pPr>
      <w:r>
        <w:t>Manifest and Latent Content</w:t>
      </w:r>
    </w:p>
    <w:p w14:paraId="4E6DC286" w14:textId="77777777" w:rsidR="00D3696C" w:rsidRDefault="00D3696C" w:rsidP="00D3696C">
      <w:r>
        <w:t>The "Utensil purpose" row in the sample code sheet provides an opportunity to assess both manifest and latent content. Manifest content is the surface-level, observed content, while latent content refers to the underlying meaning of the observed surface content. In the example of utensil purpose, the manifest content may be the stated purpose of the utensil, while the latent content may be the researchers' assessment of why that utensil is top-rated. Analyzing patterns in the manifest content may reveal insights into the meanings of utensil purpose. For example, researchers might conclude that a shift from an emphasis on utensils designed for entertaining in the 1960s to those designed for efficiency in the 2000s reflects a change in how people spend time in their homes.</w:t>
      </w:r>
    </w:p>
    <w:p w14:paraId="336B0CA5" w14:textId="7DAB3E3E" w:rsidR="00D3696C" w:rsidRDefault="00D3696C" w:rsidP="00D3696C">
      <w:r>
        <w:t>Kathleen Denny's study of scouting manuals provides another example of the distinction between manifest and latent content</w:t>
      </w:r>
      <w:r w:rsidR="00FB04D1">
        <w:t xml:space="preserve"> </w:t>
      </w:r>
      <w:r w:rsidR="00FB04D1">
        <w:fldChar w:fldCharType="begin"/>
      </w:r>
      <w:r w:rsidR="007C07B4">
        <w:instrText xml:space="preserve"> ADDIN ZOTERO_ITEM CSL_CITATION {"citationID":"ZBT9zaTm","properties":{"formattedCitation":"[163]","plainCitation":"[163]","noteIndex":0},"citationItems":[{"id":129,"uris":["http://zotero.org/users/5015692/items/64A3NTSY"],"itemData":{"id":129,"type":"article-journal","container-title":"Gender &amp; Society","issue":"1","page":"27–47","title":"Gender in context, content, and approach: Comparing gender messages in Girl Scout and Boy Scout handbooks","volume":"25","author":[{"family":"Denny","given":"Kathleen E"}],"issued":{"date-parts":[["2011"]]}}}],"schema":"https://github.com/citation-style-language/schema/raw/master/csl-citation.json"} </w:instrText>
      </w:r>
      <w:r w:rsidR="00FB04D1">
        <w:fldChar w:fldCharType="separate"/>
      </w:r>
      <w:r w:rsidR="007C07B4" w:rsidRPr="007C07B4">
        <w:t>[163]</w:t>
      </w:r>
      <w:r w:rsidR="00FB04D1">
        <w:fldChar w:fldCharType="end"/>
      </w:r>
      <w:r>
        <w:t xml:space="preserve">. By counting activity types described in the manuals, Denny discovered that boys are offered more individual-based and scientific activities, while girls are offered more group-based and artistic activities (manifest content). She also analyzed the latent </w:t>
      </w:r>
      <w:r>
        <w:lastRenderedPageBreak/>
        <w:t>meaning of gender messages in the manuals, finding that girls were encouraged to become "up-to-date traditional women" while boys were urged to adopt "an assertive heteronormative masculinity."</w:t>
      </w:r>
    </w:p>
    <w:p w14:paraId="5327D87A" w14:textId="05D4D71D" w:rsidR="00A626FE" w:rsidRDefault="00D3696C" w:rsidP="006A7AEA">
      <w:r>
        <w:t>In summary, analyzing texts, physical traces, and artifacts in unobtrusive research requires the development of appropriate coding procedures, an understanding of the difference between manifest and latent content, and the identification of patterns across the coded data. Researchers may use field notes, code sheets, or a combination of both to record observations and analyze both qualitative and quantitative data. By examining both manifest and latent content, researchers can gain valuable insights into the underlying meanings and broader societal patterns reflected in the materials they study.</w:t>
      </w:r>
    </w:p>
    <w:p w14:paraId="03A51F0E" w14:textId="5E72E4F3" w:rsidR="00460366" w:rsidRDefault="000266AB" w:rsidP="000266AB">
      <w:pPr>
        <w:pStyle w:val="Heading3"/>
      </w:pPr>
      <w:bookmarkStart w:id="184" w:name="_Toc169156804"/>
      <w:r>
        <w:t>Unobtrusive Research in the Digital Age</w:t>
      </w:r>
      <w:bookmarkEnd w:id="184"/>
    </w:p>
    <w:p w14:paraId="4B2159C0" w14:textId="77777777" w:rsidR="00C93D51" w:rsidRDefault="00C93D51" w:rsidP="00C93D51">
      <w:r>
        <w:t>The rapid advancement of digital technologies has created new opportunities and challenges for researchers conducting unobtrusive studies. The digital age has given rise to vast amounts of data generated through online interactions, social media platforms, and digital devices. This section explores the unique aspects of unobtrusive research in the digital era, focusing on online content analysis, digital ethnography, and the use of big data.</w:t>
      </w:r>
    </w:p>
    <w:p w14:paraId="28336860" w14:textId="4F44A1CD" w:rsidR="00C93D51" w:rsidRDefault="00C93D51" w:rsidP="00C93D51">
      <w:r>
        <w:t>One of the most significant advantages of conducting unobtrusive research in the digital age is the abundance of data available online. Researchers can access a wide range of digital content, including social media posts, online forums, blogs, and user-generated content, without directly interacting with the individuals who created it. For example, Sogari et al. conducted a content analysis of Instagram posts to investigate consumer perceptions of sustainable food</w:t>
      </w:r>
      <w:r w:rsidR="005D4595">
        <w:t xml:space="preserve"> </w:t>
      </w:r>
      <w:r w:rsidR="005D4595">
        <w:fldChar w:fldCharType="begin"/>
      </w:r>
      <w:r w:rsidR="007C07B4">
        <w:instrText xml:space="preserve"> ADDIN ZOTERO_ITEM CSL_CITATION {"citationID":"hGx58VrU","properties":{"formattedCitation":"[164]","plainCitation":"[164]","noteIndex":0},"citationItems":[{"id":366,"uris":["http://zotero.org/users/5015692/items/89SVZE4D"],"itemData":{"id":366,"type":"article-journal","abstract":"In the coming years, social media technology will have a crucial role in environmental\ninvolvement and in encouraging sustainable behaviors in the wine industry. Sustainable development\nis becoming a crucial topic for many consumers. Also, in the wine industry much research has been\ncarried out to decrease the environmental impact, with a particular focus on renewable energy use,\ngreenhouse gas emissions, pesticides reduction, water and waste management, biodiversity, soil and\nlandscape preservation. In recent years, social media technologies have gained increased attention\nfor their potential to amplify environmental concerns and encourage sustainable behaviors among\npeople. This study aims to study the role of social media in the consumer purchasing behavior for\nwine between the millennial and non-millennial generations. A total sample of 2597 Italian wine\nconsumer responses were collected and a structured questionnaire was used to test our hypothesis.\nThe main results show that the greater the import the consumer places on the product/process\ndimension of environmental sustainability, the higher the self-selection in market segments. This is\ntrue for both millennials and non-millennials. The results show the power of social media to increase\nsustainability awareness and consecutively influence the consumer’s buying behavior for wine\n(higher price segment). From a marketing perspective, companies should improve their capacity to\nshare and communicate their environmental activities through social media.","container-title":"Sustainability","DOI":"10.3390/su9101911","journalAbbreviation":"Sustainability","title":"Millennial Generation and Environmental Sustainability: The Role of Social Media in the Consumer Purchasing Behavior for Wine","volume":"9","author":[{"family":"Sogari","given":"Giovanni"},{"family":"Pucci","given":"Tommaso"},{"family":"Aquilani","given":"Barbara"},{"family":"Zanni","given":"Lorenzo"}],"issued":{"date-parts":[["2017",10,24]]}}}],"schema":"https://github.com/citation-style-language/schema/raw/master/csl-citation.json"} </w:instrText>
      </w:r>
      <w:r w:rsidR="005D4595">
        <w:fldChar w:fldCharType="separate"/>
      </w:r>
      <w:r w:rsidR="007C07B4" w:rsidRPr="007C07B4">
        <w:t>[164]</w:t>
      </w:r>
      <w:r w:rsidR="005D4595">
        <w:fldChar w:fldCharType="end"/>
      </w:r>
      <w:r>
        <w:t>. By analyzing the images and captions shared by users, the researchers gained valuable insights into how people engage with and understand sustainable food practices.</w:t>
      </w:r>
    </w:p>
    <w:p w14:paraId="1A05BE92" w14:textId="4AB009DF" w:rsidR="00C93D51" w:rsidRDefault="00C93D51" w:rsidP="00C93D51">
      <w:r>
        <w:t xml:space="preserve">Digital ethnography is another approach to unobtrusive research in the digital age. This method involves immersing oneself in digital environments to observe and analyze online behaviors, interactions, and cultural practices. Researchers can study online communities, virtual worlds, and digital subcultures to gain a deeper understanding of how people navigate and make sense of their digital lives. For instance, </w:t>
      </w:r>
      <w:r w:rsidR="0048450D">
        <w:t>Nardi</w:t>
      </w:r>
      <w:r>
        <w:t xml:space="preserve"> conducted a digital ethnography of the online gaming community in World of Warcraft to explore the social dynamics and cultural norms that emerge within the virtual world</w:t>
      </w:r>
      <w:r w:rsidR="005D4595">
        <w:t xml:space="preserve"> </w:t>
      </w:r>
      <w:r w:rsidR="005D4595">
        <w:fldChar w:fldCharType="begin"/>
      </w:r>
      <w:r w:rsidR="007C07B4">
        <w:instrText xml:space="preserve"> ADDIN ZOTERO_ITEM CSL_CITATION {"citationID":"PdfYsXYg","properties":{"formattedCitation":"[165]","plainCitation":"[165]","noteIndex":0},"citationItems":[{"id":367,"uris":["http://zotero.org/users/5015692/items/2S76MSFF"],"itemData":{"id":367,"type":"book","abstract":"World of Warcraft rapidly became one of the most popular online world games on the planet, amassing 11.5 million subscribers—officially making it an online community of gamers that had more inhabitants than the state of Ohio and was almost twice as populous as Scotland. It's a massively multiplayer online game, or MMO in gamer jargon, where each person controls a single character inside a virtual world, interacting with other people's characters and computer-controlled monsters, quest-givers, and merchants.\n\nIn My Life as a Night Elf Priest, Bonnie Nardi, a well-known ethnographer who has published extensively on how theories of what we do intersect with how we adopt and use technology, compiles more than three years of participatory research in Warcraft play and culture in the United States and China into this field study of player behavior and activity. She introduces us to her research strategy and the history, structure, and culture of Warcraft; argues for applying activity theory and theories of aesthetic experience to the study of gaming and play; and educates us on issues of gender, culture, and addiction as part of the play experience. Nardi paints a compelling portrait of what drives online gamers both in this country and in China, where she spent a month studying players in Internet cafes.\n\nBonnie Nardi has given us a fresh look not only at World of Warcraft but at the field of game studies as a whole. One of the first in-depth studies of a game that has become an icon of digital culture, My Life as a Night Elf Priest will capture the interest of both the gamer and the ethnographer.\n\nBonnie A. Nardi is an anthropologist by training and a professor in the Department of Informatics in the Donald Bren School of Information and Computer Sciences at the University of California, Irvine. Her research focus is the social implications of digital technologies. She is the author of A Small Matter of Programming: Perspectives on End User Computing and the coauthor of Information Ecologies: Using Technology with Heart and Acting with Technology: Activity Theory and Interaction Design.","language":"English","number-of-pages":"245","publisher":"University of Michigan Press Ebook Collection","title":"My Life as a Night Elf Priest: An Anthropological Account of World of Warcraft","URL":"https://doi.org/10.3998/toi.8008655.0001.001","author":[{"literal":"Nardi, Bonnie A."}],"accessed":{"date-parts":[["2024",5,2]]},"issued":{"date-parts":[["2010"]]}}}],"schema":"https://github.com/citation-style-language/schema/raw/master/csl-citation.json"} </w:instrText>
      </w:r>
      <w:r w:rsidR="005D4595">
        <w:fldChar w:fldCharType="separate"/>
      </w:r>
      <w:r w:rsidR="007C07B4" w:rsidRPr="007C07B4">
        <w:t>[165]</w:t>
      </w:r>
      <w:r w:rsidR="005D4595">
        <w:fldChar w:fldCharType="end"/>
      </w:r>
      <w:r>
        <w:t>. By participating in the game and observing player interactions, the researchers uncovered the complex social structures and practices that shape the gaming experience.</w:t>
      </w:r>
    </w:p>
    <w:p w14:paraId="082B37B6" w14:textId="77777777" w:rsidR="00C93D51" w:rsidRDefault="00C93D51" w:rsidP="00C93D51">
      <w:r>
        <w:t xml:space="preserve">The digital age has also brought about the phenomenon of big data, which refers to the massive amounts of structured and unstructured data generated by digital devices and online platforms. Unobtrusive researchers can leverage big data to identify patterns, trends, and relationships that may not be apparent through traditional research methods. However, working with big data presents its own set of challenges, such as ensuring data quality, managing data privacy and </w:t>
      </w:r>
      <w:r>
        <w:lastRenderedPageBreak/>
        <w:t>security, and developing the necessary technical skills to process and analyze large datasets effectively.</w:t>
      </w:r>
    </w:p>
    <w:p w14:paraId="44B79F68" w14:textId="77777777" w:rsidR="00C93D51" w:rsidRDefault="00C93D51" w:rsidP="00C93D51">
      <w:r>
        <w:t>When conducting unobtrusive research in the digital age, researchers must be aware of the ethical considerations surrounding the collection and use of digital data. While the data may be publicly available, it is essential to consider the privacy expectations of the individuals who generated the content and to ensure that the research does not cause harm or violate ethical guidelines. Researchers should also be transparent about their data collection methods and obtain necessary permissions or consents when required.</w:t>
      </w:r>
    </w:p>
    <w:p w14:paraId="7786B05A" w14:textId="4FA1F08A" w:rsidR="000266AB" w:rsidRPr="000266AB" w:rsidRDefault="00C93D51" w:rsidP="00C93D51">
      <w:r>
        <w:t>In summary, the digital age has transformed the landscape of unobtrusive research, offering new opportunities for studying human behaviors and interactions online. Through online content analysis, digital ethnography, and the use of big data, researchers can gain valuable insights into the digital lives of individuals and communities. However, conducting unobtrusive research in the digital era also presents unique challenges, particularly in terms of data management and ethical considerations. By navigating these challenges effectively, researchers can harness the power of digital technologies to advance our understanding of social phenomena in the digital age.</w:t>
      </w:r>
    </w:p>
    <w:p w14:paraId="5327D87B" w14:textId="2959840C" w:rsidR="00A626FE" w:rsidRPr="000E309B" w:rsidRDefault="00B34C1D" w:rsidP="00B34C1D">
      <w:pPr>
        <w:pStyle w:val="Heading3"/>
      </w:pPr>
      <w:bookmarkStart w:id="185" w:name="_Toc169156805"/>
      <w:r>
        <w:t>A</w:t>
      </w:r>
      <w:r w:rsidR="00D14B33" w:rsidRPr="000E309B">
        <w:t xml:space="preserve">nalyzing </w:t>
      </w:r>
      <w:r>
        <w:t>O</w:t>
      </w:r>
      <w:r w:rsidR="00D14B33" w:rsidRPr="000E309B">
        <w:t xml:space="preserve">thers’ </w:t>
      </w:r>
      <w:r>
        <w:t>D</w:t>
      </w:r>
      <w:r w:rsidR="00D14B33" w:rsidRPr="000E309B">
        <w:t>ata</w:t>
      </w:r>
      <w:bookmarkEnd w:id="185"/>
    </w:p>
    <w:p w14:paraId="02046C00" w14:textId="77777777" w:rsidR="00743527" w:rsidRDefault="00743527" w:rsidP="00743527">
      <w:r>
        <w:t>One potential advantage of unobtrusive research, depending on the researcher's preferences, is the ability to bypass the data collection phase entirely. This is possible because hundreds of free data sets are available to researchers, catering to both qualitative and quantitative data analysis needs. These data sets can come in the form of raw data, which is unprocessed and requires analysis, or reports, which present findings based on previously analyzed data.</w:t>
      </w:r>
    </w:p>
    <w:p w14:paraId="402F39BA" w14:textId="77777777" w:rsidR="00743527" w:rsidRDefault="00743527" w:rsidP="00743527">
      <w:r>
        <w:t>For instance, the United States Census Bureau provides a wealth of information on their website, including raw data and reports. Researchers can access comprehensive data about population demographics, often down to the granular level of city blocks. This data encompasses various aspects such as economic indicators like income and rent, education levels, country of origin, and numerous other valuable data points. By leveraging these readily available data sets, researchers can save time and resources that would otherwise be spent on data collection.</w:t>
      </w:r>
    </w:p>
    <w:p w14:paraId="4B1F5F7E" w14:textId="77B04FCC" w:rsidR="00743527" w:rsidRDefault="00743527" w:rsidP="00743527">
      <w:r>
        <w:t xml:space="preserve">The following list contains a selection of </w:t>
      </w:r>
      <w:r w:rsidR="00460366">
        <w:t>commonly used</w:t>
      </w:r>
      <w:r>
        <w:t xml:space="preserve"> public data sources for business research. It is important to note that most of the URLs provided belong to government (.gov) or education (.edu) domains. These organizations are more likely to post unbiased data, ensuring the credibility and reliability of the information. The only exceptions are two .org sites belonging to the United Nations and the World Bank, which are also reputable sources known for providing unbiased data. These international organizations play a crucial role in gathering and disseminating data on a global scale, enabling researchers to access information from various countries and regions.</w:t>
      </w:r>
    </w:p>
    <w:p w14:paraId="310F6043" w14:textId="77777777" w:rsidR="00743527" w:rsidRDefault="00743527" w:rsidP="00743527">
      <w:r>
        <w:t xml:space="preserve">By utilizing these public data sources, undergraduate researchers can enhance their research projects with credible and comprehensive data. However, it is essential to exercise critical thinking </w:t>
      </w:r>
      <w:r>
        <w:lastRenderedPageBreak/>
        <w:t>skills when selecting and interpreting data, ensuring that the chosen data sets align with the research objectives and are suitable for answering the research questions at hand. Researchers should also be mindful of any limitations or biases that may be present in the data, even when sourced from reputable organizations.</w:t>
      </w:r>
    </w:p>
    <w:p w14:paraId="5327D87D" w14:textId="72B5F5B6" w:rsidR="00A626FE" w:rsidRPr="000E309B" w:rsidRDefault="00743527" w:rsidP="00E55772">
      <w:r>
        <w:t>In summary, unobtrusive research offers the advantage of skipping the data collection phase by leveraging the vast array of free data sets available from reliable sources such as government agencies, educational institutions, and international organizations. By carefully selecting and analyzing these data sets, undergraduate researchers can strengthen their research projects and gain valuable insights into their areas of interest.</w:t>
      </w:r>
    </w:p>
    <w:p w14:paraId="5327D87E" w14:textId="513F0D4C" w:rsidR="00A626FE" w:rsidRPr="000E309B" w:rsidRDefault="00D14B33" w:rsidP="00313A21">
      <w:pPr>
        <w:pStyle w:val="Heading4"/>
      </w:pPr>
      <w:r w:rsidRPr="000E309B">
        <w:t>Public Databases</w:t>
      </w:r>
    </w:p>
    <w:p w14:paraId="5E1C5883" w14:textId="1DB2F592" w:rsidR="00157FC3" w:rsidRPr="00157FC3" w:rsidRDefault="00D14B33" w:rsidP="00157FC3">
      <w:pPr>
        <w:pStyle w:val="ListParagraph"/>
        <w:numPr>
          <w:ilvl w:val="0"/>
          <w:numId w:val="321"/>
        </w:numPr>
        <w:rPr>
          <w:rStyle w:val="Hyperlink"/>
          <w:color w:val="auto"/>
          <w:u w:val="none"/>
        </w:rPr>
      </w:pPr>
      <w:r w:rsidRPr="003069AB">
        <w:rPr>
          <w:b/>
          <w:bCs/>
        </w:rPr>
        <w:t>Agency for Healthcare Research and Quality</w:t>
      </w:r>
      <w:r w:rsidRPr="000E309B">
        <w:t>. This</w:t>
      </w:r>
      <w:r w:rsidR="00F74C79">
        <w:t xml:space="preserve"> site</w:t>
      </w:r>
      <w:r w:rsidRPr="000E309B">
        <w:t xml:space="preserve"> is a compendium of health systems in the United States. A “health system” is defined as an activity that includes at least one hospital and one group of physicians providing comprehensive care at that hospital. This database provides information about those systems, like the </w:t>
      </w:r>
      <w:r w:rsidR="00AF37D8">
        <w:t>system's name</w:t>
      </w:r>
      <w:r w:rsidRPr="000E309B">
        <w:t>, number of physicians,</w:t>
      </w:r>
      <w:r w:rsidR="00313A21">
        <w:t xml:space="preserve"> </w:t>
      </w:r>
      <w:r w:rsidRPr="000E309B">
        <w:t>and number that serve</w:t>
      </w:r>
      <w:r w:rsidR="00AF37D8">
        <w:t>s</w:t>
      </w:r>
      <w:r w:rsidRPr="000E309B">
        <w:t xml:space="preserve"> children.</w:t>
      </w:r>
      <w:r w:rsidR="00D0789F">
        <w:t xml:space="preserve"> </w:t>
      </w:r>
      <w:hyperlink r:id="rId267" w:history="1">
        <w:r w:rsidR="00D0789F" w:rsidRPr="00D0789F">
          <w:rPr>
            <w:rStyle w:val="Hyperlink"/>
          </w:rPr>
          <w:t>https://www.ahrq.gov/chsp/data-resources/compendium.html</w:t>
        </w:r>
      </w:hyperlink>
    </w:p>
    <w:p w14:paraId="66E794DA" w14:textId="561CA2D4" w:rsidR="00004081" w:rsidRPr="00004081" w:rsidRDefault="00D14B33" w:rsidP="00004081">
      <w:pPr>
        <w:pStyle w:val="ListParagraph"/>
        <w:numPr>
          <w:ilvl w:val="0"/>
          <w:numId w:val="321"/>
        </w:numPr>
        <w:rPr>
          <w:rStyle w:val="Hyperlink"/>
          <w:color w:val="auto"/>
          <w:u w:val="none"/>
        </w:rPr>
      </w:pPr>
      <w:r w:rsidRPr="00157FC3">
        <w:rPr>
          <w:b/>
          <w:bCs/>
        </w:rPr>
        <w:t>Bureau of Justice Statistics</w:t>
      </w:r>
      <w:r w:rsidRPr="000E309B">
        <w:t xml:space="preserve">. This site contains more than </w:t>
      </w:r>
      <w:r w:rsidR="00C948A8">
        <w:t>75</w:t>
      </w:r>
      <w:r w:rsidRPr="000E309B">
        <w:t xml:space="preserve"> databases covering many aspects of the United States criminal justice system. Included are databases like “Annual Probation Survey and Annual Parole Survey,” “Census of Jail Inmates,” and “Recidivism of State Prisoners.” The site is well-organized</w:t>
      </w:r>
      <w:r w:rsidR="00F316F0">
        <w:t>,</w:t>
      </w:r>
      <w:r w:rsidRPr="000E309B">
        <w:t xml:space="preserve"> and it is easy to find data of interest. </w:t>
      </w:r>
      <w:hyperlink r:id="rId268" w:history="1">
        <w:r w:rsidR="00F316F0" w:rsidRPr="00C37C4D">
          <w:rPr>
            <w:rStyle w:val="Hyperlink"/>
          </w:rPr>
          <w:t>https://www.bjs.gov/index.cfm?ty=dca</w:t>
        </w:r>
      </w:hyperlink>
    </w:p>
    <w:p w14:paraId="0BBE5615" w14:textId="3939AC3B" w:rsidR="00004081" w:rsidRPr="00004081" w:rsidRDefault="00D14B33" w:rsidP="00004081">
      <w:pPr>
        <w:pStyle w:val="ListParagraph"/>
        <w:numPr>
          <w:ilvl w:val="0"/>
          <w:numId w:val="321"/>
        </w:numPr>
        <w:rPr>
          <w:rStyle w:val="Hyperlink"/>
          <w:color w:val="auto"/>
          <w:u w:val="none"/>
        </w:rPr>
      </w:pPr>
      <w:r w:rsidRPr="00004081">
        <w:rPr>
          <w:b/>
          <w:bCs/>
        </w:rPr>
        <w:t>Bureau of Labor Statistics</w:t>
      </w:r>
      <w:r w:rsidRPr="000E309B">
        <w:t xml:space="preserve">. This bureau makes data about labor available to researchers. Included are databases about inflation and prices, employment, unemployment, projections, pay and benefits, spending and time use, productivity, workplace injuries, occupational requirements, and regional and international resources. </w:t>
      </w:r>
      <w:hyperlink r:id="rId269">
        <w:r w:rsidRPr="000E309B">
          <w:rPr>
            <w:rStyle w:val="Hyperlink"/>
          </w:rPr>
          <w:t>https://www.bls.gov/</w:t>
        </w:r>
      </w:hyperlink>
    </w:p>
    <w:p w14:paraId="671818D9" w14:textId="7DCB0765" w:rsidR="00523299" w:rsidRPr="00523299" w:rsidRDefault="00D14B33" w:rsidP="00523299">
      <w:pPr>
        <w:pStyle w:val="ListParagraph"/>
        <w:numPr>
          <w:ilvl w:val="0"/>
          <w:numId w:val="321"/>
        </w:numPr>
        <w:rPr>
          <w:rStyle w:val="Hyperlink"/>
          <w:color w:val="auto"/>
          <w:u w:val="none"/>
        </w:rPr>
      </w:pPr>
      <w:r w:rsidRPr="00004081">
        <w:rPr>
          <w:b/>
          <w:bCs/>
        </w:rPr>
        <w:t>Bureau of Economic Analysis</w:t>
      </w:r>
      <w:r w:rsidRPr="000E309B">
        <w:t xml:space="preserve">. This </w:t>
      </w:r>
      <w:r w:rsidR="00945BAC">
        <w:t xml:space="preserve">site </w:t>
      </w:r>
      <w:r w:rsidRPr="000E309B">
        <w:t>is the Department of Commerce’s ec</w:t>
      </w:r>
      <w:r w:rsidR="00945BAC">
        <w:t>onom</w:t>
      </w:r>
      <w:r w:rsidRPr="000E309B">
        <w:t xml:space="preserve">ic analysis databases. </w:t>
      </w:r>
      <w:r w:rsidR="00945BAC">
        <w:t>Researchers can find data about gross domestic product, fixed assets, and personal income using this sit</w:t>
      </w:r>
      <w:r w:rsidRPr="000E309B">
        <w:t xml:space="preserve">e. </w:t>
      </w:r>
      <w:hyperlink r:id="rId270">
        <w:r w:rsidRPr="000E309B">
          <w:rPr>
            <w:rStyle w:val="Hyperlink"/>
          </w:rPr>
          <w:t>https://www.bea.gov/</w:t>
        </w:r>
      </w:hyperlink>
    </w:p>
    <w:p w14:paraId="41F258A7" w14:textId="02EFFCFA" w:rsidR="00016DD8" w:rsidRDefault="00D14B33" w:rsidP="00016DD8">
      <w:pPr>
        <w:pStyle w:val="ListParagraph"/>
        <w:numPr>
          <w:ilvl w:val="0"/>
          <w:numId w:val="321"/>
        </w:numPr>
      </w:pPr>
      <w:r w:rsidRPr="00523299">
        <w:rPr>
          <w:b/>
          <w:bCs/>
        </w:rPr>
        <w:t>Census Bureau</w:t>
      </w:r>
      <w:r w:rsidRPr="000E309B">
        <w:t xml:space="preserve">. The United States Census Bureau has a </w:t>
      </w:r>
      <w:r w:rsidR="008367BD">
        <w:t>vast</w:t>
      </w:r>
      <w:r w:rsidRPr="000E309B">
        <w:t xml:space="preserve"> wealth of data about the US population dating back to the 1700s. While most researchers know that the Census Bureau collects data about the number of people who live in a region, they also have data about race, education level, income, and other demographic factors.</w:t>
      </w:r>
      <w:r w:rsidR="008367BD">
        <w:t xml:space="preserve"> </w:t>
      </w:r>
      <w:hyperlink r:id="rId271" w:history="1">
        <w:r w:rsidR="0067034F" w:rsidRPr="00C37C4D">
          <w:rPr>
            <w:rStyle w:val="Hyperlink"/>
          </w:rPr>
          <w:t>https://data.census.gov/cedsci/?intcmp=aff_cedsci_banner</w:t>
        </w:r>
      </w:hyperlink>
      <w:r w:rsidR="0067034F" w:rsidRPr="000E309B">
        <w:t xml:space="preserve"> </w:t>
      </w:r>
    </w:p>
    <w:p w14:paraId="75062286" w14:textId="6E345136" w:rsidR="00016DD8" w:rsidRPr="00016DD8" w:rsidRDefault="00D14B33" w:rsidP="00016DD8">
      <w:pPr>
        <w:pStyle w:val="ListParagraph"/>
        <w:numPr>
          <w:ilvl w:val="0"/>
          <w:numId w:val="321"/>
        </w:numPr>
        <w:rPr>
          <w:rStyle w:val="Hyperlink"/>
          <w:color w:val="auto"/>
          <w:u w:val="none"/>
        </w:rPr>
      </w:pPr>
      <w:r w:rsidRPr="00016DD8">
        <w:rPr>
          <w:b/>
          <w:bCs/>
        </w:rPr>
        <w:t>Data.Gov</w:t>
      </w:r>
      <w:r w:rsidRPr="000E309B">
        <w:t xml:space="preserve">. This site is an aggregator of </w:t>
      </w:r>
      <w:r w:rsidR="00016DD8">
        <w:t>nearly</w:t>
      </w:r>
      <w:r w:rsidRPr="000E309B">
        <w:t xml:space="preserve"> </w:t>
      </w:r>
      <w:r w:rsidR="00016DD8">
        <w:t>3</w:t>
      </w:r>
      <w:r w:rsidRPr="000E309B">
        <w:t>00,000 public data sets. It is well organized and contains data from governmental and educational sources. In general, this should be the first stop for researchers seeking public data for research projects.</w:t>
      </w:r>
      <w:r w:rsidR="00DC0BB8">
        <w:t xml:space="preserve"> </w:t>
      </w:r>
      <w:hyperlink r:id="rId272" w:history="1">
        <w:r w:rsidR="00DC0BB8" w:rsidRPr="00C37C4D">
          <w:rPr>
            <w:rStyle w:val="Hyperlink"/>
          </w:rPr>
          <w:t>https://www.data.gov/</w:t>
        </w:r>
      </w:hyperlink>
    </w:p>
    <w:p w14:paraId="6C9CE40D" w14:textId="285FA6A1" w:rsidR="00944934" w:rsidRPr="00944934" w:rsidRDefault="00D14B33" w:rsidP="00944934">
      <w:pPr>
        <w:pStyle w:val="ListParagraph"/>
        <w:numPr>
          <w:ilvl w:val="0"/>
          <w:numId w:val="321"/>
        </w:numPr>
        <w:rPr>
          <w:rStyle w:val="Hyperlink"/>
          <w:color w:val="auto"/>
          <w:u w:val="none"/>
        </w:rPr>
      </w:pPr>
      <w:r w:rsidRPr="00016DD8">
        <w:rPr>
          <w:b/>
          <w:bCs/>
        </w:rPr>
        <w:lastRenderedPageBreak/>
        <w:t>Department of Agriculture</w:t>
      </w:r>
      <w:r w:rsidRPr="000E309B">
        <w:t xml:space="preserve">. The United States Department of Agriculture provides </w:t>
      </w:r>
      <w:r w:rsidR="00B36971">
        <w:t>multiple</w:t>
      </w:r>
      <w:r w:rsidRPr="000E309B">
        <w:t xml:space="preserve"> data files a</w:t>
      </w:r>
      <w:r w:rsidR="002875B2">
        <w:t>nd</w:t>
      </w:r>
      <w:r w:rsidRPr="000E309B">
        <w:t xml:space="preserve"> apps, charts, and maps to tell the story of agriculture. Examples of the data files include aquaculture, dairy data, and bioenergy statistics.</w:t>
      </w:r>
      <w:r w:rsidR="002875B2">
        <w:t xml:space="preserve"> </w:t>
      </w:r>
      <w:hyperlink r:id="rId273" w:history="1">
        <w:r w:rsidR="002875B2" w:rsidRPr="00C37C4D">
          <w:rPr>
            <w:rStyle w:val="Hyperlink"/>
          </w:rPr>
          <w:t>https://www.ers.usda.gov/</w:t>
        </w:r>
      </w:hyperlink>
    </w:p>
    <w:p w14:paraId="41D1E361" w14:textId="1A9CE61E" w:rsidR="00944934" w:rsidRPr="00944934" w:rsidRDefault="00D14B33" w:rsidP="00944934">
      <w:pPr>
        <w:pStyle w:val="ListParagraph"/>
        <w:numPr>
          <w:ilvl w:val="0"/>
          <w:numId w:val="321"/>
        </w:numPr>
        <w:rPr>
          <w:rStyle w:val="Hyperlink"/>
          <w:color w:val="auto"/>
          <w:u w:val="none"/>
        </w:rPr>
      </w:pPr>
      <w:r w:rsidRPr="00944934">
        <w:rPr>
          <w:b/>
          <w:bCs/>
        </w:rPr>
        <w:t>Department of Education</w:t>
      </w:r>
      <w:r w:rsidRPr="000E309B">
        <w:t xml:space="preserve">. This site contains data about education in the United States, including both K-12 and post-secondary. The data sets available include the National Student Loan Data System, College Scorecard, Integrated Postsecondary Education Data System, and School Survey on Crime and Safety. </w:t>
      </w:r>
      <w:hyperlink r:id="rId274">
        <w:r w:rsidRPr="000E309B">
          <w:rPr>
            <w:rStyle w:val="Hyperlink"/>
          </w:rPr>
          <w:t>https://www2.ed.gov/rschstat/landing.jhtml?src=pn</w:t>
        </w:r>
      </w:hyperlink>
    </w:p>
    <w:p w14:paraId="03EC0569" w14:textId="5748808F" w:rsidR="001B06FD" w:rsidRPr="001B06FD" w:rsidRDefault="00BE1478" w:rsidP="001B06FD">
      <w:pPr>
        <w:pStyle w:val="ListParagraph"/>
        <w:numPr>
          <w:ilvl w:val="0"/>
          <w:numId w:val="321"/>
        </w:numPr>
        <w:rPr>
          <w:rStyle w:val="Hyperlink"/>
          <w:color w:val="auto"/>
          <w:u w:val="none"/>
        </w:rPr>
      </w:pPr>
      <w:r w:rsidRPr="00944934">
        <w:rPr>
          <w:b/>
          <w:bCs/>
        </w:rPr>
        <w:t>Department of Health and Human Services Health Data</w:t>
      </w:r>
      <w:r w:rsidRPr="000E309B">
        <w:t xml:space="preserve">. This site includes more than </w:t>
      </w:r>
      <w:r w:rsidR="001B06FD">
        <w:t>5</w:t>
      </w:r>
      <w:r w:rsidRPr="000E309B">
        <w:t xml:space="preserve">,000 data sets related to health and wellness that </w:t>
      </w:r>
      <w:r>
        <w:t>various government agencies provide</w:t>
      </w:r>
      <w:r w:rsidRPr="000E309B">
        <w:t xml:space="preserve">. </w:t>
      </w:r>
      <w:hyperlink r:id="rId275" w:history="1">
        <w:r w:rsidRPr="002321D2">
          <w:rPr>
            <w:rStyle w:val="Hyperlink"/>
          </w:rPr>
          <w:t>https://healthdata.gov/</w:t>
        </w:r>
      </w:hyperlink>
    </w:p>
    <w:p w14:paraId="205663DB" w14:textId="1A75EEFD" w:rsidR="00FC0834" w:rsidRPr="00FC0834" w:rsidRDefault="00D14B33" w:rsidP="00FC0834">
      <w:pPr>
        <w:pStyle w:val="ListParagraph"/>
        <w:numPr>
          <w:ilvl w:val="0"/>
          <w:numId w:val="321"/>
        </w:numPr>
        <w:rPr>
          <w:rStyle w:val="Hyperlink"/>
          <w:color w:val="auto"/>
          <w:u w:val="none"/>
        </w:rPr>
      </w:pPr>
      <w:r w:rsidRPr="001B06FD">
        <w:rPr>
          <w:b/>
          <w:bCs/>
        </w:rPr>
        <w:t>Dept of Housing and Urban Development</w:t>
      </w:r>
      <w:r w:rsidRPr="000E309B">
        <w:t xml:space="preserve">. The HUD posts data sets concerning housing in the United States. </w:t>
      </w:r>
      <w:r w:rsidR="00156B93">
        <w:t>T</w:t>
      </w:r>
      <w:r w:rsidRPr="000E309B">
        <w:t xml:space="preserve">hese data sets </w:t>
      </w:r>
      <w:r w:rsidR="00156B93">
        <w:t>include</w:t>
      </w:r>
      <w:r w:rsidRPr="000E309B">
        <w:t xml:space="preserve"> the American Housing Survey, Fair Market Rents, and Geospatial Data Resources. </w:t>
      </w:r>
      <w:hyperlink r:id="rId276" w:history="1">
        <w:r w:rsidR="00EC7A01" w:rsidRPr="00EC7A01">
          <w:rPr>
            <w:rStyle w:val="Hyperlink"/>
          </w:rPr>
          <w:t>https://www.huduser.gov/portal/pdrdatas_landing.html</w:t>
        </w:r>
      </w:hyperlink>
    </w:p>
    <w:p w14:paraId="3FCE8783" w14:textId="6D4D9E44" w:rsidR="007134AD" w:rsidRPr="007134AD" w:rsidRDefault="00D14B33" w:rsidP="007134AD">
      <w:pPr>
        <w:pStyle w:val="ListParagraph"/>
        <w:numPr>
          <w:ilvl w:val="0"/>
          <w:numId w:val="321"/>
        </w:numPr>
        <w:rPr>
          <w:rStyle w:val="Hyperlink"/>
          <w:color w:val="auto"/>
          <w:u w:val="none"/>
        </w:rPr>
      </w:pPr>
      <w:r w:rsidRPr="00FC0834">
        <w:rPr>
          <w:b/>
          <w:bCs/>
        </w:rPr>
        <w:t>United States International Trade Administration Exports</w:t>
      </w:r>
      <w:r w:rsidR="006178AD">
        <w:t>.</w:t>
      </w:r>
      <w:r w:rsidRPr="000E309B">
        <w:t xml:space="preserve"> Data concerning international trade that originates in the United States. The data sets are divided into national, state, and metro sections.</w:t>
      </w:r>
      <w:r w:rsidR="006178AD">
        <w:t xml:space="preserve"> </w:t>
      </w:r>
      <w:hyperlink r:id="rId277">
        <w:r w:rsidRPr="000E309B">
          <w:rPr>
            <w:rStyle w:val="Hyperlink"/>
          </w:rPr>
          <w:t>https://www.export.gov/Trade-Data-and-Analysis</w:t>
        </w:r>
      </w:hyperlink>
    </w:p>
    <w:p w14:paraId="0DA0F2F6" w14:textId="643F2071" w:rsidR="004350EC" w:rsidRPr="004350EC" w:rsidRDefault="00D14B33" w:rsidP="004350EC">
      <w:pPr>
        <w:pStyle w:val="ListParagraph"/>
        <w:numPr>
          <w:ilvl w:val="0"/>
          <w:numId w:val="321"/>
        </w:numPr>
        <w:rPr>
          <w:rStyle w:val="Hyperlink"/>
          <w:color w:val="auto"/>
          <w:u w:val="none"/>
        </w:rPr>
      </w:pPr>
      <w:r w:rsidRPr="007134AD">
        <w:rPr>
          <w:b/>
          <w:bCs/>
        </w:rPr>
        <w:t>Federal Bureau of Investigation Crime Data</w:t>
      </w:r>
      <w:r w:rsidRPr="000E309B">
        <w:t>. The FBI makes crime data available for researchers. The various categories are Assaults on Law Enforcement Officers, Police Employee Data, Hate Crime, Human Trafficking, Uniform Crime Reporting Program Participation Data, Cargo Theft, U.S. Territory Data, and Arrest Data. Researchers can also find the “Summary (SRS) Data with Estimates” that includes the data used by the FBI’s annual publications.</w:t>
      </w:r>
      <w:r w:rsidR="00D518DC">
        <w:t xml:space="preserve"> </w:t>
      </w:r>
      <w:hyperlink r:id="rId278" w:history="1">
        <w:r w:rsidR="00B50D3D">
          <w:rPr>
            <w:rStyle w:val="Hyperlink"/>
          </w:rPr>
          <w:t>https://www.fbi.gov/how-we-can-help-you/more-fbi-services-and-information/ucr</w:t>
        </w:r>
      </w:hyperlink>
    </w:p>
    <w:p w14:paraId="28D90C22" w14:textId="13A6C48F" w:rsidR="003D1B93" w:rsidRPr="003D1B93" w:rsidRDefault="00D14B33" w:rsidP="003D1B93">
      <w:pPr>
        <w:pStyle w:val="ListParagraph"/>
        <w:numPr>
          <w:ilvl w:val="0"/>
          <w:numId w:val="321"/>
        </w:numPr>
        <w:rPr>
          <w:rStyle w:val="Hyperlink"/>
          <w:color w:val="auto"/>
          <w:u w:val="none"/>
        </w:rPr>
      </w:pPr>
      <w:r w:rsidRPr="004350EC">
        <w:rPr>
          <w:b/>
          <w:bCs/>
        </w:rPr>
        <w:t>Federal Housing Finance Agency</w:t>
      </w:r>
      <w:r w:rsidRPr="000E309B">
        <w:t xml:space="preserve">. This agency tracks data related to housing in the United States. </w:t>
      </w:r>
      <w:r w:rsidR="005A1C94">
        <w:t>T</w:t>
      </w:r>
      <w:r w:rsidRPr="000E309B">
        <w:t xml:space="preserve">he data sets </w:t>
      </w:r>
      <w:r w:rsidR="005A1C94">
        <w:t>include</w:t>
      </w:r>
      <w:r w:rsidRPr="000E309B">
        <w:t xml:space="preserve"> the house price index, market data, and the National Mortgage Database.</w:t>
      </w:r>
      <w:r w:rsidR="005A1C94">
        <w:t xml:space="preserve"> </w:t>
      </w:r>
      <w:hyperlink r:id="rId279" w:history="1">
        <w:r w:rsidR="005A1C94" w:rsidRPr="005A1C94">
          <w:rPr>
            <w:rStyle w:val="Hyperlink"/>
          </w:rPr>
          <w:t>https://www.fhfa.gov/DataTools/Downloads</w:t>
        </w:r>
      </w:hyperlink>
    </w:p>
    <w:p w14:paraId="7FFE4429" w14:textId="52AACA23" w:rsidR="003D1B93" w:rsidRPr="003D1B93" w:rsidRDefault="00D14B33" w:rsidP="003D1B93">
      <w:pPr>
        <w:pStyle w:val="ListParagraph"/>
        <w:numPr>
          <w:ilvl w:val="0"/>
          <w:numId w:val="321"/>
        </w:numPr>
        <w:rPr>
          <w:rStyle w:val="Hyperlink"/>
          <w:color w:val="auto"/>
          <w:u w:val="none"/>
        </w:rPr>
      </w:pPr>
      <w:r w:rsidRPr="003D1B93">
        <w:rPr>
          <w:b/>
          <w:bCs/>
        </w:rPr>
        <w:t>Federal Reserve</w:t>
      </w:r>
      <w:r w:rsidRPr="000E309B">
        <w:t xml:space="preserve">. The federal reserve makes data about banking, finance, and exchange rates available for researchers. </w:t>
      </w:r>
      <w:r w:rsidR="00DB65D8">
        <w:t>T</w:t>
      </w:r>
      <w:r w:rsidRPr="000E309B">
        <w:t xml:space="preserve">hese data sets </w:t>
      </w:r>
      <w:r w:rsidR="00DB65D8">
        <w:t>include</w:t>
      </w:r>
      <w:r w:rsidRPr="000E309B">
        <w:t xml:space="preserve"> the Survey of Small Business Finances, Mortgage Debt Outstanding, and Industrial Production and Capacity Utilization.</w:t>
      </w:r>
      <w:r w:rsidR="00DB65D8">
        <w:t xml:space="preserve"> </w:t>
      </w:r>
      <w:hyperlink r:id="rId280" w:history="1">
        <w:r w:rsidR="00DB65D8" w:rsidRPr="00DB65D8">
          <w:rPr>
            <w:rStyle w:val="Hyperlink"/>
          </w:rPr>
          <w:t>https://www.federalreserve.gov/data.htm</w:t>
        </w:r>
      </w:hyperlink>
    </w:p>
    <w:p w14:paraId="30293BDE" w14:textId="5545EDD8" w:rsidR="00A41B1F" w:rsidRDefault="00D14B33" w:rsidP="00A41B1F">
      <w:pPr>
        <w:pStyle w:val="ListParagraph"/>
        <w:numPr>
          <w:ilvl w:val="0"/>
          <w:numId w:val="321"/>
        </w:numPr>
      </w:pPr>
      <w:r w:rsidRPr="003D1B93">
        <w:rPr>
          <w:b/>
          <w:bCs/>
        </w:rPr>
        <w:t>Foreign Assistance</w:t>
      </w:r>
      <w:r w:rsidRPr="000E309B">
        <w:t>. The United States offers more than $25 billion in foreign aid to many countries around the world. Data files can be downloaded by country, U.S. agency, or program.</w:t>
      </w:r>
      <w:r w:rsidR="003D1B93">
        <w:t xml:space="preserve"> </w:t>
      </w:r>
      <w:hyperlink r:id="rId281" w:history="1">
        <w:r w:rsidR="003D1B93" w:rsidRPr="002C52D3">
          <w:rPr>
            <w:rStyle w:val="Hyperlink"/>
          </w:rPr>
          <w:t>https://www.foreignassistance.gov/</w:t>
        </w:r>
      </w:hyperlink>
      <w:r w:rsidRPr="000E309B">
        <w:t xml:space="preserve"> </w:t>
      </w:r>
    </w:p>
    <w:p w14:paraId="424489C0" w14:textId="18850C10" w:rsidR="00A41B1F" w:rsidRPr="00A41B1F" w:rsidRDefault="00D14B33" w:rsidP="00A41B1F">
      <w:pPr>
        <w:pStyle w:val="ListParagraph"/>
        <w:numPr>
          <w:ilvl w:val="0"/>
          <w:numId w:val="321"/>
        </w:numPr>
        <w:rPr>
          <w:rStyle w:val="Hyperlink"/>
          <w:color w:val="auto"/>
          <w:u w:val="none"/>
        </w:rPr>
      </w:pPr>
      <w:r w:rsidRPr="00A41B1F">
        <w:rPr>
          <w:b/>
          <w:bCs/>
        </w:rPr>
        <w:t>Harvard Dataverse</w:t>
      </w:r>
      <w:r w:rsidRPr="000E309B">
        <w:t>. Students at Harvard University conduct thousands of research projects every year. They submit their raw data to the Harvard Dataverse</w:t>
      </w:r>
      <w:r w:rsidR="00255718">
        <w:t>,</w:t>
      </w:r>
      <w:r w:rsidRPr="000E309B">
        <w:t xml:space="preserve"> and </w:t>
      </w:r>
      <w:r w:rsidR="00A41B1F" w:rsidRPr="000E309B">
        <w:t>that</w:t>
      </w:r>
      <w:r w:rsidRPr="000E309B">
        <w:t xml:space="preserve"> data can be downloaded by researchers anywhere. The </w:t>
      </w:r>
      <w:r w:rsidR="00C409E6">
        <w:t>site</w:t>
      </w:r>
      <w:r w:rsidRPr="000E309B">
        <w:t xml:space="preserve"> has more than</w:t>
      </w:r>
      <w:r w:rsidR="00313A21">
        <w:t xml:space="preserve"> </w:t>
      </w:r>
      <w:r w:rsidR="00195311">
        <w:t>177</w:t>
      </w:r>
      <w:r w:rsidRPr="000E309B">
        <w:t xml:space="preserve">,000 datasets </w:t>
      </w:r>
      <w:r w:rsidRPr="000E309B">
        <w:lastRenderedPageBreak/>
        <w:t>organized into 13 different subjects, like business and management, law, and social science.</w:t>
      </w:r>
      <w:r w:rsidR="00255718">
        <w:t xml:space="preserve"> </w:t>
      </w:r>
      <w:hyperlink r:id="rId282" w:history="1">
        <w:r w:rsidR="00255718" w:rsidRPr="00255718">
          <w:rPr>
            <w:rStyle w:val="Hyperlink"/>
          </w:rPr>
          <w:t>https://dataverse.harvard.edu/</w:t>
        </w:r>
      </w:hyperlink>
    </w:p>
    <w:p w14:paraId="2C67929A" w14:textId="1D17D87C" w:rsidR="00E73AD4" w:rsidRPr="00E73AD4" w:rsidRDefault="00D14B33" w:rsidP="00E73AD4">
      <w:pPr>
        <w:pStyle w:val="ListParagraph"/>
        <w:numPr>
          <w:ilvl w:val="0"/>
          <w:numId w:val="321"/>
        </w:numPr>
        <w:rPr>
          <w:rStyle w:val="Hyperlink"/>
          <w:color w:val="auto"/>
          <w:u w:val="none"/>
        </w:rPr>
      </w:pPr>
      <w:r w:rsidRPr="00A41B1F">
        <w:rPr>
          <w:b/>
          <w:bCs/>
        </w:rPr>
        <w:t>Inter-university Consortium for Political and Social Research (ICPSR)</w:t>
      </w:r>
      <w:r w:rsidRPr="000E309B">
        <w:t>. The University of Michigan has made more than 1</w:t>
      </w:r>
      <w:r w:rsidR="00D53DB0">
        <w:t>9</w:t>
      </w:r>
      <w:r w:rsidRPr="000E309B">
        <w:t>,000 social science-related data sets available. As an example of the data available, the “500 Family Study” includes “</w:t>
      </w:r>
      <w:r w:rsidR="00616122">
        <w:t>…</w:t>
      </w:r>
      <w:r w:rsidRPr="000E309B">
        <w:t>in-depth information on middle class, dual-career families living in the United States.” The data are divided into four data sets, the</w:t>
      </w:r>
      <w:r w:rsidR="00A9334C">
        <w:t xml:space="preserve"> </w:t>
      </w:r>
      <w:r w:rsidRPr="000E309B">
        <w:t>Cortisol Data that examines psychological stress, the Experience Sampling Method Data th</w:t>
      </w:r>
      <w:r w:rsidR="00915D75">
        <w:t>at</w:t>
      </w:r>
      <w:r w:rsidRPr="000E309B">
        <w:t xml:space="preserve"> examines how individuals spend their time, the Parent Data the examines parents’ occupations and other information, and the Adolescent Data that examines the family relationships from an adolescent perspective. </w:t>
      </w:r>
      <w:hyperlink r:id="rId283" w:history="1">
        <w:r w:rsidR="004F6155" w:rsidRPr="004F6155">
          <w:rPr>
            <w:rStyle w:val="Hyperlink"/>
          </w:rPr>
          <w:t>https://www.icpsr.umich.edu/icpsrweb/ICPSR/</w:t>
        </w:r>
      </w:hyperlink>
    </w:p>
    <w:p w14:paraId="0B49DDE6" w14:textId="3904B0D0" w:rsidR="00E73AD4" w:rsidRPr="00E73AD4" w:rsidRDefault="00D14B33" w:rsidP="00E73AD4">
      <w:pPr>
        <w:pStyle w:val="ListParagraph"/>
        <w:numPr>
          <w:ilvl w:val="0"/>
          <w:numId w:val="321"/>
        </w:numPr>
        <w:rPr>
          <w:rStyle w:val="Hyperlink"/>
          <w:color w:val="auto"/>
          <w:u w:val="none"/>
        </w:rPr>
      </w:pPr>
      <w:r w:rsidRPr="00E73AD4">
        <w:rPr>
          <w:b/>
          <w:bCs/>
        </w:rPr>
        <w:t>National Center for Health Statistics</w:t>
      </w:r>
      <w:r w:rsidRPr="000E309B">
        <w:t xml:space="preserve">. This site posts data from the Centers for Disease Control concerning health statistics. It includes data like birth and death rates, the Longitudinal Studies of Aging, and the National Survey of Children’s Health. </w:t>
      </w:r>
      <w:hyperlink r:id="rId284" w:history="1">
        <w:r w:rsidR="00806EAF" w:rsidRPr="00806EAF">
          <w:rPr>
            <w:rStyle w:val="Hyperlink"/>
          </w:rPr>
          <w:t>https://www.cdc.gov/nchs/data_access/ftp_data.htm</w:t>
        </w:r>
      </w:hyperlink>
    </w:p>
    <w:p w14:paraId="4C48EB57" w14:textId="0AAD622B" w:rsidR="008277EC" w:rsidRPr="008277EC" w:rsidRDefault="00D14B33" w:rsidP="008277EC">
      <w:pPr>
        <w:pStyle w:val="ListParagraph"/>
        <w:numPr>
          <w:ilvl w:val="0"/>
          <w:numId w:val="321"/>
        </w:numPr>
        <w:rPr>
          <w:rStyle w:val="Hyperlink"/>
          <w:color w:val="auto"/>
          <w:u w:val="none"/>
        </w:rPr>
      </w:pPr>
      <w:r w:rsidRPr="00E73AD4">
        <w:rPr>
          <w:b/>
          <w:bCs/>
        </w:rPr>
        <w:t>National Centers for Environmental Information</w:t>
      </w:r>
      <w:r w:rsidRPr="000E309B">
        <w:t>. This site posts data provided by the National Oceanic and Atmospheric Administration about the environment. It includes historic</w:t>
      </w:r>
      <w:r w:rsidR="0050390F">
        <w:t>al</w:t>
      </w:r>
      <w:r w:rsidRPr="000E309B">
        <w:t xml:space="preserve"> weather information, satellite radiance data, and paleoclimatology. </w:t>
      </w:r>
      <w:hyperlink r:id="rId285" w:history="1">
        <w:r w:rsidR="0050390F" w:rsidRPr="0050390F">
          <w:rPr>
            <w:rStyle w:val="Hyperlink"/>
          </w:rPr>
          <w:t>https://www.ncdc.noaa.gov/data-access</w:t>
        </w:r>
      </w:hyperlink>
    </w:p>
    <w:p w14:paraId="080A8878" w14:textId="47DCCC53" w:rsidR="008277EC" w:rsidRPr="008277EC" w:rsidRDefault="00D14B33" w:rsidP="008277EC">
      <w:pPr>
        <w:pStyle w:val="ListParagraph"/>
        <w:numPr>
          <w:ilvl w:val="0"/>
          <w:numId w:val="321"/>
        </w:numPr>
        <w:rPr>
          <w:rStyle w:val="Hyperlink"/>
          <w:color w:val="auto"/>
          <w:u w:val="none"/>
        </w:rPr>
      </w:pPr>
      <w:r w:rsidRPr="008277EC">
        <w:rPr>
          <w:b/>
          <w:bCs/>
        </w:rPr>
        <w:t>United Nations Statistics Division</w:t>
      </w:r>
      <w:r w:rsidRPr="000E309B">
        <w:t>. The UN provides data sets that include population, national accounts, education, labor, price indices, and many other factors for every nation and geographical area (like Northern Africa).</w:t>
      </w:r>
      <w:r w:rsidR="00211B1F">
        <w:t xml:space="preserve"> </w:t>
      </w:r>
      <w:hyperlink r:id="rId286" w:history="1">
        <w:r w:rsidR="00211B1F" w:rsidRPr="00211B1F">
          <w:rPr>
            <w:rStyle w:val="Hyperlink"/>
          </w:rPr>
          <w:t>http://data.un.org/</w:t>
        </w:r>
      </w:hyperlink>
    </w:p>
    <w:p w14:paraId="5327D8A3" w14:textId="597AF890" w:rsidR="00A626FE" w:rsidRPr="000E309B" w:rsidRDefault="00D14B33" w:rsidP="008277EC">
      <w:pPr>
        <w:pStyle w:val="ListParagraph"/>
        <w:numPr>
          <w:ilvl w:val="0"/>
          <w:numId w:val="321"/>
        </w:numPr>
      </w:pPr>
      <w:r w:rsidRPr="008277EC">
        <w:rPr>
          <w:b/>
          <w:bCs/>
        </w:rPr>
        <w:t>World Bank Open Data</w:t>
      </w:r>
      <w:r w:rsidRPr="000E309B">
        <w:t xml:space="preserve">. The World Bank posts data related to banking and monetary policy for countries around the world. The data can be browsed by country/region, time, or geospatial values. </w:t>
      </w:r>
      <w:hyperlink r:id="rId287" w:history="1">
        <w:r w:rsidR="00345E6A" w:rsidRPr="00345E6A">
          <w:rPr>
            <w:rStyle w:val="Hyperlink"/>
          </w:rPr>
          <w:t>https://datacatalog.worldbank.org/</w:t>
        </w:r>
      </w:hyperlink>
    </w:p>
    <w:p w14:paraId="5327D8A4" w14:textId="74805168" w:rsidR="00A626FE" w:rsidRPr="000E309B" w:rsidRDefault="00D14B33" w:rsidP="00313A21">
      <w:pPr>
        <w:pStyle w:val="Heading4"/>
      </w:pPr>
      <w:r w:rsidRPr="000E309B">
        <w:t>Public Document Repositories</w:t>
      </w:r>
    </w:p>
    <w:p w14:paraId="5327D8A5" w14:textId="3DB7744E" w:rsidR="00A626FE" w:rsidRPr="000E309B" w:rsidRDefault="00C44D44" w:rsidP="0075405A">
      <w:r>
        <w:t>T</w:t>
      </w:r>
      <w:r w:rsidR="00D14B33" w:rsidRPr="000E309B">
        <w:t>he following list contains a few of the many repositories for reports and other published documents.</w:t>
      </w:r>
    </w:p>
    <w:p w14:paraId="5C9E6E4F" w14:textId="260052AB" w:rsidR="0075405A" w:rsidRPr="0075405A" w:rsidRDefault="00D14B33" w:rsidP="0075405A">
      <w:pPr>
        <w:pStyle w:val="ListParagraph"/>
        <w:numPr>
          <w:ilvl w:val="0"/>
          <w:numId w:val="322"/>
        </w:numPr>
        <w:rPr>
          <w:rStyle w:val="Hyperlink"/>
          <w:color w:val="auto"/>
          <w:u w:val="none"/>
        </w:rPr>
      </w:pPr>
      <w:r w:rsidRPr="0075405A">
        <w:rPr>
          <w:b/>
          <w:bCs/>
        </w:rPr>
        <w:t>CIA World Factbook</w:t>
      </w:r>
      <w:r w:rsidRPr="000E309B">
        <w:t>. The CIA Factbooks are detailed reports that would be valuable to anyone who needs background information about a country.</w:t>
      </w:r>
      <w:r w:rsidR="00EE7F60">
        <w:t xml:space="preserve"> </w:t>
      </w:r>
      <w:hyperlink r:id="rId288" w:history="1">
        <w:r w:rsidR="00E42750" w:rsidRPr="00E42750">
          <w:rPr>
            <w:rStyle w:val="Hyperlink"/>
          </w:rPr>
          <w:t>https://www.cia.gov/the-world-factbook/</w:t>
        </w:r>
      </w:hyperlink>
    </w:p>
    <w:p w14:paraId="32EF5CC6" w14:textId="6D25DA78" w:rsidR="00CE39F0" w:rsidRPr="00CE39F0" w:rsidRDefault="00D14B33" w:rsidP="00CE39F0">
      <w:pPr>
        <w:pStyle w:val="ListParagraph"/>
        <w:numPr>
          <w:ilvl w:val="0"/>
          <w:numId w:val="322"/>
        </w:numPr>
        <w:rPr>
          <w:rStyle w:val="Hyperlink"/>
          <w:color w:val="auto"/>
          <w:u w:val="none"/>
        </w:rPr>
      </w:pPr>
      <w:r w:rsidRPr="0075405A">
        <w:rPr>
          <w:b/>
          <w:bCs/>
        </w:rPr>
        <w:t>Google Scholar</w:t>
      </w:r>
      <w:r w:rsidRPr="000E309B">
        <w:t>. This resource can be used to search for papers published in thousands of different scholarly journals, along with dissertations and thesis that may not have been published in a journal. It is the “go-to” source for searches for scholarly publications.</w:t>
      </w:r>
      <w:r w:rsidR="00666310">
        <w:t xml:space="preserve"> </w:t>
      </w:r>
      <w:hyperlink r:id="rId289" w:history="1">
        <w:r w:rsidR="00666310" w:rsidRPr="00666310">
          <w:rPr>
            <w:rStyle w:val="Hyperlink"/>
          </w:rPr>
          <w:t>https://scholar.google.com</w:t>
        </w:r>
      </w:hyperlink>
    </w:p>
    <w:p w14:paraId="222EA91B" w14:textId="591F3F71" w:rsidR="00FA36B8" w:rsidRPr="00FA36B8" w:rsidRDefault="00FA36B8" w:rsidP="00CE39F0">
      <w:pPr>
        <w:pStyle w:val="ListParagraph"/>
        <w:numPr>
          <w:ilvl w:val="0"/>
          <w:numId w:val="322"/>
        </w:numPr>
      </w:pPr>
      <w:r>
        <w:t xml:space="preserve">You.com. This is an AI tool that includes </w:t>
      </w:r>
      <w:r w:rsidR="00C8121E">
        <w:t xml:space="preserve">a “Research” mode that helps find </w:t>
      </w:r>
      <w:r w:rsidR="00F75E6E">
        <w:t xml:space="preserve">published journal articles in any field. </w:t>
      </w:r>
      <w:r w:rsidR="00CD03B4">
        <w:t xml:space="preserve">There is a limit of five searches per day unless you subscribe for $20/month. </w:t>
      </w:r>
      <w:hyperlink r:id="rId290" w:history="1">
        <w:r w:rsidR="00F75E6E" w:rsidRPr="00F75E6E">
          <w:rPr>
            <w:rStyle w:val="Hyperlink"/>
          </w:rPr>
          <w:t>https://you.com/?chatMode=research</w:t>
        </w:r>
      </w:hyperlink>
    </w:p>
    <w:p w14:paraId="6D6F6142" w14:textId="6E90A66B" w:rsidR="00CE39F0" w:rsidRPr="00CE39F0" w:rsidRDefault="00D14B33" w:rsidP="00CE39F0">
      <w:pPr>
        <w:pStyle w:val="ListParagraph"/>
        <w:numPr>
          <w:ilvl w:val="0"/>
          <w:numId w:val="322"/>
        </w:numPr>
        <w:rPr>
          <w:rStyle w:val="Hyperlink"/>
          <w:color w:val="auto"/>
          <w:u w:val="none"/>
        </w:rPr>
      </w:pPr>
      <w:r w:rsidRPr="00CE39F0">
        <w:rPr>
          <w:b/>
          <w:bCs/>
        </w:rPr>
        <w:lastRenderedPageBreak/>
        <w:t>National Archives</w:t>
      </w:r>
      <w:r w:rsidRPr="000E309B">
        <w:t xml:space="preserve">. The National Archives are familiar to people researching their ancestry, but the archives include documentation about businesses, foundations, countries, governmental contracts, and even </w:t>
      </w:r>
      <w:r w:rsidR="00A57ADB">
        <w:t>period</w:t>
      </w:r>
      <w:r w:rsidRPr="000E309B">
        <w:t>s like 1800−1900.</w:t>
      </w:r>
      <w:r w:rsidR="00A57ADB">
        <w:t xml:space="preserve"> </w:t>
      </w:r>
      <w:hyperlink r:id="rId291" w:history="1">
        <w:r w:rsidR="00A57ADB" w:rsidRPr="00A57ADB">
          <w:rPr>
            <w:rStyle w:val="Hyperlink"/>
          </w:rPr>
          <w:t>https://www.archives.gov/research</w:t>
        </w:r>
      </w:hyperlink>
    </w:p>
    <w:p w14:paraId="57A29DB0" w14:textId="3512C81B" w:rsidR="00CE39F0" w:rsidRPr="00CE39F0" w:rsidRDefault="00D14B33" w:rsidP="00CE39F0">
      <w:pPr>
        <w:pStyle w:val="ListParagraph"/>
        <w:numPr>
          <w:ilvl w:val="0"/>
          <w:numId w:val="322"/>
        </w:numPr>
        <w:rPr>
          <w:rStyle w:val="Hyperlink"/>
          <w:color w:val="auto"/>
          <w:u w:val="none"/>
        </w:rPr>
      </w:pPr>
      <w:r w:rsidRPr="00CE39F0">
        <w:rPr>
          <w:b/>
          <w:bCs/>
        </w:rPr>
        <w:t>Public Library of Science</w:t>
      </w:r>
      <w:r w:rsidRPr="000E309B">
        <w:t>. PLOS is a nonprofit publisher of more than 215,000 peer-reviewed scien</w:t>
      </w:r>
      <w:r w:rsidR="00CC5B29">
        <w:t>tific</w:t>
      </w:r>
      <w:r w:rsidRPr="000E309B">
        <w:t xml:space="preserve"> articles in many different fields.</w:t>
      </w:r>
      <w:r w:rsidR="00CC5B29">
        <w:t xml:space="preserve"> </w:t>
      </w:r>
      <w:hyperlink r:id="rId292" w:history="1">
        <w:r w:rsidR="00CC5B29" w:rsidRPr="00CC5B29">
          <w:rPr>
            <w:rStyle w:val="Hyperlink"/>
          </w:rPr>
          <w:t>https://www.plos.org/</w:t>
        </w:r>
      </w:hyperlink>
    </w:p>
    <w:p w14:paraId="5327D8AE" w14:textId="31C820D5" w:rsidR="00A626FE" w:rsidRPr="000E309B" w:rsidRDefault="00D14B33" w:rsidP="00CE39F0">
      <w:pPr>
        <w:pStyle w:val="ListParagraph"/>
        <w:numPr>
          <w:ilvl w:val="0"/>
          <w:numId w:val="322"/>
        </w:numPr>
      </w:pPr>
      <w:r w:rsidRPr="00CE39F0">
        <w:rPr>
          <w:b/>
          <w:bCs/>
        </w:rPr>
        <w:t>US Congress</w:t>
      </w:r>
      <w:r w:rsidRPr="000E309B">
        <w:t xml:space="preserve">. This </w:t>
      </w:r>
      <w:r w:rsidR="0038121A">
        <w:t xml:space="preserve">site </w:t>
      </w:r>
      <w:r w:rsidRPr="000E309B">
        <w:t>is for the United States Congress. It includes the text of all Senate and House bills along with a daily digest of congressional activities</w:t>
      </w:r>
      <w:r w:rsidR="000018DF">
        <w:t xml:space="preserve">. </w:t>
      </w:r>
      <w:hyperlink r:id="rId293" w:history="1">
        <w:r w:rsidR="000018DF" w:rsidRPr="000018DF">
          <w:rPr>
            <w:rStyle w:val="Hyperlink"/>
          </w:rPr>
          <w:t>https://www.congress.gov/</w:t>
        </w:r>
      </w:hyperlink>
    </w:p>
    <w:p w14:paraId="5327D8AF" w14:textId="1A330736" w:rsidR="00A626FE" w:rsidRPr="000E309B" w:rsidRDefault="00F87222" w:rsidP="00FA4A4F">
      <w:r w:rsidRPr="00F87222">
        <w:t xml:space="preserve">Remember that the resources listed </w:t>
      </w:r>
      <w:r w:rsidR="00440D81">
        <w:t>above</w:t>
      </w:r>
      <w:r w:rsidRPr="00F87222">
        <w:t xml:space="preserve"> are only a small sampling of the numerous publicly accessible data sources that are readily accessible online. It's also important to remember that while the </w:t>
      </w:r>
      <w:r w:rsidR="00440D81" w:rsidRPr="00F87222">
        <w:t>data</w:t>
      </w:r>
      <w:r w:rsidRPr="00F87222">
        <w:t xml:space="preserve"> sources are suitable for research conducted in the United States, students interested in studying other nations can get comparable data for </w:t>
      </w:r>
      <w:r w:rsidR="00440D81" w:rsidRPr="00F87222">
        <w:t>most</w:t>
      </w:r>
      <w:r w:rsidRPr="00F87222">
        <w:t xml:space="preserve"> industrialized nations.</w:t>
      </w:r>
    </w:p>
    <w:p w14:paraId="5327D8B0" w14:textId="6772C6AA" w:rsidR="00A626FE" w:rsidRPr="000E309B" w:rsidRDefault="00B34C1D" w:rsidP="00B34C1D">
      <w:pPr>
        <w:pStyle w:val="Heading3"/>
      </w:pPr>
      <w:bookmarkStart w:id="186" w:name="_Toc169156806"/>
      <w:r>
        <w:t>R</w:t>
      </w:r>
      <w:r w:rsidR="00D14B33" w:rsidRPr="000E309B">
        <w:t xml:space="preserve">eliability </w:t>
      </w:r>
      <w:r>
        <w:t>I</w:t>
      </w:r>
      <w:r w:rsidR="00D14B33" w:rsidRPr="000E309B">
        <w:t xml:space="preserve">n </w:t>
      </w:r>
      <w:r>
        <w:t>U</w:t>
      </w:r>
      <w:r w:rsidR="00D14B33" w:rsidRPr="000E309B">
        <w:t xml:space="preserve">nobtrusive </w:t>
      </w:r>
      <w:r>
        <w:t>R</w:t>
      </w:r>
      <w:r w:rsidR="00D14B33" w:rsidRPr="000E309B">
        <w:t>esearch</w:t>
      </w:r>
      <w:bookmarkEnd w:id="186"/>
    </w:p>
    <w:p w14:paraId="65861C3C" w14:textId="065FE6A7" w:rsidR="00FB479F" w:rsidRDefault="00FB479F" w:rsidP="00FB479F">
      <w:r>
        <w:t xml:space="preserve">This final section of the chapter explores reliability concerns that warrant attention in unobtrusive research projects </w:t>
      </w:r>
      <w:r>
        <w:fldChar w:fldCharType="begin"/>
      </w:r>
      <w:r w:rsidR="007C07B4">
        <w:instrText xml:space="preserve"> ADDIN ZOTERO_ITEM CSL_CITATION {"citationID":"b4I7CryQ","properties":{"formattedCitation":"[166]","plainCitation":"[166]","noteIndex":0},"citationItems":[{"id":128,"uris":["http://zotero.org/users/5015692/items/YQJ433YF"],"itemData":{"id":128,"type":"article-journal","container-title":"The content analysis reader","page":"350–357","title":"Testing the reliability of content analysis data","author":[{"family":"Krippendorff","given":"Klaus"}],"issued":{"date-parts":[["2009"]]}}}],"schema":"https://github.com/citation-style-language/schema/raw/master/csl-citation.json"} </w:instrText>
      </w:r>
      <w:r>
        <w:fldChar w:fldCharType="separate"/>
      </w:r>
      <w:r w:rsidR="007C07B4" w:rsidRPr="007C07B4">
        <w:t>[166]</w:t>
      </w:r>
      <w:r>
        <w:fldChar w:fldCharType="end"/>
      </w:r>
      <w:r>
        <w:t>. Reliability in this context refers to the consistency and trustworthiness of the data coding process. The primary concerns revolve around how the coding is performed and who is responsible for coding the data. Additionally, issues related to stability, reproducibility, and accuracy present unique challenges for ensuring reliability in unobtrusive research projects.</w:t>
      </w:r>
    </w:p>
    <w:p w14:paraId="4DC26CB4" w14:textId="77777777" w:rsidR="00FB479F" w:rsidRDefault="00FB479F" w:rsidP="00FB479F">
      <w:r>
        <w:t>Stability pertains to the consistency of coding results across different time periods. If stability is compromised, it becomes evident when the same person codes identical content but obtains varying results. Coding is considered stable when consistent results are obtained after multiple coding sessions by the same individual. Researchers who encounter instability problems in their coding procedures should review and revise their coding rules to minimize ambiguities. Ambiguities within the text itself can also contribute to stability issues. While researchers cannot modify the original text documents, being aware of potential ambiguities in the data can help mitigate stability problems. Additionally, coding errors, such as accidentally recording a "1" instead of a "10" on the code sheet, can lead to instability.</w:t>
      </w:r>
    </w:p>
    <w:p w14:paraId="0F55E42F" w14:textId="77777777" w:rsidR="00FB479F" w:rsidRDefault="00FB479F" w:rsidP="00FB479F">
      <w:r>
        <w:t>Reproducibility, also known as intercoder reliability, refers to the extent to which different individuals coding the same text arrive at consistent outcomes. Cognitive differences among coders and ambiguous coding instructions can hinder reproducibility. Random coding errors may also contribute to reproducibility issues. One approach to overcoming reproducibility problems is to have coders work collaboratively. By resolving coding ambiguities as a team, coders develop a shared understanding of how to code various pieces of data consistently.</w:t>
      </w:r>
    </w:p>
    <w:p w14:paraId="6FEF9543" w14:textId="71579E7F" w:rsidR="00FB479F" w:rsidRDefault="00FB479F" w:rsidP="00FB479F">
      <w:r>
        <w:t xml:space="preserve">Lastly, accuracy involves assessing the alignment between the coding procedures and established standards. This process assumes the existence of predefined coding strategies for the specific text being analyzed. While official standards may not always be available, reviewing prior literature for </w:t>
      </w:r>
      <w:r>
        <w:lastRenderedPageBreak/>
        <w:t xml:space="preserve">collective wisdom on coding practices in a particular area is highly beneficial. Scholarly </w:t>
      </w:r>
      <w:r w:rsidR="00E44FB7">
        <w:t>work</w:t>
      </w:r>
      <w:r>
        <w:t xml:space="preserve"> focusing on similar data or coding procedures can provide valuable insights to clarify and refine the coding approach.</w:t>
      </w:r>
    </w:p>
    <w:p w14:paraId="4B199C43" w14:textId="77777777" w:rsidR="00FB479F" w:rsidRDefault="00FB479F" w:rsidP="00FB479F">
      <w:r>
        <w:t>To illustrate these concepts, consider a research project analyzing social media posts about a specific product. Stability issues may arise if a single coder's interpretation of sentiment (positive, negative, or neutral) varies across different coding sessions. Reproducibility problems may occur if multiple coders interpret the sentiment differently due to ambiguous coding guidelines. Accuracy can be assessed by comparing the coding results to established sentiment analysis frameworks or industry standards.</w:t>
      </w:r>
    </w:p>
    <w:p w14:paraId="3330F122" w14:textId="1D30531E" w:rsidR="00FC3615" w:rsidRDefault="00FB479F" w:rsidP="00FB479F">
      <w:r>
        <w:t>In summary, reliability concerns in unobtrusive research projects encompass stability, reproducibility, and accuracy. Researchers should strive to develop clear coding rules, be aware of ambiguities in the text, and refer to prior literature for guidance. By addressing these concerns, researchers can enhance the reliability and credibility of their unobtrusive research findings.</w:t>
      </w:r>
    </w:p>
    <w:p w14:paraId="789EFF7A" w14:textId="1D6D3BF0" w:rsidR="000266AB" w:rsidRDefault="000266AB" w:rsidP="000266AB">
      <w:pPr>
        <w:pStyle w:val="Heading3"/>
      </w:pPr>
      <w:bookmarkStart w:id="187" w:name="_Toc169156807"/>
      <w:r>
        <w:t>Combining Unobtrusive and Obtrusive Research Methods</w:t>
      </w:r>
      <w:bookmarkEnd w:id="187"/>
    </w:p>
    <w:p w14:paraId="648379ED" w14:textId="77777777" w:rsidR="00BC26EC" w:rsidRDefault="00BC26EC" w:rsidP="00BC26EC">
      <w:r>
        <w:t>While unobtrusive research methods offer numerous advantages, such as minimizing the impact of the researcher's presence on the subjects and enabling the study of past events, they may not always provide a complete picture of the phenomenon under investigation. Combining unobtrusive methods with obtrusive methods, such as surveys and interviews, can help researchers gain a more comprehensive understanding of their research subject. This section explores the benefits and challenges of integrating unobtrusive and obtrusive research methods and discusses strategies for effectively combining these approaches.</w:t>
      </w:r>
    </w:p>
    <w:p w14:paraId="70BFDD93" w14:textId="504305B1" w:rsidR="00BC26EC" w:rsidRDefault="00BC26EC" w:rsidP="00BC26EC">
      <w:r>
        <w:t xml:space="preserve">One of the primary advantages of combining unobtrusive and obtrusive research methods is the ability to triangulate data from multiple sources. By comparing and contrasting findings from different methods, researchers can assess the consistency and validity of their results. For example, </w:t>
      </w:r>
      <w:r w:rsidR="0048782C" w:rsidRPr="0048782C">
        <w:t>In this study, Mascheroni and Vincent combine an analysis of mobile phone usage data (an unobtrusive method) with in-depth interviews (an obtrusive method) to explore the concept of "perpetual contact" afforded by mobile communication technologies</w:t>
      </w:r>
      <w:r w:rsidR="00FD255B">
        <w:t xml:space="preserve"> </w:t>
      </w:r>
      <w:r w:rsidR="00FD255B">
        <w:fldChar w:fldCharType="begin"/>
      </w:r>
      <w:r w:rsidR="007C07B4">
        <w:instrText xml:space="preserve"> ADDIN ZOTERO_ITEM CSL_CITATION {"citationID":"AIuNhtZl","properties":{"formattedCitation":"[167]","plainCitation":"[167]","noteIndex":0},"citationItems":[{"id":368,"uris":["http://zotero.org/users/5015692/items/KRUHFYBE"],"itemData":{"id":368,"type":"article-journal","abstract":"This paper draws on qualitative data collected as a part of a comparative study on children and teenagers? uses of smartphones in nine European countries to explore the meanings and emotions associated with the enhanced possibility of ?full-time? contact with peers provided by smartphones. It argues that full-time access to peers?which interviewees identify as the main consequence of smartphones and instant messaging apps on their interactions with friends?is a communicative affordance, that is, a set of socially constructed opportunities and constraints that frame possibilities of action by giving rise to a diversity of communicative practices, as well as contradictory feelings among young people: intimacy, proximity, security as well as anxiety, exclusion and obligation. Understanding the perceptions and emotions around the affordance of ?anywhere, anytime? accessibility, therefore, helps in untangling how communicative affordances are individually perceived but also, and more importantly, socially appropriated, negotiated, legitimised, and institutionalised.","container-title":"Mobile Media &amp; Communication","DOI":"10.1177/2050157916639347","ISSN":"2050-1579","issue":"3","note":"publisher: SAGE Publications","page":"310-326","title":"Perpetual contact as a communicative affordance: Opportunities, constraints, and emotions","volume":"4","author":[{"family":"Mascheroni","given":"Giovanna"},{"family":"Vincent","given":"Jane"}],"issued":{"date-parts":[["2016",9,1]]}}}],"schema":"https://github.com/citation-style-language/schema/raw/master/csl-citation.json"} </w:instrText>
      </w:r>
      <w:r w:rsidR="00FD255B">
        <w:fldChar w:fldCharType="separate"/>
      </w:r>
      <w:r w:rsidR="007C07B4" w:rsidRPr="007C07B4">
        <w:t>[167]</w:t>
      </w:r>
      <w:r w:rsidR="00FD255B">
        <w:fldChar w:fldCharType="end"/>
      </w:r>
      <w:r w:rsidR="0048782C" w:rsidRPr="0048782C">
        <w:t>.</w:t>
      </w:r>
      <w:r>
        <w:t xml:space="preserve"> By integrating these two methods, Rettie was able to develop a more nuanced understanding of mobile phone usage patterns and their social implications.</w:t>
      </w:r>
    </w:p>
    <w:p w14:paraId="23126DC0" w14:textId="2D555ACF" w:rsidR="00DE2DAE" w:rsidRDefault="00BC26EC" w:rsidP="00BC26EC">
      <w:r>
        <w:t xml:space="preserve">Combining unobtrusive and obtrusive methods can also help researchers overcome the limitations of each approach. Unobtrusive methods may not always provide insight into the subjective experiences and perspectives of the individuals being studied, while obtrusive methods may be subject to social desirability bias or other response biases. By using both methods in tandem, researchers can compensate for these limitations and obtain a more balanced view of the research subject. </w:t>
      </w:r>
      <w:r w:rsidR="008B58F1">
        <w:t>For instance</w:t>
      </w:r>
      <w:r w:rsidR="008B58F1" w:rsidRPr="008B58F1">
        <w:t>, Stephens, Cowan, and Houser combine content analysis of workplace emails with surveys to investigate how organizational norms and interpersonal familiarity influence email communication between individuals of different status levels</w:t>
      </w:r>
      <w:r w:rsidR="008B58F1">
        <w:t xml:space="preserve"> </w:t>
      </w:r>
      <w:r w:rsidR="008B58F1">
        <w:fldChar w:fldCharType="begin"/>
      </w:r>
      <w:r w:rsidR="007C07B4">
        <w:instrText xml:space="preserve"> ADDIN ZOTERO_ITEM CSL_CITATION {"citationID":"y2uDoogF","properties":{"formattedCitation":"[168]","plainCitation":"[168]","noteIndex":0},"citationItems":[{"id":370,"uris":["http://zotero.org/users/5015692/items/NNL477YB"],"itemData":{"id":370,"type":"article-journal","abstract":"Relying on SIDE theory, this 2 × 2 experimental design tested the effects of adherence to organizational norms and interpersonal familiarity in e-mail messages from both superior and subordinate perspectives. Results reveal that using norm-congruent e-mail messages account for over 50% of the variance in both superior and subordinate attitudes toward the message and between 30% and 56% of the variance in perceptions of source credibility. Data from the superiors indicate that norm congruent e-mail messages account for 14.4% of the variance in message compliance. Results from subordinates reveal an interaction effect that is consistent with SIDE-based predictions. Subordinates believe superiors are most likely to comply with e-mail requests from unfamiliar subordinates that are crafted in a manner congruent with organizational norms.","container-title":"Journal of Computer-Mediated Communication","DOI":"10.1111/j.1083-6101.2011.01537.x","ISSN":"1083-6101","issue":"2","journalAbbreviation":"Journal of Computer-Mediated Communication","page":"228-249","title":"Organizational Norm Congruency and Interpersonal Familiarity in E-Mail: Examining Messages from Two Different Status Perspectives","volume":"16","author":[{"family":"Stephens","given":"Keri K."},{"family":"Cowan","given":"Renee L."},{"family":"Houser","given":"Marian L."}],"issued":{"date-parts":[["2011",1,1]]}}}],"schema":"https://github.com/citation-style-language/schema/raw/master/csl-citation.json"} </w:instrText>
      </w:r>
      <w:r w:rsidR="008B58F1">
        <w:fldChar w:fldCharType="separate"/>
      </w:r>
      <w:r w:rsidR="007C07B4" w:rsidRPr="007C07B4">
        <w:t>[168]</w:t>
      </w:r>
      <w:r w:rsidR="008B58F1">
        <w:fldChar w:fldCharType="end"/>
      </w:r>
      <w:r w:rsidR="008B58F1" w:rsidRPr="008B58F1">
        <w:t xml:space="preserve">. The content analysis </w:t>
      </w:r>
      <w:r w:rsidR="008B58F1" w:rsidRPr="008B58F1">
        <w:lastRenderedPageBreak/>
        <w:t>provides insights into the linguistic and structural features of the emails, while the surveys reveal employees' perceptions of email norms and relationships.</w:t>
      </w:r>
    </w:p>
    <w:p w14:paraId="4A401489" w14:textId="77777777" w:rsidR="00BC26EC" w:rsidRDefault="00BC26EC" w:rsidP="00BC26EC">
      <w:r>
        <w:t>However, combining unobtrusive and obtrusive research methods also presents certain challenges. Researchers must carefully consider the compatibility of the chosen methods and ensure that they are appropriate for the research question at hand. Additionally, integrating data from multiple sources can be time-consuming and require advanced analytical skills. Researchers must also be aware of potential discrepancies between the findings from different methods and develop strategies for reconciling conflicting results.</w:t>
      </w:r>
    </w:p>
    <w:p w14:paraId="738745C8" w14:textId="77777777" w:rsidR="00BC26EC" w:rsidRDefault="00BC26EC" w:rsidP="00BC26EC">
      <w:r>
        <w:t>To effectively combine unobtrusive and obtrusive research methods, researchers should follow a systematic approach. This may involve developing a clear research design that outlines the specific methods to be used, the sequence in which they will be applied, and the strategies for integrating the resulting data. Researchers should also be transparent about their methodological choices and provide a detailed account of how the different methods were combined in the reporting of their findings.</w:t>
      </w:r>
    </w:p>
    <w:p w14:paraId="2E38E314" w14:textId="66DD2465" w:rsidR="000266AB" w:rsidRPr="000266AB" w:rsidRDefault="00BC26EC" w:rsidP="00BC26EC">
      <w:r>
        <w:t>In summary, combining unobtrusive and obtrusive research methods can provide researchers with a more comprehensive and nuanced understanding of their research subject. By leveraging the strengths of each approach and mitigating their limitations, researchers can enhance the validity and reliability of their findings. However, effectively combining these methods requires careful planning, advanced analytical skills, and a commitment to methodological transparency. By following best practices for integrating unobtrusive and obtrusive research methods, researchers can unlock new insights and advance our understanding of complex social phenomena.</w:t>
      </w:r>
    </w:p>
    <w:p w14:paraId="5327D8B7" w14:textId="1864DA48" w:rsidR="00A626FE" w:rsidRDefault="00254084" w:rsidP="001E04C3">
      <w:pPr>
        <w:pStyle w:val="Heading3"/>
      </w:pPr>
      <w:bookmarkStart w:id="188" w:name="_Toc169156808"/>
      <w:r>
        <w:rPr>
          <w:noProof/>
        </w:rPr>
        <w:drawing>
          <wp:anchor distT="0" distB="0" distL="114300" distR="114300" simplePos="0" relativeHeight="251979860" behindDoc="0" locked="0" layoutInCell="1" allowOverlap="1" wp14:anchorId="7016BB9E" wp14:editId="7351A708">
            <wp:simplePos x="0" y="0"/>
            <wp:positionH relativeFrom="column">
              <wp:align>right</wp:align>
            </wp:positionH>
            <wp:positionV relativeFrom="paragraph">
              <wp:posOffset>0</wp:posOffset>
            </wp:positionV>
            <wp:extent cx="914400" cy="914400"/>
            <wp:effectExtent l="19050" t="19050" r="19050" b="19050"/>
            <wp:wrapSquare wrapText="bothSides"/>
            <wp:docPr id="1231161780"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E45430">
        <w:t>Summary of Chapter 1</w:t>
      </w:r>
      <w:r w:rsidR="00BA16B6">
        <w:t>3</w:t>
      </w:r>
      <w:r w:rsidR="00E45430">
        <w:t>: Unobtrusive Research</w:t>
      </w:r>
      <w:bookmarkEnd w:id="188"/>
    </w:p>
    <w:p w14:paraId="7B8C9B82" w14:textId="77777777" w:rsidR="006E47F3" w:rsidRDefault="006E47F3" w:rsidP="006E47F3">
      <w:r>
        <w:t>In this chapter, you have explored the fascinating world of unobtrusive research methods, which allow you to gather valuable data without directly interacting with the subjects under study. Here are the primary concepts covered in this chapter:</w:t>
      </w:r>
    </w:p>
    <w:p w14:paraId="3C7C75A8" w14:textId="77777777" w:rsidR="006E47F3" w:rsidRDefault="006E47F3" w:rsidP="006E47F3">
      <w:pPr>
        <w:pStyle w:val="ListParagraph"/>
        <w:numPr>
          <w:ilvl w:val="0"/>
          <w:numId w:val="323"/>
        </w:numPr>
      </w:pPr>
      <w:r>
        <w:t>Unobtrusive research methods: Definition, advantages, and limitations</w:t>
      </w:r>
    </w:p>
    <w:p w14:paraId="0DBA8C25" w14:textId="77777777" w:rsidR="006E47F3" w:rsidRDefault="006E47F3" w:rsidP="006E47F3">
      <w:pPr>
        <w:pStyle w:val="ListParagraph"/>
        <w:numPr>
          <w:ilvl w:val="0"/>
          <w:numId w:val="323"/>
        </w:numPr>
      </w:pPr>
      <w:r>
        <w:t>Content analysis: Studying human communication through texts</w:t>
      </w:r>
    </w:p>
    <w:p w14:paraId="489F2050" w14:textId="77777777" w:rsidR="006E47F3" w:rsidRDefault="006E47F3" w:rsidP="006E47F3">
      <w:pPr>
        <w:pStyle w:val="ListParagraph"/>
        <w:numPr>
          <w:ilvl w:val="0"/>
          <w:numId w:val="323"/>
        </w:numPr>
      </w:pPr>
      <w:r>
        <w:t>Hermeneutic analysis: Interpreting texts within their socio-historic context</w:t>
      </w:r>
    </w:p>
    <w:p w14:paraId="1BA771BC" w14:textId="77777777" w:rsidR="006E47F3" w:rsidRDefault="006E47F3" w:rsidP="006E47F3">
      <w:pPr>
        <w:pStyle w:val="ListParagraph"/>
        <w:numPr>
          <w:ilvl w:val="0"/>
          <w:numId w:val="323"/>
        </w:numPr>
      </w:pPr>
      <w:r>
        <w:t>Physical traces and material artifacts: Analyzing evidence left behind by humans</w:t>
      </w:r>
    </w:p>
    <w:p w14:paraId="01C2F684" w14:textId="77777777" w:rsidR="006E47F3" w:rsidRDefault="006E47F3" w:rsidP="006E47F3">
      <w:r>
        <w:t>Understanding these concepts is crucial for conducting successful research projects. Unobtrusive methods offer unique advantages, such as the ability to study behavior without influencing it, cost-effectiveness, and flexibility in data collection and analysis. By mastering content analysis and the interpretation of physical traces and artifacts, you can gain valuable insights into human behavior and social phenomena that may be difficult to access through other research methods.</w:t>
      </w:r>
    </w:p>
    <w:p w14:paraId="262A6820" w14:textId="77777777" w:rsidR="006E47F3" w:rsidRDefault="006E47F3" w:rsidP="006E47F3">
      <w:r>
        <w:lastRenderedPageBreak/>
        <w:t>However, it is essential to recognize the limitations of unobtrusive research, such as potential validity issues, the need to adapt research questions based on data availability, and the challenge of fully accounting for context. As you continue your journey in research, keep these limitations in mind and strive to develop strategies to mitigate them.</w:t>
      </w:r>
    </w:p>
    <w:p w14:paraId="71C8FAB0" w14:textId="6A9B1C9C" w:rsidR="00EE4745" w:rsidRPr="00EE4745" w:rsidRDefault="006E47F3" w:rsidP="006E47F3">
      <w:r>
        <w:t>I encourage you to explore these concepts further, both within and beyond this class. Consider how unobtrusive methods can be applied to your own research interests and how they can complement other research techniques. By deepening your understanding of these methods and their applications, you will be well-equipped to design and conduct rigorous, insightful research projects that contribute to our collective knowledge.</w:t>
      </w:r>
    </w:p>
    <w:p w14:paraId="70D0F6E9" w14:textId="77777777" w:rsidR="008E6D3D" w:rsidRPr="008E6D3D" w:rsidRDefault="008E6D3D" w:rsidP="001E04C3">
      <w:pPr>
        <w:keepNext/>
        <w:keepLines/>
      </w:pPr>
    </w:p>
    <w:p w14:paraId="02AF6090" w14:textId="77777777" w:rsidR="002C4E33" w:rsidRDefault="002C4E33" w:rsidP="000E309B">
      <w:pPr>
        <w:spacing w:line="360" w:lineRule="auto"/>
      </w:pPr>
    </w:p>
    <w:p w14:paraId="7449F4B4" w14:textId="6A4B6BDD" w:rsidR="00DF6737" w:rsidRDefault="00DF6737" w:rsidP="000E309B">
      <w:pPr>
        <w:spacing w:line="360" w:lineRule="auto"/>
        <w:sectPr w:rsidR="00DF6737" w:rsidSect="00FD08D0">
          <w:headerReference w:type="default" r:id="rId294"/>
          <w:pgSz w:w="12240" w:h="15840"/>
          <w:pgMar w:top="1440" w:right="1440" w:bottom="1440" w:left="1440" w:header="720" w:footer="720" w:gutter="0"/>
          <w:cols w:space="720"/>
          <w:docGrid w:linePitch="299"/>
        </w:sectPr>
      </w:pPr>
    </w:p>
    <w:p w14:paraId="5327D8C0" w14:textId="63F744E3" w:rsidR="00A626FE" w:rsidRPr="000E309B" w:rsidRDefault="001A2372" w:rsidP="003608F2">
      <w:pPr>
        <w:pStyle w:val="Heading2"/>
      </w:pPr>
      <w:bookmarkStart w:id="189" w:name="_Ref66886897"/>
      <w:bookmarkStart w:id="190" w:name="_Toc169156809"/>
      <w:r>
        <w:rPr>
          <w:noProof/>
        </w:rPr>
        <w:lastRenderedPageBreak/>
        <w:drawing>
          <wp:anchor distT="0" distB="0" distL="114300" distR="114300" simplePos="0" relativeHeight="251718740" behindDoc="0" locked="0" layoutInCell="1" allowOverlap="1" wp14:anchorId="66836C99" wp14:editId="5C86D2C4">
            <wp:simplePos x="0" y="0"/>
            <wp:positionH relativeFrom="column">
              <wp:align>right</wp:align>
            </wp:positionH>
            <wp:positionV relativeFrom="paragraph">
              <wp:posOffset>0</wp:posOffset>
            </wp:positionV>
            <wp:extent cx="1527048" cy="1527048"/>
            <wp:effectExtent l="0" t="0" r="0" b="0"/>
            <wp:wrapSquare wrapText="bothSides"/>
            <wp:docPr id="277452" name="Picture 27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52" name="Picture 277452"/>
                    <pic:cNvPicPr/>
                  </pic:nvPicPr>
                  <pic:blipFill>
                    <a:blip r:embed="rId295" cstate="print">
                      <a:extLst>
                        <a:ext uri="{BEBA8EAE-BF5A-486C-A8C5-ECC9F3942E4B}">
                          <a14:imgProps xmlns:a14="http://schemas.microsoft.com/office/drawing/2010/main">
                            <a14:imgLayer r:embed="rId29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27048" cy="1527048"/>
                    </a:xfrm>
                    <a:prstGeom prst="rect">
                      <a:avLst/>
                    </a:prstGeom>
                  </pic:spPr>
                </pic:pic>
              </a:graphicData>
            </a:graphic>
            <wp14:sizeRelH relativeFrom="margin">
              <wp14:pctWidth>0</wp14:pctWidth>
            </wp14:sizeRelH>
            <wp14:sizeRelV relativeFrom="margin">
              <wp14:pctHeight>0</wp14:pctHeight>
            </wp14:sizeRelV>
          </wp:anchor>
        </w:drawing>
      </w:r>
      <w:r w:rsidR="00671066">
        <w:t>1</w:t>
      </w:r>
      <w:r w:rsidR="00BA16B6">
        <w:t>4</w:t>
      </w:r>
      <w:r w:rsidR="00671066">
        <w:t xml:space="preserve">: </w:t>
      </w:r>
      <w:r w:rsidR="003608F2" w:rsidRPr="000E309B">
        <w:t>Interpretive Research</w:t>
      </w:r>
      <w:bookmarkEnd w:id="189"/>
      <w:bookmarkEnd w:id="190"/>
    </w:p>
    <w:p w14:paraId="10E9EAEA" w14:textId="20948899" w:rsidR="006E47F3" w:rsidRPr="006E47F3" w:rsidRDefault="0043273D" w:rsidP="0043273D">
      <w:pPr>
        <w:pStyle w:val="Heading3"/>
      </w:pPr>
      <w:bookmarkStart w:id="191" w:name="_Toc169156810"/>
      <w:r>
        <w:t>Introduction</w:t>
      </w:r>
      <w:bookmarkEnd w:id="191"/>
    </w:p>
    <w:p w14:paraId="5327D8C4" w14:textId="56F2FA03" w:rsidR="00A626FE" w:rsidRDefault="00B934B1" w:rsidP="0043273D">
      <w:r w:rsidRPr="00B934B1">
        <w:t>There are numerous issues that business owners need to think about regarding how culture affects consumer purchasing behavior. Do Christmas decorations at malls draw people in or turn away those whose religious beliefs do not celebrate the holiday? What influence do social norms like religion, family, education, and leisure activities have on where and what to buy when it comes to shopping? Should a retailer try to remain impartial when it comes to advertising and product selection, or should they cater to the majority? While marketing to a homogeneous group can be very easy (consider the food products supplied in an area mostly inhabited by Hasidic Jews), marketing on a regional or larger scale is far more challenging. The goal of interpretive research is to provide answers to "who lives here" queries, which are crucial for retailers.</w:t>
      </w:r>
    </w:p>
    <w:p w14:paraId="7413F222" w14:textId="22CB905A" w:rsidR="00643DCC" w:rsidRDefault="00E0031F" w:rsidP="00F40C81">
      <w:pPr>
        <w:pStyle w:val="IntenseQuote"/>
      </w:pPr>
      <w:r>
        <w:rPr>
          <w:noProof/>
        </w:rPr>
        <w:drawing>
          <wp:anchor distT="0" distB="0" distL="114300" distR="114300" simplePos="0" relativeHeight="251946068" behindDoc="0" locked="0" layoutInCell="1" allowOverlap="1" wp14:anchorId="766D9D3D" wp14:editId="6D03D707">
            <wp:simplePos x="0" y="0"/>
            <wp:positionH relativeFrom="column">
              <wp:align>right</wp:align>
            </wp:positionH>
            <wp:positionV relativeFrom="paragraph">
              <wp:posOffset>0</wp:posOffset>
            </wp:positionV>
            <wp:extent cx="914400" cy="914400"/>
            <wp:effectExtent l="19050" t="19050" r="19050" b="19050"/>
            <wp:wrapSquare wrapText="bothSides"/>
            <wp:docPr id="530856217"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F40C81">
        <w:t>Objectives</w:t>
      </w:r>
    </w:p>
    <w:p w14:paraId="0F409A5A" w14:textId="77777777" w:rsidR="00A94C5F" w:rsidRDefault="00A94C5F" w:rsidP="00A94C5F">
      <w:pPr>
        <w:pStyle w:val="Quote"/>
      </w:pPr>
      <w:r>
        <w:t>Define interpretive research and contrast its key assumptions and goals with those of positivist research. Students should be able to articulate the fundamental philosophical and methodological differences between these two research paradigms.</w:t>
      </w:r>
    </w:p>
    <w:p w14:paraId="68E25AFD" w14:textId="77777777" w:rsidR="00A94C5F" w:rsidRDefault="00A94C5F" w:rsidP="00A94C5F">
      <w:pPr>
        <w:pStyle w:val="Quote"/>
      </w:pPr>
      <w:r>
        <w:t>Explain the key characteristics of interpretive research, including naturalistic inquiry, the researcher's role as the primary instrument, the focus on participants' meanings and experiences, the importance of expressive language and temporality, and the iterative process of interpretation. Students should have a clear understanding of these core principles that underlie all interpretive studies.</w:t>
      </w:r>
    </w:p>
    <w:p w14:paraId="2643440C" w14:textId="77777777" w:rsidR="00A94C5F" w:rsidRDefault="00A94C5F" w:rsidP="00A94C5F">
      <w:pPr>
        <w:pStyle w:val="Quote"/>
      </w:pPr>
      <w:r>
        <w:t>Describe the main methods used for interpretive data collection, including interviews, direct observation, participant observation, and document analysis. Students should appreciate the range of techniques interpretive researchers employ to gather rich qualitative data in context.</w:t>
      </w:r>
    </w:p>
    <w:p w14:paraId="09156A79" w14:textId="77777777" w:rsidR="00A94C5F" w:rsidRDefault="00A94C5F" w:rsidP="00A94C5F">
      <w:pPr>
        <w:pStyle w:val="Quote"/>
      </w:pPr>
      <w:r>
        <w:t>Compare and contrast the key interpretive research designs of case research, action research, and ethnography. For each design, students should be able to discuss its unique focus, typical methods, analytical approach, strengths and limitations, and the types of research questions it is best suited to address.</w:t>
      </w:r>
    </w:p>
    <w:p w14:paraId="12A1B0BD" w14:textId="77777777" w:rsidR="00A94C5F" w:rsidRDefault="00A94C5F" w:rsidP="00A94C5F">
      <w:pPr>
        <w:pStyle w:val="Quote"/>
      </w:pPr>
      <w:r>
        <w:t xml:space="preserve">Evaluate the benefits and challenges of using interpretive research to study organizational phenomena. Students should be able to weigh the value of interpretive approaches for building theory, illuminating complex social dynamics, </w:t>
      </w:r>
      <w:r>
        <w:lastRenderedPageBreak/>
        <w:t>and generating novel insights against issues of generalizability, researcher subjectivity, time intensiveness, and contextual constraints.</w:t>
      </w:r>
    </w:p>
    <w:p w14:paraId="4743D67D" w14:textId="5EE5F837" w:rsidR="00F40C81" w:rsidRDefault="00A94C5F" w:rsidP="00A94C5F">
      <w:pPr>
        <w:pStyle w:val="Quote"/>
      </w:pPr>
      <w:r>
        <w:t>Apply the fundamental concepts and principles of interpretive research to assess the strengths and limitations of a published interpretive study. Given an example paper, students should be able to identify how it embodies key tenets of the interpretive paradigm and critically analyze the appropriateness and rigor of its methods in relation to the research question and setting.</w:t>
      </w:r>
    </w:p>
    <w:p w14:paraId="2C6E20A0" w14:textId="77777777" w:rsidR="00D4594F" w:rsidRDefault="00D4594F" w:rsidP="00D4594F">
      <w:r>
        <w:t>Positivist (or deductive) and interpretive (or inductive) research methods take fundamentally different approaches to studying social reality. Positivist methods, such as laboratory experiments and survey research, are used for testing theories or hypotheses. The researcher starts with a theory, then collects empirical data to test if the theory is supported. Classic examples of positivist research include double-blind pharmaceutical trials or nationally representative public opinion polls.</w:t>
      </w:r>
    </w:p>
    <w:p w14:paraId="7D85ED36" w14:textId="77777777" w:rsidR="00D4594F" w:rsidRDefault="00D4594F" w:rsidP="00D4594F">
      <w:r>
        <w:t>In contrast, interpretive methods like ethnography, case studies, and action research aim to build theories about social phenomena. The researcher begins by collecting data through techniques such as participant observation or open-ended interviews. They then analyze the data to identify patterns and construct a theory that explains those patterns. A classic example is Clifford Geertz's ethnographic research in Bali which developed theories about Balinese culture through detailed observations and interpretations of symbols, rituals, and artifacts.</w:t>
      </w:r>
    </w:p>
    <w:p w14:paraId="541ABD24" w14:textId="1EB4107C" w:rsidR="00D4594F" w:rsidRDefault="00D4594F" w:rsidP="00D4594F">
      <w:r>
        <w:t xml:space="preserve">These two paradigms make different assumptions about the nature of social reality. The positivist view sees reality as singular, objective, and relatively context independent. This means social phenomena can be studied in a controlled, objective way using standard measures that </w:t>
      </w:r>
      <w:r w:rsidR="00C87954">
        <w:t>are held</w:t>
      </w:r>
      <w:r>
        <w:t xml:space="preserve"> across different settings. The interpretive view sees reality as shaped by varied human experiences and social contexts. Social phenomena are embedded in specific times, places, and cultures and can only be understood by examining people's subjective interpretations within those contexts.</w:t>
      </w:r>
    </w:p>
    <w:p w14:paraId="20D6DE41" w14:textId="77777777" w:rsidR="00D4594F" w:rsidRDefault="00D4594F" w:rsidP="00D4594F"/>
    <w:p w14:paraId="6E1924B9" w14:textId="6F62A7F3" w:rsidR="00D4594F" w:rsidRDefault="00D4594F" w:rsidP="00D4594F">
      <w:r>
        <w:t xml:space="preserve">The terms "interpretive" and "qualitative" research are often used interchangeably, but they </w:t>
      </w:r>
      <w:r w:rsidR="00C87954">
        <w:t>refer</w:t>
      </w:r>
      <w:r>
        <w:t xml:space="preserve"> to different things. Interpretive research is a paradigm or philosophy about how to study social reality. Qualitative research is a set of data collection and analysis techniques that rely on non-numerical data like text, images, and symbols. </w:t>
      </w:r>
      <w:r w:rsidR="00C87954">
        <w:t>So,</w:t>
      </w:r>
      <w:r>
        <w:t xml:space="preserve"> while interpretive research often uses qualitative data, the two concepts are distinct.</w:t>
      </w:r>
    </w:p>
    <w:p w14:paraId="60CBF108" w14:textId="77777777" w:rsidR="00D4594F" w:rsidRDefault="00D4594F" w:rsidP="00D4594F">
      <w:r>
        <w:t xml:space="preserve">Qualitative data, such as observations from ethnographic field notes or transcripts of interviews, require different analysis techniques than quantitative data. Rather than statistical procedures, qualitative data is typically coded through content analysis to identify themes and patterns. Some researchers do quantify this coded data, for example by counting the frequency of certain themes. </w:t>
      </w:r>
      <w:r>
        <w:lastRenderedPageBreak/>
        <w:t>However, many interpretive researchers reject this approach, arguing that trying to quantify inherently subjective social phenomena is misguided.</w:t>
      </w:r>
    </w:p>
    <w:p w14:paraId="67D386A1" w14:textId="6294B449" w:rsidR="00D4594F" w:rsidRDefault="00D4594F" w:rsidP="00D4594F">
      <w:r>
        <w:t xml:space="preserve">That said, combining qualitative and quantitative data can provide a fuller understanding than either type alone. For instance, in her study of strategic decision-making in fast-paced industries, Kathleen Eisenhardt collected numeric data on decision speed and number of options considered. This precise quantitative data allowed clearer comparisons between firms, while her qualitative interviews with managers provided rich </w:t>
      </w:r>
      <w:r w:rsidR="00C87954">
        <w:t>details</w:t>
      </w:r>
      <w:r>
        <w:t xml:space="preserve"> about how they perceived the decision process and organizational dynamics. Using multiple, complementary data sources, sometimes called "mixed methods," is a powerful but underused approach in organizational research.</w:t>
      </w:r>
    </w:p>
    <w:p w14:paraId="22BC959B" w14:textId="77777777" w:rsidR="00D4594F" w:rsidRDefault="00D4594F" w:rsidP="00D4594F">
      <w:r>
        <w:t>Interpretive research has a long history in the social sciences, with roots in 19th century anthropology, sociology, and hermeneutics. For decades in the mid-20th century, positivist approaches dominated, and interpretive research was often dismissed as unscientific and biased. However, since the 1970s, scholars have formalized interpretive methodologies with more systematic procedures and evaluative criteria. This "interpretive turn" emerged in response to shortcomings of positivist research in explaining complex social phenomena. Today, interpretive research sits alongside positivist research as a legitimate and valuable paradigm for organizational scholars to consider.</w:t>
      </w:r>
    </w:p>
    <w:p w14:paraId="0941EE3C" w14:textId="79581117" w:rsidR="00643DCC" w:rsidRDefault="00D4594F" w:rsidP="00D4594F">
      <w:r>
        <w:t>The choice between positivist and interpretive research depends on the nature of the phenomenon being studied and the researcher's goals. Questions about highly context-dependent processes that are difficult to measure are often best tackled with an interpretive approach. Testing clear predictions deduced from prior theory generally calls for positivist approaches. Many of the most interesting and important questions about organizations require combining both paradigms for a fuller, more robust understanding.</w:t>
      </w:r>
    </w:p>
    <w:p w14:paraId="5327D8D1" w14:textId="16AF1B48" w:rsidR="00A626FE" w:rsidRPr="000E309B" w:rsidRDefault="003C3069" w:rsidP="003C3069">
      <w:pPr>
        <w:pStyle w:val="Heading3"/>
      </w:pPr>
      <w:bookmarkStart w:id="192" w:name="_Toc169156811"/>
      <w:r>
        <w:t>D</w:t>
      </w:r>
      <w:r w:rsidR="00D14B33" w:rsidRPr="000E309B">
        <w:t xml:space="preserve">istinctions </w:t>
      </w:r>
      <w:r>
        <w:t>F</w:t>
      </w:r>
      <w:r w:rsidR="00D14B33" w:rsidRPr="000E309B">
        <w:t xml:space="preserve">rom </w:t>
      </w:r>
      <w:r>
        <w:t>P</w:t>
      </w:r>
      <w:r w:rsidR="00D14B33" w:rsidRPr="000E309B">
        <w:t xml:space="preserve">ositivist </w:t>
      </w:r>
      <w:r>
        <w:t>R</w:t>
      </w:r>
      <w:r w:rsidR="00D14B33" w:rsidRPr="000E309B">
        <w:t>esearch</w:t>
      </w:r>
      <w:bookmarkEnd w:id="192"/>
    </w:p>
    <w:p w14:paraId="7C2D5D28" w14:textId="77777777" w:rsidR="0098370F" w:rsidRDefault="0098370F" w:rsidP="0098370F">
      <w:r>
        <w:t>Beyond philosophical differences, interpretive and positivist research differ in their sampling strategies. Interpretive research uses purposive sampling to deliberately select cases that are most relevant to the research question. For example, if a researcher wants to understand how leaders build trust in virtual teams, they would strategically sample leaders with significant experience managing remote workers, perhaps from different industries or countries to capture diverse perspectives. Sample size is less important than having insightful cases. In contrast, positivist research relies on random sampling to select cases that statistically represent the larger population. A positivist studying virtual team trust would randomly sample leaders from a database of remote managers to ensure the results generalize to the broader population of interest.</w:t>
      </w:r>
    </w:p>
    <w:p w14:paraId="207806BD" w14:textId="77777777" w:rsidR="0098370F" w:rsidRDefault="0098370F" w:rsidP="0098370F">
      <w:r>
        <w:t xml:space="preserve">The role of the researcher is also treated differently in interpretive and positivist studies. Interpretive research sees the researcher as an integral part of the social context being studied. In ethnography or participant observation, the researcher's own experiences, relationships, and participation in the culture are key data sources. Even in less immersive methods like case studies, </w:t>
      </w:r>
      <w:r>
        <w:lastRenderedPageBreak/>
        <w:t>the researcher's identity, background, and preconceptions are seen as inevitably shaping the interpretations they develop. Interpretive researchers must be self-reflective about their role and disclose relevant personal information to be transparent about their perspective.</w:t>
      </w:r>
    </w:p>
    <w:p w14:paraId="2442F77E" w14:textId="39E23148" w:rsidR="0098370F" w:rsidRDefault="0098370F" w:rsidP="0098370F">
      <w:r>
        <w:t>In contrast, positivist research sees the researcher as independent from what is being studied. Any influence of the researcher on the data is seen as a potential bias to be minimized through controls and standardized protocols. The researcher's personal characteristics and experiences are not considered relevant if they follow established data collection and analysis procedures.</w:t>
      </w:r>
    </w:p>
    <w:p w14:paraId="5ADE136B" w14:textId="77777777" w:rsidR="0098370F" w:rsidRDefault="0098370F" w:rsidP="0098370F">
      <w:r>
        <w:t>Interpretive research also aims for a more holistic understanding of social phenomena, while positivist research tends to be more reductionistic. Interpretive analysis looks at the big picture of how different elements like actions, language, relationships, and context interconnect to create meaning. For example, an interpretive study of corporate culture would examine how a company's history, stories, rituals, physical spaces, and interactions all fit together to shape employees' shared understandings and experiences. A positivist study would be more likely to isolate specific elements of culture like values or norms and measure them separately.</w:t>
      </w:r>
    </w:p>
    <w:p w14:paraId="36A4A7A7" w14:textId="77777777" w:rsidR="0098370F" w:rsidRDefault="0098370F" w:rsidP="0098370F">
      <w:r>
        <w:t>This holistic approach relates to another difference, which is that interpretive research allows much more flexibility to adjust the research process based on early findings. Interpretive data collection and analysis happen simultaneously so that insights from initial data can shape later data gathering. If a researcher finds that their original interview questions are not capturing important parts of the phenomenon, they can add new questions or change their focus, sometimes even shifting their research question.</w:t>
      </w:r>
    </w:p>
    <w:p w14:paraId="26C60B20" w14:textId="77777777" w:rsidR="0098370F" w:rsidRDefault="0098370F" w:rsidP="0098370F">
      <w:r>
        <w:t>In contrast, positivist research requires that all data collection follows a standardized protocol. Any changes to that protocol would invalidate the data and require starting over. This makes positivist research less adaptable but also ensures consistency across researchers and settings. There are pros and cons to both approaches.</w:t>
      </w:r>
    </w:p>
    <w:p w14:paraId="603378DE" w14:textId="74AEE784" w:rsidR="00E67791" w:rsidRDefault="0098370F" w:rsidP="0098370F">
      <w:r>
        <w:t>In sum, interpretive and positivist research differs not just in abstract philosophy but in concrete research practices around sampling, researcher role, analytical approach, and flexibility. Interpretive research prioritizes relevance over representativeness, sees the researcher as embedded in the social context, analyzes phenomena holistically, and adapts flexibly to new insights. Positivist research prioritizes generalizability, sees researchers as independent observers, analyzes components separately, and follows standardized linear protocols. While these different approaches can sometimes be complementary, they often represent distinct pathways to understanding that researchers must choose between based on their research questions and goals.</w:t>
      </w:r>
    </w:p>
    <w:p w14:paraId="5327D8D6" w14:textId="45E28291" w:rsidR="00A626FE" w:rsidRPr="000E309B" w:rsidRDefault="00A60FF1" w:rsidP="00A60FF1">
      <w:pPr>
        <w:pStyle w:val="Heading3"/>
      </w:pPr>
      <w:bookmarkStart w:id="193" w:name="_Toc169156812"/>
      <w:r>
        <w:t>B</w:t>
      </w:r>
      <w:r w:rsidR="00D14B33" w:rsidRPr="000E309B">
        <w:t xml:space="preserve">enefits </w:t>
      </w:r>
      <w:r>
        <w:t>A</w:t>
      </w:r>
      <w:r w:rsidR="00D14B33" w:rsidRPr="000E309B">
        <w:t xml:space="preserve">nd </w:t>
      </w:r>
      <w:r>
        <w:t>C</w:t>
      </w:r>
      <w:r w:rsidR="00D14B33" w:rsidRPr="000E309B">
        <w:t xml:space="preserve">hallenges </w:t>
      </w:r>
      <w:r w:rsidR="0098370F">
        <w:t>o</w:t>
      </w:r>
      <w:r w:rsidR="00D14B33" w:rsidRPr="000E309B">
        <w:t xml:space="preserve">f </w:t>
      </w:r>
      <w:r>
        <w:t>I</w:t>
      </w:r>
      <w:r w:rsidR="00D14B33" w:rsidRPr="000E309B">
        <w:t xml:space="preserve">nterpretive </w:t>
      </w:r>
      <w:r>
        <w:t>R</w:t>
      </w:r>
      <w:r w:rsidR="00D14B33" w:rsidRPr="000E309B">
        <w:t>esearch</w:t>
      </w:r>
      <w:bookmarkEnd w:id="193"/>
    </w:p>
    <w:p w14:paraId="3433CC32" w14:textId="77777777" w:rsidR="00467DB1" w:rsidRDefault="00467DB1" w:rsidP="00467DB1">
      <w:r>
        <w:t xml:space="preserve">Interpretive research offers several unique strengths for organizational scholars. First, it is particularly well-suited for exploring the hidden reasons behind complex social processes that are difficult to measure quantitatively. For example, inter-firm relationships often involve informal </w:t>
      </w:r>
      <w:r>
        <w:lastRenderedPageBreak/>
        <w:t>interactions, unwritten norms, and political maneuvering that can be hard to capture in a survey but may become apparent through interviews or observation. Similarly, quantitative measures of "organizational culture" can only scratch the surface of the deep shared meanings and assumptions that drive behavior, which interpretive methods can reveal.</w:t>
      </w:r>
    </w:p>
    <w:p w14:paraId="62B17417" w14:textId="77777777" w:rsidR="00467DB1" w:rsidRDefault="00467DB1" w:rsidP="00467DB1">
      <w:r>
        <w:t>Interpretive research is also invaluable for building theory in new or under-theorized areas. When little is known about a phenomenon, rich qualitative data can provide the foundation for new conceptual frameworks that future studies can test. Inductive theory-building was critical for early research on topics like organizational learning, identity, and sensemaking that are now well-established.</w:t>
      </w:r>
    </w:p>
    <w:p w14:paraId="671201E7" w14:textId="77777777" w:rsidR="00467DB1" w:rsidRDefault="00467DB1" w:rsidP="00467DB1">
      <w:r>
        <w:t>Another key strength of interpretive research is its ability to capture idiosyncratic or rare phenomena. Positivist research aims to make general claims by studying large representative samples, but this doesn't work well for unique events or non-normal cases. An interpretive case study can richly describe a singular situation like a rare corporate scandal or successful turnaround to illuminate new theoretical possibilities.</w:t>
      </w:r>
    </w:p>
    <w:p w14:paraId="02027956" w14:textId="77777777" w:rsidR="00467DB1" w:rsidRDefault="00467DB1" w:rsidP="00467DB1">
      <w:r>
        <w:t>Interpretive studies are also powerful for uncovering new questions and constructs that quantitative research can overlook. Talking to people close to a phenomenon can reveal critical issues researchers didn't know to ask about. An interpretive study of a new technology might identify previously unknown barriers to adoption, paving the way for larger-scale quantitative studies on those barriers. Many important organizational concepts like psychological safety and creative abrasion first emerged from inductive interpretive research.</w:t>
      </w:r>
    </w:p>
    <w:p w14:paraId="6E935CCA" w14:textId="77777777" w:rsidR="00467DB1" w:rsidRDefault="00467DB1" w:rsidP="00467DB1">
      <w:r>
        <w:t>Despite these strengths, interpretive research also faces distinct challenges. Collecting and analyzing qualitative data is often more time- and labor-intensive than running a survey or analyzing secondary datasets. Careful interviewing, transcription, coding, and triangulation of sources can take months or years. Interpretive researchers must also be skilled at drawing out participants' true experiences and meanings while minimizing the influence of their own biases and preconceptions. This requires both strong interviewing techniques and continuous self-reflection.</w:t>
      </w:r>
    </w:p>
    <w:p w14:paraId="26BB7909" w14:textId="77777777" w:rsidR="00467DB1" w:rsidRDefault="00467DB1" w:rsidP="00467DB1">
      <w:r>
        <w:t>Participants' credibility and trustworthiness is also a central challenge in interpretive research. For sensitive topics like corporate strategy or misconduct, participants may have incentives to conceal or distort key details. Building trust is critical but can be difficult and time-consuming. Even with trust, participants may lack complete knowledge or have their own agendas. Interpretive researchers must be adept at reading between the lines to get to the underlying truth.</w:t>
      </w:r>
    </w:p>
    <w:p w14:paraId="22A333BC" w14:textId="77777777" w:rsidR="00467DB1" w:rsidRDefault="00467DB1" w:rsidP="00467DB1">
      <w:r>
        <w:t>Another key weakness of interpretive research is that its findings are strongly tied to the specific context studied. Unlike positivist research which aims to generate universal laws that hold across contexts, interpretive theories are often "mid-range," applicable within the set of circumstances studied but not necessarily beyond. Positivists see this as a major flaw, while interpretivists see it as an inevitable reflection of social phenomena's contextual nature.</w:t>
      </w:r>
    </w:p>
    <w:p w14:paraId="4903D348" w14:textId="77777777" w:rsidR="00467DB1" w:rsidRDefault="00467DB1" w:rsidP="00467DB1">
      <w:r>
        <w:lastRenderedPageBreak/>
        <w:t>Finally, because interpretive research is open-ended, it doesn't always generate clear answers to specific questions or precise predictions. Interpretive studies can illuminate the dynamics and dilemmas of a strategic planning process without saying which specific strategy is best. The insights are often more about framing issues in new ways than providing definitive solutions.</w:t>
      </w:r>
    </w:p>
    <w:p w14:paraId="5327D8E2" w14:textId="043F3790" w:rsidR="00A626FE" w:rsidRPr="000E309B" w:rsidRDefault="00467DB1" w:rsidP="00DC6013">
      <w:r>
        <w:t xml:space="preserve">In conclusion, interpretive research has both key strengths and important limitations. It is invaluable for theory-building, studying complex social dynamics, and revealing new questions and concepts, especially for novel or idiosyncratic phenomena. But it can be time-consuming, vulnerable to participant biases, and highly </w:t>
      </w:r>
      <w:r w:rsidR="007B2F44">
        <w:t>context dependent</w:t>
      </w:r>
      <w:r>
        <w:t>. Like any research approach, it is well-suited for some questions and less so for others. Organizational research benefits from leveraging both interpretive and positivist approaches for their complementary insights.</w:t>
      </w:r>
    </w:p>
    <w:p w14:paraId="5327D8E3" w14:textId="74AA0E4F" w:rsidR="00A626FE" w:rsidRPr="000E309B" w:rsidRDefault="00A60FF1" w:rsidP="00A60FF1">
      <w:pPr>
        <w:pStyle w:val="Heading3"/>
      </w:pPr>
      <w:bookmarkStart w:id="194" w:name="_Toc169156813"/>
      <w:r>
        <w:t>C</w:t>
      </w:r>
      <w:r w:rsidR="00D14B33" w:rsidRPr="000E309B">
        <w:t xml:space="preserve">haracteristics </w:t>
      </w:r>
      <w:r w:rsidR="000F3555">
        <w:t>o</w:t>
      </w:r>
      <w:r w:rsidR="00D14B33" w:rsidRPr="000E309B">
        <w:t xml:space="preserve">f </w:t>
      </w:r>
      <w:r>
        <w:t>I</w:t>
      </w:r>
      <w:r w:rsidR="00D14B33" w:rsidRPr="000E309B">
        <w:t xml:space="preserve">nterpretive </w:t>
      </w:r>
      <w:r>
        <w:t>R</w:t>
      </w:r>
      <w:r w:rsidR="00D14B33" w:rsidRPr="000E309B">
        <w:t>esearch</w:t>
      </w:r>
      <w:bookmarkEnd w:id="194"/>
    </w:p>
    <w:p w14:paraId="41AC61A7" w14:textId="77777777" w:rsidR="00E74D0F" w:rsidRDefault="00E74D0F" w:rsidP="00E74D0F">
      <w:r>
        <w:t>While interpretive research is a diverse field, several core principles underlie all interpretive studies. The first is naturalistic inquiry, which means studying social phenomena in their natural context. Interpretivists believe social realities cannot be understood in isolation from the rich tapestry of meanings, practices, and relationships that shape them. For example, to understand the culture of a workplace, a researcher must observe how people interact, communicate, and collaborate in that specific organization over time. The insights will be specific to that context, limiting generalizability but providing deep understanding. This contrasts with positivist research which often tries to study phenomena in controlled, decontextualized settings for maximum generalizability.</w:t>
      </w:r>
    </w:p>
    <w:p w14:paraId="479C927B" w14:textId="77777777" w:rsidR="00E74D0F" w:rsidRDefault="00E74D0F" w:rsidP="00E74D0F">
      <w:r>
        <w:t>The second principle positions the researcher as the key instrument of data collection. Interpretive researchers are deeply embedded in the social worlds they study, using their own senses, intuitions, and relationships as much as formal protocols to generate insights. An ethnographer studying a community must build trust, observe keenly, and draw on their own experiences to interpret what they see. This requires constant reflexivity about one's own biases and reactions. It contrasts sharply with the positivist ideal of the researcher as a detached, neutral observer whose subjectivity must be minimized.</w:t>
      </w:r>
    </w:p>
    <w:p w14:paraId="58572254" w14:textId="77777777" w:rsidR="00E74D0F" w:rsidRDefault="00E74D0F" w:rsidP="00E74D0F">
      <w:r>
        <w:t>Interpretive analysis, the third principle, involves making sense of data from the perspective of the people being studied. The researcher must first understand participants' own meanings and experiences, often by developing empathy and a rich understanding of their world. They must then convey those meanings to outsiders through vivid, contextualized descriptions. This is often described as providing a "thick description" - a detailed narrative that brings to life the views and experiences of the actors in their own terms.</w:t>
      </w:r>
    </w:p>
    <w:p w14:paraId="4805FC08" w14:textId="77777777" w:rsidR="00E74D0F" w:rsidRDefault="00E74D0F" w:rsidP="00E74D0F">
      <w:r>
        <w:t xml:space="preserve">Doing this requires attending closely to participants' expressive language. Interpretive research takes seriously the specific words, metaphors, stories, and expressions people use as a window into their understandings. An interpretive scholar would carefully analyze the language a leader uses in a speech or the stories employees tell about a change initiative to understand their </w:t>
      </w:r>
      <w:r>
        <w:lastRenderedPageBreak/>
        <w:t>significance, rather than simply categorizing or counting them as a positivist would. The goal is to capture the emotion and humanity behind the data.</w:t>
      </w:r>
    </w:p>
    <w:p w14:paraId="030C6F11" w14:textId="77777777" w:rsidR="00E74D0F" w:rsidRDefault="00E74D0F" w:rsidP="00E74D0F">
      <w:r>
        <w:t>Another key interpretive principle is that social phenomena are fundamentally temporal and must be studied as dynamic processes, not static snapshots. Interpretive research requires extended immersion in a social setting to trace how understandings and practices emerge and change. For instance, a researcher studying how a new technology disrupts an industry would need to spend years observing the process to see how perceptions shift over time as people grapple with the technology's implications. Cross-sectional surveys could not capture this temporal evolution.</w:t>
      </w:r>
    </w:p>
    <w:p w14:paraId="19076817" w14:textId="77777777" w:rsidR="00E74D0F" w:rsidRDefault="00E74D0F" w:rsidP="00E74D0F">
      <w:r>
        <w:t>Finally, interpretive research follows an iterative "hermeneutic circle" of interpretation. The researcher must constantly move between the specific details they observe and their evolving overall understanding, using each to inform the other. For example, in studying innovation in a firm, a researcher would compare specific new ideas and projects to their emerging understanding of the company's overall innovation culture and strategy, then use those comparisons to refine both their specific and general knowledge. This cycle continues until the researcher reaches "theoretical saturation," where new observations no longer change their interpretations.</w:t>
      </w:r>
    </w:p>
    <w:p w14:paraId="73E7E6C2" w14:textId="109EA253" w:rsidR="00A631D2" w:rsidRDefault="00E74D0F" w:rsidP="00E74D0F">
      <w:r>
        <w:t>These principles of naturalistic inquiry, researcher-as-instrument, interpretive analysis, expressive language, temporality, and the hermeneutic circle define interpretive research as a paradigm. While specific interpretive methods vary widely, they all share a commitment to understanding social realities in context, in depth, and over time, through engagement and interpretation rather than detached measurement. By surfacing hidden meanings and reconciling diverse perspectives, interpretive research can produce nuanced understandings of even the most complex organizational phenomena.</w:t>
      </w:r>
    </w:p>
    <w:p w14:paraId="5327D8EB" w14:textId="47FB6B52" w:rsidR="00A626FE" w:rsidRPr="000E309B" w:rsidRDefault="00A60FF1" w:rsidP="00A60FF1">
      <w:pPr>
        <w:pStyle w:val="Heading3"/>
      </w:pPr>
      <w:bookmarkStart w:id="195" w:name="_Toc169156814"/>
      <w:r>
        <w:t>I</w:t>
      </w:r>
      <w:r w:rsidR="00D14B33" w:rsidRPr="000E309B">
        <w:t xml:space="preserve">nterpretive </w:t>
      </w:r>
      <w:r>
        <w:t>D</w:t>
      </w:r>
      <w:r w:rsidR="00D14B33" w:rsidRPr="000E309B">
        <w:t xml:space="preserve">ata </w:t>
      </w:r>
      <w:r>
        <w:t>C</w:t>
      </w:r>
      <w:r w:rsidR="00D14B33" w:rsidRPr="000E309B">
        <w:t>ollection</w:t>
      </w:r>
      <w:bookmarkEnd w:id="195"/>
    </w:p>
    <w:p w14:paraId="5327D8EE" w14:textId="555DABD4" w:rsidR="00A626FE" w:rsidRPr="000E309B" w:rsidRDefault="009E6921" w:rsidP="009E6921">
      <w:r w:rsidRPr="009E6921">
        <w:t>Interpretive research employs a range of methods for gathering data. Interviewing is the most common method (for further information on interviews, see Chapter 1</w:t>
      </w:r>
      <w:r>
        <w:t>1</w:t>
      </w:r>
      <w:r w:rsidRPr="009E6921">
        <w:t>).  The second method is to observe. Typically, two kinds of observation are employed. As in case study, direct observation involves researchers acting as an impartial, detached third-party observer. As in action research, participant observation involves researchers as active participants. Examining internal and external documents, such as newspaper stories and memos, can provide more context or support other evidence. This is the third method of document examination.</w:t>
      </w:r>
    </w:p>
    <w:p w14:paraId="5327D8EF" w14:textId="6D9EB4E4" w:rsidR="00A626FE" w:rsidRPr="000E309B" w:rsidRDefault="00A60FF1" w:rsidP="00A60FF1">
      <w:pPr>
        <w:pStyle w:val="Heading3"/>
      </w:pPr>
      <w:bookmarkStart w:id="196" w:name="_Toc169156815"/>
      <w:r>
        <w:t>I</w:t>
      </w:r>
      <w:r w:rsidR="00D14B33" w:rsidRPr="000E309B">
        <w:t xml:space="preserve">nterpretive </w:t>
      </w:r>
      <w:r>
        <w:t>R</w:t>
      </w:r>
      <w:r w:rsidR="00D14B33" w:rsidRPr="000E309B">
        <w:t xml:space="preserve">esearch </w:t>
      </w:r>
      <w:r>
        <w:t>D</w:t>
      </w:r>
      <w:r w:rsidR="00D14B33" w:rsidRPr="000E309B">
        <w:t>esigns</w:t>
      </w:r>
      <w:bookmarkEnd w:id="196"/>
    </w:p>
    <w:p w14:paraId="5327D8F0" w14:textId="5B972666" w:rsidR="00A626FE" w:rsidRPr="000E309B" w:rsidRDefault="00D14B33" w:rsidP="00AA4BDE">
      <w:pPr>
        <w:pStyle w:val="Heading4"/>
      </w:pPr>
      <w:r w:rsidRPr="000E309B">
        <w:t>Case research.</w:t>
      </w:r>
    </w:p>
    <w:p w14:paraId="309F19E1" w14:textId="77777777" w:rsidR="00A8401C" w:rsidRDefault="00A8401C" w:rsidP="00A8401C">
      <w:r>
        <w:t xml:space="preserve">Case research is an in-depth study of a phenomenon in its real-world context, usually at one or a few sites over an extended period. Unlike a case description which simply tells the story of a specific situation, case research is a formal method that uses data from case studies to derive explanations and build or test theories. Researchers gather rich data from interviews, </w:t>
      </w:r>
      <w:r>
        <w:lastRenderedPageBreak/>
        <w:t>observations, documents, and artifacts, and analyze it to generate detailed, context-specific insights.</w:t>
      </w:r>
    </w:p>
    <w:p w14:paraId="2BC5A687" w14:textId="77777777" w:rsidR="00A8401C" w:rsidRDefault="00A8401C" w:rsidP="00A8401C">
      <w:r>
        <w:t>Case research has several advantages over methods like experiments and surveys. Most importantly, it can be used for both theory building and theory testing, while positivist methods only allow for testing. Cases enable researchers to explore new ideas and constructs that emerge from the data, and to modify their questions midstream - luxuries experiments do not allow. Case data also provides richer, more holistic insights by revealing the contextual nuances and multiple participant perspectives shaping a phenomenon.</w:t>
      </w:r>
    </w:p>
    <w:p w14:paraId="01EB5528" w14:textId="78B11685" w:rsidR="00A8401C" w:rsidRDefault="00A8401C" w:rsidP="00A8401C">
      <w:r>
        <w:t>However, case research also has limitations. The lack of control makes it harder to draw causal inferences (internal validity). The depth of insight depends heavily on the researcher's own skills and experience. And the contextual nature of the findings can limit their generalizability to other settings.</w:t>
      </w:r>
    </w:p>
    <w:p w14:paraId="6454282C" w14:textId="77777777" w:rsidR="00A8401C" w:rsidRDefault="00A8401C" w:rsidP="00A8401C">
      <w:r>
        <w:t>Researchers must make several key decisions in designing case research. Is the case method appropriate for the research question? What is the right unit of analysis - individual, group, organization, or multi-level? Is a single or multiple case design better for the goals? What sites will provide the best data to answer the question? How can rigor be maximized? What data collection techniques should be used? Each decision shapes the nature of the study.</w:t>
      </w:r>
    </w:p>
    <w:p w14:paraId="1566F0C4" w14:textId="77777777" w:rsidR="00A8401C" w:rsidRDefault="00A8401C" w:rsidP="00A8401C">
      <w:r>
        <w:t>Most case research uses an interpretive approach to inductively build new theories. The process is fluid but typically includes the following steps:</w:t>
      </w:r>
    </w:p>
    <w:p w14:paraId="1496C4F7" w14:textId="7BB3A03D" w:rsidR="00A8401C" w:rsidRDefault="00A8401C" w:rsidP="00A8401C">
      <w:pPr>
        <w:pStyle w:val="ListParagraph"/>
        <w:numPr>
          <w:ilvl w:val="0"/>
          <w:numId w:val="349"/>
        </w:numPr>
      </w:pPr>
      <w:r>
        <w:t>Defining research questions theoretically and identifying preliminary constructs</w:t>
      </w:r>
      <w:r w:rsidR="00E34530">
        <w:t>.</w:t>
      </w:r>
    </w:p>
    <w:p w14:paraId="770EECA0" w14:textId="5A4A22A6" w:rsidR="00A8401C" w:rsidRDefault="00A8401C" w:rsidP="00A8401C">
      <w:pPr>
        <w:pStyle w:val="ListParagraph"/>
        <w:numPr>
          <w:ilvl w:val="0"/>
          <w:numId w:val="349"/>
        </w:numPr>
      </w:pPr>
      <w:r>
        <w:t>Selecting case sites through theoretical sampling to maximize relevant variation</w:t>
      </w:r>
      <w:r w:rsidR="00E34530">
        <w:t>.</w:t>
      </w:r>
    </w:p>
    <w:p w14:paraId="1298BF79" w14:textId="692026CC" w:rsidR="00A8401C" w:rsidRDefault="00A8401C" w:rsidP="00A8401C">
      <w:pPr>
        <w:pStyle w:val="ListParagraph"/>
        <w:numPr>
          <w:ilvl w:val="0"/>
          <w:numId w:val="349"/>
        </w:numPr>
      </w:pPr>
      <w:r>
        <w:t>Creating interview protocols and other data gathering instruments</w:t>
      </w:r>
      <w:r w:rsidR="00E34530">
        <w:t>.</w:t>
      </w:r>
    </w:p>
    <w:p w14:paraId="08F6367D" w14:textId="117D60EA" w:rsidR="00A8401C" w:rsidRDefault="00A8401C" w:rsidP="00A8401C">
      <w:pPr>
        <w:pStyle w:val="ListParagraph"/>
        <w:numPr>
          <w:ilvl w:val="0"/>
          <w:numId w:val="349"/>
        </w:numPr>
      </w:pPr>
      <w:r>
        <w:t>Selecting diverse respondents who can shed light on the phenomenon</w:t>
      </w:r>
      <w:r w:rsidR="00E34530">
        <w:t>.</w:t>
      </w:r>
    </w:p>
    <w:p w14:paraId="68950F5B" w14:textId="11FBADB4" w:rsidR="00A8401C" w:rsidRDefault="00A8401C" w:rsidP="00A8401C">
      <w:pPr>
        <w:pStyle w:val="ListParagraph"/>
        <w:numPr>
          <w:ilvl w:val="0"/>
          <w:numId w:val="349"/>
        </w:numPr>
      </w:pPr>
      <w:r>
        <w:t>Collecting data through interviews, observation, documents, artifacts</w:t>
      </w:r>
      <w:r w:rsidR="00E34530">
        <w:t>.</w:t>
      </w:r>
    </w:p>
    <w:p w14:paraId="397B0DDF" w14:textId="7F438ACF" w:rsidR="00A8401C" w:rsidRDefault="00A8401C" w:rsidP="00A8401C">
      <w:pPr>
        <w:pStyle w:val="ListParagraph"/>
        <w:numPr>
          <w:ilvl w:val="0"/>
          <w:numId w:val="349"/>
        </w:numPr>
      </w:pPr>
      <w:r>
        <w:t>Conducting within-case analysis to identify emerging concepts and patterns</w:t>
      </w:r>
      <w:r w:rsidR="00E34530">
        <w:t>.</w:t>
      </w:r>
    </w:p>
    <w:p w14:paraId="40CFE87F" w14:textId="5D311EC9" w:rsidR="00A8401C" w:rsidRDefault="00A8401C" w:rsidP="00A8401C">
      <w:pPr>
        <w:pStyle w:val="ListParagraph"/>
        <w:numPr>
          <w:ilvl w:val="0"/>
          <w:numId w:val="349"/>
        </w:numPr>
      </w:pPr>
      <w:r>
        <w:t>Conducting cross-case analysis to look for similarities and differences across sites</w:t>
      </w:r>
      <w:r w:rsidR="00E34530">
        <w:t>.</w:t>
      </w:r>
    </w:p>
    <w:p w14:paraId="03172ABB" w14:textId="4076DAF6" w:rsidR="00A8401C" w:rsidRDefault="00A8401C" w:rsidP="00A8401C">
      <w:pPr>
        <w:pStyle w:val="ListParagraph"/>
        <w:numPr>
          <w:ilvl w:val="0"/>
          <w:numId w:val="349"/>
        </w:numPr>
      </w:pPr>
      <w:r>
        <w:t>Building hypotheses and iteratively comparing them to the data to refine the emerging theory</w:t>
      </w:r>
      <w:r w:rsidR="00E34530">
        <w:t>.</w:t>
      </w:r>
    </w:p>
    <w:p w14:paraId="2ACEEC33" w14:textId="2ABAF652" w:rsidR="00A8401C" w:rsidRDefault="00A8401C" w:rsidP="00A8401C">
      <w:pPr>
        <w:pStyle w:val="ListParagraph"/>
        <w:numPr>
          <w:ilvl w:val="0"/>
          <w:numId w:val="349"/>
        </w:numPr>
      </w:pPr>
      <w:r>
        <w:t>Writing up the findings with transparent description of the methods for credibility</w:t>
      </w:r>
      <w:r w:rsidR="00E34530">
        <w:t>.</w:t>
      </w:r>
    </w:p>
    <w:p w14:paraId="5F483712" w14:textId="77777777" w:rsidR="00A8401C" w:rsidRDefault="00A8401C" w:rsidP="00A8401C">
      <w:r>
        <w:t>When done well, this process immerses the researcher in the world of the cases and allows relevant theoretical insights to gradually crystallize. For example, Eisenhardt's famous study of decision-making in high-tech firms started with tentative ideas about how executives make fast strategic decisions, but her team's in-depth case work across multiple companies enabled her to build a influential new theory of "strategic decision speed."</w:t>
      </w:r>
    </w:p>
    <w:p w14:paraId="6A1C0BC9" w14:textId="77777777" w:rsidR="00A8401C" w:rsidRDefault="00A8401C" w:rsidP="00A8401C">
      <w:r>
        <w:t xml:space="preserve">However, case research is easy to get wrong. Common problems include starting with vague questions, selecting sites opportunistically, failing to triangulate data sources, providing </w:t>
      </w:r>
      <w:r>
        <w:lastRenderedPageBreak/>
        <w:t>insufficient methods detail, and not tracking phenomena longitudinally. Careful research design on the front end is essential for successful case research.</w:t>
      </w:r>
    </w:p>
    <w:p w14:paraId="626D0BCF" w14:textId="7076BF2A" w:rsidR="00E57331" w:rsidRDefault="00A8401C" w:rsidP="00A8401C">
      <w:r>
        <w:t xml:space="preserve">In sum, case research is a powerful but demanding qualitative method. When skillfully applied to questions that leverage its strengths, it can yield rich theoretical insights unattainable through other methods. As organizational phenomena become increasingly complex and fast-changing, case research's sensitivity to context and process </w:t>
      </w:r>
      <w:r w:rsidR="00E34530">
        <w:t>makes</w:t>
      </w:r>
      <w:r>
        <w:t xml:space="preserve"> it an increasingly indispensable tool for building and testing theory. However, its flexibility is a double-edged sword, requiring deep researcher judgment to manage. Those seeking to conduct case research must learn the method well and carefully apply it to appropriate research questions. When done well, it can be a highly fruitful way to develop novel ideas and grounded theory about the fascinating world of organizations.</w:t>
      </w:r>
    </w:p>
    <w:tbl>
      <w:tblPr>
        <w:tblStyle w:val="ListTable3-Accent3"/>
        <w:tblW w:w="0" w:type="auto"/>
        <w:tblLayout w:type="fixed"/>
        <w:tblCellMar>
          <w:left w:w="0" w:type="dxa"/>
          <w:right w:w="0" w:type="dxa"/>
        </w:tblCellMar>
        <w:tblLook w:val="0420" w:firstRow="1" w:lastRow="0" w:firstColumn="0" w:lastColumn="0" w:noHBand="0" w:noVBand="1"/>
      </w:tblPr>
      <w:tblGrid>
        <w:gridCol w:w="8496"/>
      </w:tblGrid>
      <w:tr w:rsidR="00E57331" w14:paraId="7534AE32" w14:textId="77777777" w:rsidTr="00620824">
        <w:trPr>
          <w:cnfStyle w:val="100000000000" w:firstRow="1" w:lastRow="0" w:firstColumn="0" w:lastColumn="0" w:oddVBand="0" w:evenVBand="0" w:oddHBand="0" w:evenHBand="0" w:firstRowFirstColumn="0" w:firstRowLastColumn="0" w:lastRowFirstColumn="0" w:lastRowLastColumn="0"/>
        </w:trPr>
        <w:tc>
          <w:tcPr>
            <w:tcW w:w="8496" w:type="dxa"/>
          </w:tcPr>
          <w:p w14:paraId="66D42FA5" w14:textId="77777777" w:rsidR="00E57331" w:rsidRPr="004A477F" w:rsidRDefault="00E57331" w:rsidP="00620824">
            <w:pPr>
              <w:rPr>
                <w:rFonts w:asciiTheme="majorHAnsi" w:hAnsiTheme="majorHAnsi" w:cstheme="majorHAnsi"/>
                <w:sz w:val="28"/>
                <w:szCs w:val="28"/>
              </w:rPr>
            </w:pPr>
            <w:r>
              <w:rPr>
                <w:rFonts w:asciiTheme="majorHAnsi" w:hAnsiTheme="majorHAnsi" w:cstheme="majorHAnsi"/>
                <w:smallCaps/>
                <w:spacing w:val="40"/>
                <w:sz w:val="28"/>
                <w:szCs w:val="28"/>
              </w:rPr>
              <w:t>Case Research vs. Case Description</w:t>
            </w:r>
          </w:p>
        </w:tc>
      </w:tr>
      <w:tr w:rsidR="00E57331" w14:paraId="37C01B28" w14:textId="77777777" w:rsidTr="00620824">
        <w:trPr>
          <w:cnfStyle w:val="000000100000" w:firstRow="0" w:lastRow="0" w:firstColumn="0" w:lastColumn="0" w:oddVBand="0" w:evenVBand="0" w:oddHBand="1" w:evenHBand="0" w:firstRowFirstColumn="0" w:firstRowLastColumn="0" w:lastRowFirstColumn="0" w:lastRowLastColumn="0"/>
        </w:trPr>
        <w:tc>
          <w:tcPr>
            <w:tcW w:w="8496" w:type="dxa"/>
            <w:vAlign w:val="center"/>
          </w:tcPr>
          <w:p w14:paraId="010BAB87" w14:textId="2C87ECF6" w:rsidR="00E57331" w:rsidRDefault="00C14DB8" w:rsidP="007F2576">
            <w:r w:rsidRPr="00C14DB8">
              <w:t xml:space="preserve">It is critical to understand that case descriptions, such as Harvard case studies </w:t>
            </w:r>
            <w:r w:rsidR="002011E8">
              <w:t>discussed</w:t>
            </w:r>
            <w:r w:rsidRPr="00C14DB8">
              <w:t xml:space="preserve"> in business classes</w:t>
            </w:r>
            <w:r w:rsidR="000259EB">
              <w:t xml:space="preserve">, </w:t>
            </w:r>
            <w:r w:rsidR="002011E8">
              <w:t>are</w:t>
            </w:r>
            <w:r w:rsidR="000259EB">
              <w:t xml:space="preserve"> different from </w:t>
            </w:r>
            <w:r w:rsidR="000259EB" w:rsidRPr="00C14DB8">
              <w:t>case research</w:t>
            </w:r>
            <w:r w:rsidRPr="00C14DB8">
              <w:t xml:space="preserve">. Case descriptions often describe an organizational problem in detail to spark classroom discussion and critical thinking among students, or to assess how well an organization handled a specific challenge. Case research is a formal research strategy that employs a specific methodology to provide explanations for organizational phenomena. While a case research </w:t>
            </w:r>
            <w:r w:rsidR="00A01A62">
              <w:t>project</w:t>
            </w:r>
            <w:r w:rsidRPr="00C14DB8">
              <w:t xml:space="preserve"> can result in a case description for a business class, these are two separate products.</w:t>
            </w:r>
          </w:p>
        </w:tc>
      </w:tr>
    </w:tbl>
    <w:p w14:paraId="5327D916" w14:textId="50A909FE" w:rsidR="00A626FE" w:rsidRPr="000E309B" w:rsidRDefault="00D14B33" w:rsidP="00AA4BDE">
      <w:pPr>
        <w:pStyle w:val="Heading4"/>
      </w:pPr>
      <w:r w:rsidRPr="000E309B">
        <w:t>Action research.</w:t>
      </w:r>
    </w:p>
    <w:p w14:paraId="19017682" w14:textId="77777777" w:rsidR="003A6269" w:rsidRDefault="003A6269" w:rsidP="003A6269">
      <w:r>
        <w:t>Action research is a qualitative research design that aims to test theories by introducing changes, interventions, or "actions" into complex social phenomena and observing the outcomes. Unlike other research methods that focus solely on understanding phenomena, action research assumes that the best way to comprehend social issues is by actively trying to change them. This interactive approach bridges the gap between research and practice, making it an excellent method for addressing real-world problems.</w:t>
      </w:r>
    </w:p>
    <w:p w14:paraId="7DBF1DBF" w14:textId="77777777" w:rsidR="003A6269" w:rsidRDefault="003A6269" w:rsidP="003A6269">
      <w:r>
        <w:t>In action research, the researcher, often acting as a consultant, initiates an action in response to a identified social problem. For example, an organizational change program, such as introducing new technology, might be implemented to improve an organization's performance. The researcher then examines the impact of this action on the phenomenon of interest, generating insights into their relationship.</w:t>
      </w:r>
    </w:p>
    <w:p w14:paraId="1EC8A9CB" w14:textId="77777777" w:rsidR="003A6269" w:rsidRDefault="003A6269" w:rsidP="003A6269">
      <w:r>
        <w:t>To ensure the validity of the research, the choice of action must be grounded in theory. The researcher should clearly explain why and how the chosen action is expected to yield the desired change. The success of the action in solving the targeted problem serves as a test of the underlying theory. This simultaneous problem-solving and insight generation is what sets action research apart from both traditional research methods and pure consulting.</w:t>
      </w:r>
    </w:p>
    <w:p w14:paraId="48D922CD" w14:textId="698BB1D2" w:rsidR="003A6269" w:rsidRDefault="003A6269" w:rsidP="003A6269">
      <w:r>
        <w:lastRenderedPageBreak/>
        <w:t>Participatory action research, designed by Evered and Susman</w:t>
      </w:r>
      <w:r w:rsidR="005258F3">
        <w:t xml:space="preserve"> </w:t>
      </w:r>
      <w:r w:rsidR="005258F3">
        <w:fldChar w:fldCharType="begin"/>
      </w:r>
      <w:r w:rsidR="007C07B4">
        <w:instrText xml:space="preserve"> ADDIN ZOTERO_ITEM CSL_CITATION {"citationID":"5IWPGYsy","properties":{"formattedCitation":"[169]","plainCitation":"[169]","noteIndex":0},"citationItems":[{"id":120,"uris":["http://zotero.org/users/5015692/items/P8A8T2HI"],"itemData":{"id":120,"type":"article-journal","container-title":"Administrative science quarterly","issue":"4","page":"582–603","title":"An Assessment of the Scientific Merits of Action Research Gerald 1. Susman and","volume":"23","author":[{"family":"Evered","given":"Roger D"}],"issued":{"date-parts":[["1978"]]}}}],"schema":"https://github.com/citation-style-language/schema/raw/master/csl-citation.json"} </w:instrText>
      </w:r>
      <w:r w:rsidR="005258F3">
        <w:fldChar w:fldCharType="separate"/>
      </w:r>
      <w:r w:rsidR="007C07B4" w:rsidRPr="007C07B4">
        <w:t>[169]</w:t>
      </w:r>
      <w:r w:rsidR="005258F3">
        <w:fldChar w:fldCharType="end"/>
      </w:r>
      <w:r>
        <w:t>, is one of the most widely used variations of action research. This method follows a cyclical process consisting of five key phases:</w:t>
      </w:r>
    </w:p>
    <w:p w14:paraId="4E823E01" w14:textId="77777777" w:rsidR="003A6269" w:rsidRDefault="003A6269" w:rsidP="005258F3">
      <w:pPr>
        <w:pStyle w:val="ListParagraph"/>
        <w:numPr>
          <w:ilvl w:val="0"/>
          <w:numId w:val="350"/>
        </w:numPr>
      </w:pPr>
      <w:r>
        <w:t>Diagnosing: The first step is to identify and define the problem within its social context. This involves gaining a deep understanding of the issue and the factors contributing to it.</w:t>
      </w:r>
    </w:p>
    <w:p w14:paraId="6ACDAAF3" w14:textId="77777777" w:rsidR="003A6269" w:rsidRDefault="003A6269" w:rsidP="005258F3">
      <w:pPr>
        <w:pStyle w:val="ListParagraph"/>
        <w:numPr>
          <w:ilvl w:val="0"/>
          <w:numId w:val="350"/>
        </w:numPr>
      </w:pPr>
      <w:r>
        <w:t>Action planning: Based on the diagnosis, the researcher identifies and evaluates potential solutions to the problem. The most promising course of action is selected, and a plan is developed based on a theoretical rationale. This theory-driven approach is crucial for ensuring the action has a sound basis.</w:t>
      </w:r>
    </w:p>
    <w:p w14:paraId="55D769F4" w14:textId="77777777" w:rsidR="003A6269" w:rsidRDefault="003A6269" w:rsidP="005258F3">
      <w:pPr>
        <w:pStyle w:val="ListParagraph"/>
        <w:numPr>
          <w:ilvl w:val="0"/>
          <w:numId w:val="350"/>
        </w:numPr>
      </w:pPr>
      <w:r>
        <w:t>Action taking: The planned course of action is then implemented in the real-world setting. This is where the actual intervention or change is introduced into the social phenomenon.</w:t>
      </w:r>
    </w:p>
    <w:p w14:paraId="175E3465" w14:textId="33404D5B" w:rsidR="003A6269" w:rsidRDefault="003A6269" w:rsidP="005258F3">
      <w:pPr>
        <w:pStyle w:val="ListParagraph"/>
        <w:numPr>
          <w:ilvl w:val="0"/>
          <w:numId w:val="350"/>
        </w:numPr>
      </w:pPr>
      <w:r>
        <w:t xml:space="preserve">Evaluating: After the action is taken, the researcher examines the extent to which it successfully addresses the original problem. This involves assessing whether the theorized effects are </w:t>
      </w:r>
      <w:r w:rsidR="005258F3">
        <w:t>realized</w:t>
      </w:r>
      <w:r>
        <w:t xml:space="preserve"> in practice. Evaluation is critical for determining the effectiveness of the action and the validity of the underlying theory.</w:t>
      </w:r>
    </w:p>
    <w:p w14:paraId="466E9F61" w14:textId="77777777" w:rsidR="003A6269" w:rsidRDefault="003A6269" w:rsidP="005258F3">
      <w:pPr>
        <w:pStyle w:val="ListParagraph"/>
        <w:numPr>
          <w:ilvl w:val="0"/>
          <w:numId w:val="350"/>
        </w:numPr>
      </w:pPr>
      <w:r>
        <w:t>Learning: The experiences and feedback gathered throughout the action research cycle are used to generate new insights about the problem. This learning informs suggestions for future modifications or improvements to the action. The knowledge gained contributes to both theory development and practical problem-solving.</w:t>
      </w:r>
    </w:p>
    <w:p w14:paraId="200F06A0" w14:textId="77777777" w:rsidR="003A6269" w:rsidRDefault="003A6269" w:rsidP="003A6269">
      <w:r>
        <w:t>Based on the evaluation and learning from the first cycle, the action may be modified or adjusted to better address the problem. The action research cycle is then repeated with the modified action sequence. It is recommended to complete at least two full cycles to allow for the implementation of learning from the first cycle into the second. This iterative process enables continuous refinement and improvement of the action.</w:t>
      </w:r>
    </w:p>
    <w:p w14:paraId="2AED801D" w14:textId="41262188" w:rsidR="003A6269" w:rsidRDefault="003A6269" w:rsidP="003A6269">
      <w:r>
        <w:t xml:space="preserve">Throughout the action research process, participant observation serves as the primary method of data collection. The researcher actively engages in </w:t>
      </w:r>
      <w:r w:rsidR="00602E0C">
        <w:t>social</w:t>
      </w:r>
      <w:r>
        <w:t xml:space="preserve"> phenomenon and documents their firsthand experiences and observations. However, other techniques, such as interviews and documentary evidence, can be used to corroborate the researcher's findings and provide additional insights.</w:t>
      </w:r>
    </w:p>
    <w:p w14:paraId="04FAF8A4" w14:textId="062807EF" w:rsidR="004E7DF1" w:rsidRDefault="003A6269" w:rsidP="003A6269">
      <w:r>
        <w:t>By actively intervening in social issues and studying the outcomes, action research offers a powerful tool for generating knowledge that is both theoretically grounded and practically relevant. This unique blend of problem-solving and insight generation makes action research an invaluable approach for researchers and practitioners alike, particularly those seeking to make a positive difference in real-world settings.</w:t>
      </w:r>
    </w:p>
    <w:p w14:paraId="5327D920" w14:textId="3922B2D1" w:rsidR="00A626FE" w:rsidRPr="000E309B" w:rsidRDefault="00D14B33" w:rsidP="00AA4BDE">
      <w:pPr>
        <w:pStyle w:val="Heading4"/>
      </w:pPr>
      <w:r w:rsidRPr="000E309B">
        <w:t>Ethnography</w:t>
      </w:r>
    </w:p>
    <w:p w14:paraId="17171EEF" w14:textId="77777777" w:rsidR="001909A8" w:rsidRDefault="001909A8" w:rsidP="001909A8">
      <w:r>
        <w:t xml:space="preserve">Ethnographic research, a method rooted in anthropology, focuses on studying a phenomenon within the context of its culture. This immersive approach requires researchers to deeply embed </w:t>
      </w:r>
      <w:r>
        <w:lastRenderedPageBreak/>
        <w:t>themselves in the social culture for an extended period, typically ranging from eight months to two years. During this time, researchers actively engage with, observe, and record the daily life and interactions of the culture's participants within their natural setting. The goal is to gain a comprehensive understanding of the culture from an insider's perspective.</w:t>
      </w:r>
    </w:p>
    <w:p w14:paraId="479C2F9B" w14:textId="77777777" w:rsidR="001909A8" w:rsidRDefault="001909A8" w:rsidP="001909A8">
      <w:r>
        <w:t>Participant observation serves as the primary mode of data collection in ethnographic research. Researchers must fully immerse themselves in the culture, participating in daily activities and building relationships with the people they are studying. This firsthand experience allows researchers to gather rich, detailed data that captures the nuances and complexities of the culture.</w:t>
      </w:r>
    </w:p>
    <w:p w14:paraId="6A09BF07" w14:textId="77777777" w:rsidR="001909A8" w:rsidRDefault="001909A8" w:rsidP="001909A8">
      <w:r>
        <w:t>Data analysis in ethnographic research involves a "sense-making" approach. Researchers must carefully examine their extensive field notes, which document their observations and experiences in descriptive detail. The aim is to identify patterns, themes, and meanings that emerge from the data. By providing vivid, evocative narratives of their experiences, researchers can transport readers into the studied culture, enabling them to vicariously experience and understand it.</w:t>
      </w:r>
    </w:p>
    <w:p w14:paraId="78349563" w14:textId="77777777" w:rsidR="001909A8" w:rsidRDefault="001909A8" w:rsidP="001909A8">
      <w:r>
        <w:t>In ethnographic research, researchers take on two crucial roles. First, they rely on their unique knowledge and engagement with the culture to generate insights and develop theories that explain the observed phenomena. Second, they must convince the scientific community of the trans-situational nature of their findings, demonstrating that the insights gained are applicable beyond the specific context of the study.</w:t>
      </w:r>
    </w:p>
    <w:p w14:paraId="70B1A73B" w14:textId="77777777" w:rsidR="001909A8" w:rsidRDefault="001909A8" w:rsidP="001909A8">
      <w:r>
        <w:t>A classic example of ethnographic research is Jane Goodall's study of primate behaviors. Goodall lived among chimpanzees in their natural habitat at Gombe National Park in Tanzania, observing and interacting with them over an extended period. She meticulously chronicled various aspects of chimpanzee life, including their feeding and sheltering habits, social interactions, communication patterns, and mating behaviors. Her immersive approach allowed her to gain unparalleled insights into chimpanzee culture and behavior.</w:t>
      </w:r>
    </w:p>
    <w:p w14:paraId="6D6F1167" w14:textId="2195AE85" w:rsidR="001909A8" w:rsidRDefault="001909A8" w:rsidP="001909A8">
      <w:r>
        <w:t>A more contemporary example of ethnographic research is Myra Bluebond-Langer's study of decision-making in families with children suffering from life-threatening illnesses</w:t>
      </w:r>
      <w:r w:rsidR="008F55D6">
        <w:t xml:space="preserve"> </w:t>
      </w:r>
      <w:r w:rsidR="008F55D6">
        <w:fldChar w:fldCharType="begin"/>
      </w:r>
      <w:r w:rsidR="007C07B4">
        <w:instrText xml:space="preserve"> ADDIN ZOTERO_ITEM CSL_CITATION {"citationID":"vpUIblYG","properties":{"formattedCitation":"[170]","plainCitation":"[170]","noteIndex":0},"citationItems":[{"id":122,"uris":["http://zotero.org/users/5015692/items/KY4M3PQ3"],"itemData":{"id":122,"type":"book","publisher":"Princeton University Press","title":"In the shadow of illness: Parents and siblings of the chronically ill child","author":[{"family":"Bluebond-Langner","given":"Myra"}],"issued":{"date-parts":[["2000"]]}}}],"schema":"https://github.com/citation-style-language/schema/raw/master/csl-citation.json"} </w:instrText>
      </w:r>
      <w:r w:rsidR="008F55D6">
        <w:fldChar w:fldCharType="separate"/>
      </w:r>
      <w:r w:rsidR="007C07B4" w:rsidRPr="007C07B4">
        <w:t>[170]</w:t>
      </w:r>
      <w:r w:rsidR="008F55D6">
        <w:fldChar w:fldCharType="end"/>
      </w:r>
      <w:r>
        <w:t>. Bluebond-Langer followed the experiences of approximately 80 children with incurable illnesses and their families for over two years. She employed participant observation and engaged in formal and informal conversations with the children, their parents and relatives, and healthcare providers to document their lived experiences. This immersive approach allowed her to capture the complex interplay of physical, psychological, environmental, ethical, legal, and cultural factors that influenced the families' decision-making processes.</w:t>
      </w:r>
    </w:p>
    <w:p w14:paraId="3BDCC382" w14:textId="60F6157E" w:rsidR="004D7092" w:rsidRDefault="001909A8" w:rsidP="001909A8">
      <w:r>
        <w:t xml:space="preserve">Ethnographic research offers a powerful tool for gaining deep, nuanced understandings of social and cultural phenomena. By immersing themselves in the studied culture and engaging in participant observation, researchers can uncover insights that may be difficult to obtain through other research methods. The rich, descriptive data generated through ethnographic research can </w:t>
      </w:r>
      <w:r>
        <w:lastRenderedPageBreak/>
        <w:t xml:space="preserve">provide valuable contributions to theory development and enhance our understanding of </w:t>
      </w:r>
      <w:r w:rsidR="004A429B">
        <w:t>human</w:t>
      </w:r>
      <w:r>
        <w:t xml:space="preserve"> experience.</w:t>
      </w:r>
    </w:p>
    <w:p w14:paraId="4F13CEAF" w14:textId="7D301124" w:rsidR="00E67521" w:rsidRDefault="00E67521" w:rsidP="00E67521">
      <w:pPr>
        <w:pStyle w:val="Heading4"/>
      </w:pPr>
      <w:r>
        <w:t>Narrative Analysis</w:t>
      </w:r>
    </w:p>
    <w:p w14:paraId="527CCDEA" w14:textId="77777777" w:rsidR="003647C7" w:rsidRDefault="003647C7" w:rsidP="003647C7">
      <w:r>
        <w:t>Narrative analysis is a qualitative research method that focuses on the study of stories, narratives, and personal accounts. It explores how individuals make sense of their experiences and construct meaning through storytelling. Narrative analysis is rooted in the idea that stories are a fundamental way in which humans understand and communicate their experiences, and that these stories can provide valuable insights into social phenomena.</w:t>
      </w:r>
    </w:p>
    <w:p w14:paraId="7672E1CA" w14:textId="77777777" w:rsidR="003647C7" w:rsidRDefault="003647C7" w:rsidP="003647C7">
      <w:r>
        <w:t>In narrative analysis, researchers collect and analyze stories or narratives from individuals or groups. These narratives can be gathered through various methods, such as interviews, written accounts, or even social media posts. The goal is to understand how people construct and interpret their experiences, and how these narratives relate to broader social, cultural, or historical contexts.</w:t>
      </w:r>
    </w:p>
    <w:p w14:paraId="13919B74" w14:textId="77777777" w:rsidR="003647C7" w:rsidRDefault="003647C7" w:rsidP="003647C7">
      <w:r>
        <w:t>One of the key features of narrative analysis is its focus on the structure and content of stories. Researchers examine how narratives are organized, what elements they include, and how they are told. They may look at the plot, characters, themes, and language used in the stories. By analyzing these aspects, researchers can uncover the underlying meanings, values, and beliefs that shape individuals' experiences and perceptions.</w:t>
      </w:r>
    </w:p>
    <w:p w14:paraId="6CB8812A" w14:textId="08A1F995" w:rsidR="003647C7" w:rsidRDefault="003647C7" w:rsidP="003647C7">
      <w:r>
        <w:t>For example, in a study of career transitions, a researcher might collect narratives from individuals who have undergone significant career changes. Through narrative analysis, the researcher could examine how these individuals construct their stories of career transition, what challenges and opportunities they highlight, and how they make sense of their experiences. By comparing different narratives, the researcher could identify common themes and patterns that shed light on the broader social and cultural factors that shape career transitions.</w:t>
      </w:r>
    </w:p>
    <w:p w14:paraId="1F9F7C96" w14:textId="61F39C27" w:rsidR="003647C7" w:rsidRDefault="003647C7" w:rsidP="003647C7">
      <w:r>
        <w:t>Narrative analysis has been used in various fields, including sociology, psychology, and organizational studies. It has been particularly useful in exploring topics such as identity construction, personal and collective memory, and the impact of social and historical events on individual lives. For instance, Riessman used narrative analysis to study how individuals who experienced marital separation constructed their identities and made sense of their experiences through storytelling</w:t>
      </w:r>
      <w:r w:rsidR="00874D96">
        <w:t xml:space="preserve"> </w:t>
      </w:r>
      <w:r w:rsidR="00874D96">
        <w:fldChar w:fldCharType="begin"/>
      </w:r>
      <w:r w:rsidR="007C07B4">
        <w:instrText xml:space="preserve"> ADDIN ZOTERO_ITEM CSL_CITATION {"citationID":"mJ377mUN","properties":{"formattedCitation":"[171]","plainCitation":"[171]","noteIndex":0},"citationItems":[{"id":381,"uris":["http://zotero.org/users/5015692/items/LQ747FYE"],"itemData":{"id":381,"type":"book","ISBN":"0-8135-5595-7","publisher":"Rutgers University Press","title":"Divorce talk: Women and men make sense of personal relationships","author":[{"family":"Riessman","given":"Catherine"}],"issued":{"date-parts":[["1990"]]}}}],"schema":"https://github.com/citation-style-language/schema/raw/master/csl-citation.json"} </w:instrText>
      </w:r>
      <w:r w:rsidR="00874D96">
        <w:fldChar w:fldCharType="separate"/>
      </w:r>
      <w:r w:rsidR="007C07B4" w:rsidRPr="007C07B4">
        <w:t>[171]</w:t>
      </w:r>
      <w:r w:rsidR="00874D96">
        <w:fldChar w:fldCharType="end"/>
      </w:r>
      <w:r>
        <w:t>.</w:t>
      </w:r>
    </w:p>
    <w:p w14:paraId="4A1A8659" w14:textId="77777777" w:rsidR="003647C7" w:rsidRDefault="003647C7" w:rsidP="003647C7">
      <w:r>
        <w:t>One of the strengths of narrative analysis is its ability to capture the complexity and nuance of human experience. By focusing on stories and personal accounts, researchers can gain a deep understanding of individuals' perspectives, emotions, and motivations. Narrative analysis also allows for the exploration of how individuals navigate and make sense of complex social and cultural contexts.</w:t>
      </w:r>
    </w:p>
    <w:p w14:paraId="130DDFF4" w14:textId="0FB97F40" w:rsidR="003647C7" w:rsidRDefault="003647C7" w:rsidP="003647C7">
      <w:r>
        <w:lastRenderedPageBreak/>
        <w:t xml:space="preserve">However, narrative analysis also has its challenges. Researchers must be skilled in eliciting and interpreting </w:t>
      </w:r>
      <w:r w:rsidR="00E00568">
        <w:t>narratives and</w:t>
      </w:r>
      <w:r>
        <w:t xml:space="preserve"> must be aware of their own biases and assumptions. They must also consider the social and cultural factors that shape the construction and telling of stories. As Polkinghorne notes, narratives are not simply individual creations, but are also shaped by the social, historical, and cultural contexts in which they are told</w:t>
      </w:r>
      <w:r w:rsidR="003309D2">
        <w:t xml:space="preserve"> </w:t>
      </w:r>
      <w:r w:rsidR="003309D2">
        <w:fldChar w:fldCharType="begin"/>
      </w:r>
      <w:r w:rsidR="007C07B4">
        <w:instrText xml:space="preserve"> ADDIN ZOTERO_ITEM CSL_CITATION {"citationID":"YzK19SoG","properties":{"formattedCitation":"[172]","plainCitation":"[172]","noteIndex":0},"citationItems":[{"id":382,"uris":["http://zotero.org/users/5015692/items/XCZCSZG6"],"itemData":{"id":382,"type":"article-journal","container-title":"International journal of qualitative studies in education","ISSN":"0951-8398","issue":"1","journalAbbreviation":"International journal of qualitative studies in education","note":"publisher: Taylor &amp; Francis","page":"5-23","title":"Narrative configuration in qualitative analysis","volume":"8","author":[{"family":"Polkinghorne","given":"Donald E"}],"issued":{"date-parts":[["1995"]]}}}],"schema":"https://github.com/citation-style-language/schema/raw/master/csl-citation.json"} </w:instrText>
      </w:r>
      <w:r w:rsidR="003309D2">
        <w:fldChar w:fldCharType="separate"/>
      </w:r>
      <w:r w:rsidR="007C07B4" w:rsidRPr="007C07B4">
        <w:t>[172]</w:t>
      </w:r>
      <w:r w:rsidR="003309D2">
        <w:fldChar w:fldCharType="end"/>
      </w:r>
      <w:r>
        <w:t>.</w:t>
      </w:r>
    </w:p>
    <w:p w14:paraId="1F14E840" w14:textId="639878E9" w:rsidR="00E67521" w:rsidRDefault="003647C7" w:rsidP="003647C7">
      <w:r>
        <w:t>In conclusion, narrative analysis is a valuable qualitative research method that allows researchers to explore the rich and complex world of human experience through the study of stories and personal accounts. By examining how individuals construct and interpret their experiences, researchers can gain deep insights into social phenomena and the factors that shape them. As such, narrative analysis is an important tool for interpretive research and can provide a unique and nuanced understanding of the social world.</w:t>
      </w:r>
    </w:p>
    <w:p w14:paraId="4763655A" w14:textId="4B8FF9D6" w:rsidR="00D5107B" w:rsidRDefault="00D5107B" w:rsidP="00D5107B">
      <w:pPr>
        <w:pStyle w:val="Heading4"/>
      </w:pPr>
      <w:r>
        <w:t>Phenomenology</w:t>
      </w:r>
    </w:p>
    <w:p w14:paraId="04C4BB39" w14:textId="77777777" w:rsidR="00847C4A" w:rsidRDefault="00847C4A" w:rsidP="00847C4A">
      <w:r>
        <w:t>Phenomenology is a research method that focuses on the study of conscious experiences to understand the reality around us. Developed from the ideas of German philosopher Edmund Husserl in the early 20th century, phenomenology posits that human experience is the source of all knowledge. This method involves the systematic reflection and analysis of phenomena associated with conscious experiences, such as human judgment, perceptions, and actions.</w:t>
      </w:r>
    </w:p>
    <w:p w14:paraId="18A80B38" w14:textId="77777777" w:rsidR="00847C4A" w:rsidRDefault="00847C4A" w:rsidP="00847C4A">
      <w:r>
        <w:t>The primary goals of phenomenological research are twofold. First, it seeks to appreciate and describe social reality from the diverse subjective perspectives of the participants involved. Second, it aims to uncover the symbolic meanings or "deep structures" that underlie these subjective experiences. To achieve these goals, researchers must approach the inquiry with an open mind, setting aside any prior assumptions and personal biases. They must empathize with the participants' situations and tune into the existential dimensions of those situations to fully grasp the deep structures that drive conscious thinking and behavior.</w:t>
      </w:r>
    </w:p>
    <w:p w14:paraId="3346D3DC" w14:textId="0B382C05" w:rsidR="00847C4A" w:rsidRDefault="00847C4A" w:rsidP="00847C4A">
      <w:r>
        <w:t>While some researchers consider phenomenology to be a philosophy rather than a research method, Giorgi and Giorgi developed an existential-phenomenological research method to guide studies in this area</w:t>
      </w:r>
      <w:r w:rsidR="00FE092C">
        <w:t xml:space="preserve"> </w:t>
      </w:r>
      <w:r w:rsidR="00FE092C">
        <w:fldChar w:fldCharType="begin"/>
      </w:r>
      <w:r w:rsidR="007C07B4">
        <w:instrText xml:space="preserve"> ADDIN ZOTERO_ITEM CSL_CITATION {"citationID":"zH2tEPp3","properties":{"formattedCitation":"[173]","plainCitation":"[173]","noteIndex":0},"citationItems":[{"id":125,"uris":["http://zotero.org/users/5015692/items/FW9LHP56"],"itemData":{"id":125,"type":"book","publisher":"Sage Publications, Inc","title":"Phenomenology.","author":[{"family":"Giorgi","given":"Amedeo"},{"family":"Giorgi","given":"Barbro"}],"issued":{"date-parts":[["2003"]]}}}],"schema":"https://github.com/citation-style-language/schema/raw/master/csl-citation.json"} </w:instrText>
      </w:r>
      <w:r w:rsidR="00FE092C">
        <w:fldChar w:fldCharType="separate"/>
      </w:r>
      <w:r w:rsidR="007C07B4" w:rsidRPr="007C07B4">
        <w:t>[173]</w:t>
      </w:r>
      <w:r w:rsidR="00FE092C">
        <w:fldChar w:fldCharType="end"/>
      </w:r>
      <w:r>
        <w:t>. This method consists of two main phases: data collection and data analysis.</w:t>
      </w:r>
    </w:p>
    <w:p w14:paraId="407A020D" w14:textId="77777777" w:rsidR="00847C4A" w:rsidRDefault="00847C4A" w:rsidP="00FE092C">
      <w:pPr>
        <w:pStyle w:val="Heading5"/>
      </w:pPr>
      <w:r>
        <w:t>Data Collection:</w:t>
      </w:r>
    </w:p>
    <w:p w14:paraId="52273E75" w14:textId="77777777" w:rsidR="00847C4A" w:rsidRDefault="00847C4A" w:rsidP="00076770">
      <w:pPr>
        <w:pStyle w:val="ListParagraph"/>
        <w:numPr>
          <w:ilvl w:val="0"/>
          <w:numId w:val="351"/>
        </w:numPr>
      </w:pPr>
      <w:r>
        <w:t>Interview participants regarding the phenomenon of interest.</w:t>
      </w:r>
    </w:p>
    <w:p w14:paraId="469402CB" w14:textId="77777777" w:rsidR="00847C4A" w:rsidRDefault="00847C4A" w:rsidP="00076770">
      <w:pPr>
        <w:pStyle w:val="ListParagraph"/>
        <w:numPr>
          <w:ilvl w:val="0"/>
          <w:numId w:val="351"/>
        </w:numPr>
      </w:pPr>
      <w:r>
        <w:t>Transcribe interviews for analysis.</w:t>
      </w:r>
    </w:p>
    <w:p w14:paraId="373BFBFD" w14:textId="77777777" w:rsidR="00847C4A" w:rsidRDefault="00847C4A" w:rsidP="00847C4A">
      <w:r>
        <w:t>During data collection, researchers conduct interviews with participants who have experienced the phenomenon under investigation. The aim is to capture their subjective experiences and perspectives. Researchers may ask open-ended questions such as "Can you describe a typical day?" or "Can you elaborate on that particular incident?" These interviews are recorded and transcribed verbatim for further analysis.</w:t>
      </w:r>
    </w:p>
    <w:p w14:paraId="71581CE5" w14:textId="77777777" w:rsidR="00847C4A" w:rsidRDefault="00847C4A" w:rsidP="00076770">
      <w:pPr>
        <w:pStyle w:val="Heading5"/>
      </w:pPr>
      <w:r>
        <w:lastRenderedPageBreak/>
        <w:t>Data Analysis:</w:t>
      </w:r>
    </w:p>
    <w:p w14:paraId="6BBCF072" w14:textId="77777777" w:rsidR="00847C4A" w:rsidRDefault="00847C4A" w:rsidP="00076770">
      <w:pPr>
        <w:pStyle w:val="ListParagraph"/>
        <w:numPr>
          <w:ilvl w:val="0"/>
          <w:numId w:val="352"/>
        </w:numPr>
      </w:pPr>
      <w:r>
        <w:t>Read transcripts to gain a holistic understanding.</w:t>
      </w:r>
    </w:p>
    <w:p w14:paraId="4A612F5D" w14:textId="77777777" w:rsidR="00847C4A" w:rsidRDefault="00847C4A" w:rsidP="00076770">
      <w:pPr>
        <w:pStyle w:val="ListParagraph"/>
        <w:numPr>
          <w:ilvl w:val="0"/>
          <w:numId w:val="352"/>
        </w:numPr>
      </w:pPr>
      <w:r>
        <w:t>Identify units of significance (establish parts).</w:t>
      </w:r>
    </w:p>
    <w:p w14:paraId="0D62D6A2" w14:textId="77777777" w:rsidR="00847C4A" w:rsidRDefault="00847C4A" w:rsidP="00076770">
      <w:pPr>
        <w:pStyle w:val="ListParagraph"/>
        <w:numPr>
          <w:ilvl w:val="0"/>
          <w:numId w:val="352"/>
        </w:numPr>
      </w:pPr>
      <w:r>
        <w:t>Assign values to units of significance by reliving participants' subjective experiences.</w:t>
      </w:r>
    </w:p>
    <w:p w14:paraId="23D0C225" w14:textId="77777777" w:rsidR="00847C4A" w:rsidRDefault="00847C4A" w:rsidP="00076770">
      <w:pPr>
        <w:pStyle w:val="ListParagraph"/>
        <w:numPr>
          <w:ilvl w:val="0"/>
          <w:numId w:val="352"/>
        </w:numPr>
      </w:pPr>
      <w:r>
        <w:t>Develop themes to tie together the units of significance into layered meanings.</w:t>
      </w:r>
    </w:p>
    <w:p w14:paraId="1AB4CF40" w14:textId="77777777" w:rsidR="00847C4A" w:rsidRDefault="00847C4A" w:rsidP="00076770">
      <w:pPr>
        <w:pStyle w:val="ListParagraph"/>
        <w:numPr>
          <w:ilvl w:val="0"/>
          <w:numId w:val="352"/>
        </w:numPr>
      </w:pPr>
      <w:r>
        <w:t>Identify and reconcile the "deep structure."</w:t>
      </w:r>
    </w:p>
    <w:p w14:paraId="257F7A81" w14:textId="77777777" w:rsidR="00847C4A" w:rsidRDefault="00847C4A" w:rsidP="00847C4A">
      <w:r>
        <w:t>In the data analysis phase, researchers immerse themselves in the transcripts, reading them repeatedly to gain a comprehensive sense of the whole. They then identify "units of significance" that faithfully represent participants' subjective experiences. These units may include concepts such as "felt-space" and "felt-time," which capture the psychological dimensions of the participants' experiences. For example, researchers may explore whether participants felt safe, independent, trapped, or joyous during the phenomenon (felt-space) or whether they perceived their experience as pressured, slow, or discontinuous (felt-time).</w:t>
      </w:r>
    </w:p>
    <w:p w14:paraId="50B2CC9D" w14:textId="77777777" w:rsidR="00847C4A" w:rsidRDefault="00847C4A" w:rsidP="00847C4A">
      <w:r>
        <w:t>A crucial aspect of phenomenological analysis is considering the participants' temporal landscape, which encompasses their sense of the past, present, and future. Researchers must endeavor to put themselves in the participants' shoes, imaginatively living their experiences. The analysis process involves crafting a narrative or identifying emergent themes that richly describe the participants' lived experiences. These themes are then further examined to uncover multiple layers of meaning while preserving the fragility and ambiguity inherent in subjective experiences.</w:t>
      </w:r>
    </w:p>
    <w:p w14:paraId="01D10D66" w14:textId="703B9CAE" w:rsidR="00A75B61" w:rsidRDefault="00847C4A" w:rsidP="00847C4A">
      <w:r>
        <w:t>By delving deep into the conscious experiences of participants, phenomenological research offers a powerful means of understanding social reality from diverse subjective perspectives. It provides insights into the symbolic meanings and deep structures that shape human behavior and thought. Through the systematic reflection and analysis of lived experiences, phenomenology contributes to the development of a more nuanced and comprehensive understanding of the human condition.</w:t>
      </w:r>
    </w:p>
    <w:p w14:paraId="5327D933" w14:textId="3575E73D" w:rsidR="00A626FE" w:rsidRPr="000E309B" w:rsidRDefault="009C4590" w:rsidP="009C4590">
      <w:pPr>
        <w:pStyle w:val="Heading3"/>
      </w:pPr>
      <w:bookmarkStart w:id="197" w:name="_Toc169156816"/>
      <w:r>
        <w:t>R</w:t>
      </w:r>
      <w:r w:rsidR="00D14B33" w:rsidRPr="000E309B">
        <w:t xml:space="preserve">igor </w:t>
      </w:r>
      <w:r w:rsidR="00584EBA">
        <w:t>I</w:t>
      </w:r>
      <w:r w:rsidR="00D14B33" w:rsidRPr="000E309B">
        <w:t xml:space="preserve">n </w:t>
      </w:r>
      <w:r>
        <w:t>I</w:t>
      </w:r>
      <w:r w:rsidR="00D14B33" w:rsidRPr="000E309B">
        <w:t xml:space="preserve">nterpretive </w:t>
      </w:r>
      <w:r>
        <w:t>R</w:t>
      </w:r>
      <w:r w:rsidR="00D14B33" w:rsidRPr="000E309B">
        <w:t>esearch</w:t>
      </w:r>
      <w:bookmarkEnd w:id="197"/>
    </w:p>
    <w:p w14:paraId="114C22DA" w14:textId="77777777" w:rsidR="009E023A" w:rsidRDefault="009E023A" w:rsidP="009E023A">
      <w:r>
        <w:t>Interpretive research takes a different approach to understanding social reality compared to positivist research. While positivist research employs a "reductionist" approach, simplifying social reality into theories and laws, interpretive research aims to interpret social reality through the subjective viewpoints of the participants embedded within the context where the reality is situated. This approach acknowledges that interpretations are heavily influenced by the specific context and are less generalizable to other situations.</w:t>
      </w:r>
    </w:p>
    <w:p w14:paraId="61AF820A" w14:textId="77777777" w:rsidR="009E023A" w:rsidRDefault="009E023A" w:rsidP="009E023A">
      <w:r>
        <w:t>Due to the subjective nature of interpretive analysis, some researchers who embrace functionalism consider it less rigorous. However, it is essential to recognize that interpretive research is based on a different set of philosophical assumptions than functionalism. As a result, traditional notions of rigor, such as reliability, internal validity, and generalizability, do not apply in the same way as they would in a positivist study.</w:t>
      </w:r>
    </w:p>
    <w:p w14:paraId="599F1D96" w14:textId="5EE108AF" w:rsidR="009E023A" w:rsidRDefault="009E023A" w:rsidP="009E023A">
      <w:r>
        <w:lastRenderedPageBreak/>
        <w:t xml:space="preserve">To address this issue, Lincoln proposes an alternative set of criteria that can be used to assess the rigor of interpretive research </w:t>
      </w:r>
      <w:r>
        <w:fldChar w:fldCharType="begin"/>
      </w:r>
      <w:r w:rsidR="007C07B4">
        <w:instrText xml:space="preserve"> ADDIN ZOTERO_ITEM CSL_CITATION {"citationID":"Unqra6Z7","properties":{"formattedCitation":"[174]","plainCitation":"[174]","noteIndex":0},"citationItems":[{"id":119,"uris":["http://zotero.org/users/5015692/items/II86VIP6"],"itemData":{"id":119,"type":"article-journal","container-title":"The Blackwell Encyclopedia of Sociology","title":"Naturalistic inquiry","author":[{"family":"Lincoln","given":"Yvonna S"}],"issued":{"date-parts":[["1985"]]}}}],"schema":"https://github.com/citation-style-language/schema/raw/master/csl-citation.json"} </w:instrText>
      </w:r>
      <w:r>
        <w:fldChar w:fldCharType="separate"/>
      </w:r>
      <w:r w:rsidR="007C07B4" w:rsidRPr="007C07B4">
        <w:t>[174]</w:t>
      </w:r>
      <w:r>
        <w:fldChar w:fldCharType="end"/>
      </w:r>
      <w:r>
        <w:t>:</w:t>
      </w:r>
    </w:p>
    <w:p w14:paraId="306184AC" w14:textId="3BCB7040" w:rsidR="009E023A" w:rsidRDefault="009E023A" w:rsidP="006F76BA">
      <w:pPr>
        <w:ind w:left="720" w:hanging="720"/>
      </w:pPr>
      <w:r w:rsidRPr="006F76BA">
        <w:rPr>
          <w:b/>
          <w:bCs/>
        </w:rPr>
        <w:t>Dependability</w:t>
      </w:r>
      <w:r>
        <w:t xml:space="preserve">: Interpretive research can be considered dependable or authentic if two researchers independently arrive at the same conclusions when assessing the same phenomenon using the same set of evidence. Similarly, if the same researcher observes the same or a similar phenomenon at different times and reaches similar conclusions, the research can be deemed dependable. This concept is analogous to reliability in positivist research, with agreement between two independent researchers being </w:t>
      </w:r>
      <w:r w:rsidR="00420025">
        <w:t>like</w:t>
      </w:r>
      <w:r>
        <w:t xml:space="preserve"> inter-rater reliability and agreement between two observations by the same researcher akin to test-retest reliability. To ensure dependability, interpretive researchers must provide rich details about the phenomenon of interest and its social context, enabling readers to independently authenticate the interpretive inferences.</w:t>
      </w:r>
    </w:p>
    <w:p w14:paraId="26E6B3DE" w14:textId="0A0AAC77" w:rsidR="009E023A" w:rsidRDefault="009E023A" w:rsidP="006F76BA">
      <w:pPr>
        <w:ind w:left="720" w:hanging="720"/>
      </w:pPr>
      <w:r w:rsidRPr="006F76BA">
        <w:rPr>
          <w:b/>
          <w:bCs/>
        </w:rPr>
        <w:t>Credibility</w:t>
      </w:r>
      <w:r>
        <w:t xml:space="preserve">: Interpretive research is considered credible if readers find the inferences believable. This concept is </w:t>
      </w:r>
      <w:r w:rsidR="00420025">
        <w:t>like</w:t>
      </w:r>
      <w:r>
        <w:t xml:space="preserve"> internal validity in functionalistic research. Credibility can be enhanced by providing evidence of the researcher's prolonged engagement in the field and demonstrating data triangulation across subjects or data collection techniques. Maintaining meticulous data management and analytic procedures, such as verbatim interview transcription, accurate records of contacts and interviews, and clear notes on theoretical and methodological decisions, also improves credibility by allowing for an independent audit of data collection and analysis.</w:t>
      </w:r>
    </w:p>
    <w:p w14:paraId="3931710A" w14:textId="77777777" w:rsidR="009E023A" w:rsidRDefault="009E023A" w:rsidP="006F76BA">
      <w:pPr>
        <w:ind w:left="720" w:hanging="720"/>
      </w:pPr>
      <w:r w:rsidRPr="006F76BA">
        <w:rPr>
          <w:b/>
          <w:bCs/>
        </w:rPr>
        <w:t>Confirmability</w:t>
      </w:r>
      <w:r>
        <w:t>: Confirmability refers to the extent to which the findings reported in interpretive research can be independently confirmed by others, typically the study's participants. Since interpretive research rejects the notion of an objective reality, confirmability is demonstrated through "inter-subjectivity." If the study's participants generally agree with the researcher's inferences about the phenomenon of interest (based on a review of the research paper or report), the findings can be considered confirmable. This idea is comparable to objectivity in functionalistic research.</w:t>
      </w:r>
    </w:p>
    <w:p w14:paraId="43D62F27" w14:textId="692785DF" w:rsidR="009E023A" w:rsidRDefault="009E023A" w:rsidP="006F76BA">
      <w:pPr>
        <w:ind w:left="720" w:hanging="720"/>
      </w:pPr>
      <w:r w:rsidRPr="006F76BA">
        <w:rPr>
          <w:b/>
          <w:bCs/>
        </w:rPr>
        <w:t>Transferability</w:t>
      </w:r>
      <w:r>
        <w:t xml:space="preserve">: Transferability in interpretive research refers to the extent to which the findings can be generalized to other settings, </w:t>
      </w:r>
      <w:r w:rsidR="00420025">
        <w:t>like</w:t>
      </w:r>
      <w:r>
        <w:t xml:space="preserve"> external validity in functionalistic research. To enable readers to independently assess the transferability of the findings, researchers must provide rich, detailed descriptions of the research context ("thick description") and thoroughly describe the structures, assumptions, and processes revealed from the data.</w:t>
      </w:r>
    </w:p>
    <w:p w14:paraId="73A68ADD" w14:textId="2AFC7C97" w:rsidR="00F805BC" w:rsidRDefault="009E023A" w:rsidP="009E023A">
      <w:r>
        <w:t>By addressing these alternative criteria, interpretive researchers can demonstrate the rigor and trustworthiness of their findings, even though they may not adhere to the same standards as positivist research. It is crucial for readers and reviewers to understand and appreciate the distinct philosophical assumptions and methodological approaches that underlie interpretive research when evaluating its quality and contributions to knowledge.</w:t>
      </w:r>
    </w:p>
    <w:p w14:paraId="2C2F6F21" w14:textId="00176804" w:rsidR="00E72E22" w:rsidRDefault="00E72E22" w:rsidP="000E777E">
      <w:pPr>
        <w:pStyle w:val="Heading4"/>
      </w:pPr>
      <w:r>
        <w:lastRenderedPageBreak/>
        <w:t>Re</w:t>
      </w:r>
      <w:r w:rsidR="000E777E">
        <w:t>flexivity in Interpretive Research</w:t>
      </w:r>
    </w:p>
    <w:p w14:paraId="59CA3F12" w14:textId="77777777" w:rsidR="00883354" w:rsidRDefault="00883354" w:rsidP="00883354">
      <w:r>
        <w:t>Reflexivity is a crucial aspect of interpretive research that refers to the researcher's self-awareness and critical examination of their own role, biases, and influence on the research process and findings. It involves acknowledging and actively engaging with the researcher's subjectivity, recognizing that their background, assumptions, and interactions with participants can shape the interpretation of data.</w:t>
      </w:r>
    </w:p>
    <w:p w14:paraId="11479D5C" w14:textId="77777777" w:rsidR="00883354" w:rsidRDefault="00883354" w:rsidP="00883354">
      <w:r>
        <w:t>In interpretive research, the researcher is not seen as a neutral or objective observer, but rather as an active participant in the construction of knowledge. Reflexivity requires researchers to be transparent about their own positionality and to critically reflect on how their own experiences, values, and perspectives may influence their research.</w:t>
      </w:r>
    </w:p>
    <w:p w14:paraId="76B84A72" w14:textId="77777777" w:rsidR="00883354" w:rsidRDefault="00883354" w:rsidP="00883354">
      <w:r>
        <w:t>Reflexivity can be practiced at various stages of the research process. During data collection, researchers should be aware of how their presence and interactions with participants may affect the data being gathered. They should also consider how their own assumptions and biases may shape the questions they ask and the way they interpret responses.</w:t>
      </w:r>
    </w:p>
    <w:p w14:paraId="66D7C1E7" w14:textId="77777777" w:rsidR="00883354" w:rsidRDefault="00883354" w:rsidP="00883354">
      <w:r>
        <w:t>During data analysis, researchers should engage in ongoing self-reflection and questioning of their own interpretations. They should consider alternative explanations and be open to revising their understanding based on new insights. Researchers should also be transparent about the analytical process and the decisions they make in interpreting the data.</w:t>
      </w:r>
    </w:p>
    <w:p w14:paraId="127F1F6A" w14:textId="77777777" w:rsidR="00883354" w:rsidRDefault="00883354" w:rsidP="00883354">
      <w:r>
        <w:t>Reflexivity also involves being transparent about the limitations and potential biases of the research. Researchers should acknowledge the specific context of their study and the extent to which their findings may be influenced by their own subjectivity. By being reflexive, researchers can enhance the credibility and trustworthiness of their interpretive research.</w:t>
      </w:r>
    </w:p>
    <w:p w14:paraId="34454322" w14:textId="77777777" w:rsidR="00883354" w:rsidRDefault="00883354" w:rsidP="00883354">
      <w:r>
        <w:t>For example, in an ethnographic study of a particular community, a researcher's own cultural background and previous experiences may shape their perceptions and interpretations of the community's practices and beliefs. By engaging in reflexivity, the researcher can acknowledge and critically examine how their own positionality may influence their understanding of the community and the conclusions they draw from their research.</w:t>
      </w:r>
    </w:p>
    <w:p w14:paraId="421EC857" w14:textId="0DF95F1B" w:rsidR="00883354" w:rsidRDefault="00883354" w:rsidP="00883354">
      <w:r>
        <w:t>The importance of reflexivity in interpretive research has been widely recognized. As Berger notes, "Reflexivity is the process of a continual internal dialogue and critical self-evaluation of researcher's positionality as well as active acknowledgement and explicit recognition that this position may affect the research process and outcome"</w:t>
      </w:r>
      <w:r w:rsidR="003E7751">
        <w:t xml:space="preserve"> </w:t>
      </w:r>
      <w:r w:rsidR="003E7751">
        <w:fldChar w:fldCharType="begin"/>
      </w:r>
      <w:r w:rsidR="007C07B4">
        <w:instrText xml:space="preserve"> ADDIN ZOTERO_ITEM CSL_CITATION {"citationID":"JJVdQ41L","properties":{"formattedCitation":"[118]","plainCitation":"[118]","noteIndex":0},"citationItems":[{"id":347,"uris":["http://zotero.org/users/5015692/items/GGT8SXIR"],"itemData":{"id":347,"type":"article-journal","abstract":"This article addresses potential effects on reflexivity of researcher?s social position (e.g. gender, age, race, immigration status, sexual orientation), personal experiences, and political and professional beliefs. Because reflexivity is a major strategy for quality control in qualitative research, understanding how it may be impacted by the characteristics and experiences of the researcher is of paramount importance. Benefits and challenges to reflexivity under three types of researcher?s position are discussed and illustrated by means of case examples: (1) reflexivity when researcher shares the experience of study participants, (2) reflexivity when researcher moves from the position of an outsider to the position of an insider in the course of the study, and (3) reflexivity when researcher has no personal familiarity or experience with what is being studied. Strategies are offered for harvesting the benefits of researcher?s familiarity with the subject and for curbing its potentially negative effects. Directions for future research are suggested.","container-title":"Qualitative Research","DOI":"10.1177/1468794112468475","ISSN":"1468-7941","issue":"2","note":"publisher: SAGE Publications","page":"219-234","title":"Now I see it, now I don’t: researcher’s position and reflexivity in qualitative research","volume":"15","author":[{"family":"Berger","given":"Roni"}],"issued":{"date-parts":[["2015",4,1]]}}}],"schema":"https://github.com/citation-style-language/schema/raw/master/csl-citation.json"} </w:instrText>
      </w:r>
      <w:r w:rsidR="003E7751">
        <w:fldChar w:fldCharType="separate"/>
      </w:r>
      <w:r w:rsidR="007C07B4" w:rsidRPr="007C07B4">
        <w:t>[118]</w:t>
      </w:r>
      <w:r w:rsidR="003E7751">
        <w:fldChar w:fldCharType="end"/>
      </w:r>
      <w:r>
        <w:t xml:space="preserve"> (p. 220). Reflexivity allows researchers to be transparent about their own subjectivity and to consider how it may shape their research.</w:t>
      </w:r>
    </w:p>
    <w:p w14:paraId="24024902" w14:textId="3E005182" w:rsidR="00883354" w:rsidRDefault="00883354" w:rsidP="00883354">
      <w:r>
        <w:t xml:space="preserve">Reflexivity is not only an individual practice but can also be a collaborative process. Researchers can engage in reflexive dialogues with colleagues or participants to explore multiple perspectives and challenge their own assumptions. As Finlay suggests, "Reflexivity can be enhanced through </w:t>
      </w:r>
      <w:r>
        <w:lastRenderedPageBreak/>
        <w:t>dialogue and collaboration with others, such that a richer, more nuanced understanding of the research process and findings can be achieved"</w:t>
      </w:r>
      <w:r w:rsidR="00C44105">
        <w:t xml:space="preserve"> </w:t>
      </w:r>
      <w:r w:rsidR="00C44105">
        <w:fldChar w:fldCharType="begin"/>
      </w:r>
      <w:r w:rsidR="007C07B4">
        <w:instrText xml:space="preserve"> ADDIN ZOTERO_ITEM CSL_CITATION {"citationID":"yxJameeo","properties":{"formattedCitation":"[175]","plainCitation":"[175]","noteIndex":0},"citationItems":[{"id":384,"uris":["http://zotero.org/users/5015692/items/5HY6WBBR"],"itemData":{"id":384,"type":"article-journal","container-title":"Qualitative research","ISSN":"1468-7941","issue":"2","journalAbbreviation":"Qualitative research","note":"publisher: Sage Publications Sage CA: Thousand Oaks, CA","page":"209-230","title":"Negotiating the swamp: the opportunity and challenge of reflexivity in research practice","volume":"2","author":[{"family":"Finlay","given":"Linda"}],"issued":{"date-parts":[["2002"]]}}}],"schema":"https://github.com/citation-style-language/schema/raw/master/csl-citation.json"} </w:instrText>
      </w:r>
      <w:r w:rsidR="00C44105">
        <w:fldChar w:fldCharType="separate"/>
      </w:r>
      <w:r w:rsidR="007C07B4" w:rsidRPr="007C07B4">
        <w:t>[175]</w:t>
      </w:r>
      <w:r w:rsidR="00C44105">
        <w:fldChar w:fldCharType="end"/>
      </w:r>
      <w:r>
        <w:t xml:space="preserve"> (p. 226).</w:t>
      </w:r>
    </w:p>
    <w:p w14:paraId="70762932" w14:textId="49726E14" w:rsidR="000E777E" w:rsidRDefault="00883354" w:rsidP="00883354">
      <w:r>
        <w:t>In conclusion, reflexivity is an essential aspect of interpretive research that involves the researcher's self-awareness and critical examination of their own role and influence on the research process and findings. By engaging in reflexivity, researchers can enhance the transparency, credibility, and trustworthiness of their interpretive research. Reflexivity allows researchers to acknowledge their own subjectivity and to consider how it may shape their understanding of the social world they are studying.</w:t>
      </w:r>
    </w:p>
    <w:p w14:paraId="45B8D5B2" w14:textId="561D1E24" w:rsidR="000707A2" w:rsidRDefault="000707A2" w:rsidP="009C4590">
      <w:pPr>
        <w:pStyle w:val="Heading3"/>
      </w:pPr>
      <w:bookmarkStart w:id="198" w:name="_Toc169156817"/>
      <w:r>
        <w:t>Ethical Considerations in Interpretive Research</w:t>
      </w:r>
      <w:bookmarkEnd w:id="198"/>
    </w:p>
    <w:p w14:paraId="18308B12" w14:textId="77777777" w:rsidR="00E64299" w:rsidRDefault="00E64299" w:rsidP="00E64299">
      <w:r>
        <w:t>Ethical considerations are paramount in interpretive research, as it often involves close interaction with participants and the exploration of sensitive topics. Researchers have a responsibility to ensure that their research is conducted in an ethically sound manner, respecting the rights, dignity, and well-being of participants. Navigating ethical issues requires careful planning, ongoing reflection, and adherence to established ethical principles and guidelines.</w:t>
      </w:r>
    </w:p>
    <w:p w14:paraId="4215812B" w14:textId="77777777" w:rsidR="00E64299" w:rsidRDefault="00E64299" w:rsidP="00E64299">
      <w:r>
        <w:t>One of the key ethical considerations in interpretive research is informed consent. Participants must be fully informed about the purpose, nature, and potential risks of the research, and must voluntarily agree to participate. This involves providing participants with clear and accessible information about the study, their rights as participants, and how their data will be used and protected. Researchers should also ensure that participants understand that they can withdraw from the study at any time without consequence.</w:t>
      </w:r>
    </w:p>
    <w:p w14:paraId="51679CC5" w14:textId="77777777" w:rsidR="00E64299" w:rsidRDefault="00E64299" w:rsidP="00E64299">
      <w:r>
        <w:t>Confidentiality and anonymity are also critical ethical issues in interpretive research. Researchers must take steps to protect the privacy and identities of participants, especially when dealing with sensitive or personal information. This may involve using pseudonyms, removing identifying information from data, and securely storing data to prevent unauthorized access. Researchers should also be transparent with participants about the limits of confidentiality, such as when there may be legal or ethical obligations to report certain information.</w:t>
      </w:r>
    </w:p>
    <w:p w14:paraId="1159B85C" w14:textId="77777777" w:rsidR="00E64299" w:rsidRDefault="00E64299" w:rsidP="00E64299">
      <w:r>
        <w:t>Another important ethical consideration is the potential impact of the research on participants. Interpretive research often involves exploring personal experiences, beliefs, and emotions, which can be emotionally or psychologically taxing for participants. Researchers must be sensitive to the potential for harm and take steps to minimize any negative impacts. This may involve providing support resources, debriefing with participants after data collection, and being attentive to signs of distress or discomfort.</w:t>
      </w:r>
    </w:p>
    <w:p w14:paraId="081ADABD" w14:textId="77777777" w:rsidR="00E64299" w:rsidRDefault="00E64299" w:rsidP="00E64299">
      <w:r>
        <w:t xml:space="preserve">Researchers must also be aware of power dynamics and the potential for exploitation in interpretive research. The researcher-participant relationship is inherently unequal, with the researcher often seen as an authority figure. Researchers must be mindful of this power imbalance and take steps to create a respectful and collaborative research environment. This may involve </w:t>
      </w:r>
      <w:r>
        <w:lastRenderedPageBreak/>
        <w:t>seeking feedback from participants, being open to alternative interpretations, and ensuring that participants have a voice in how their data is represented.</w:t>
      </w:r>
    </w:p>
    <w:p w14:paraId="63BF6116" w14:textId="77777777" w:rsidR="00E64299" w:rsidRDefault="00E64299" w:rsidP="00E64299">
      <w:r>
        <w:t>For example, in a study exploring the experiences of marginalized communities, researchers must be particularly attentive to ethical considerations. They should work closely with community members to build trust, ensure that the research is relevant and beneficial to the community, and be transparent about the research process and findings. Researchers should also be aware of the potential for stigmatization or further marginalization and take steps to mitigate these risks.</w:t>
      </w:r>
    </w:p>
    <w:p w14:paraId="5350D58E" w14:textId="27AC3911" w:rsidR="00E64299" w:rsidRDefault="00E64299" w:rsidP="00E64299">
      <w:r>
        <w:t>The importance of ethical considerations in interpretive research is widely recognized. As Christians notes, "The research community must always strive to respect the rights, needs, values, and desires of the informants"</w:t>
      </w:r>
      <w:r w:rsidR="00B442E5">
        <w:t xml:space="preserve"> </w:t>
      </w:r>
      <w:r w:rsidR="00B442E5">
        <w:fldChar w:fldCharType="begin"/>
      </w:r>
      <w:r w:rsidR="007C07B4">
        <w:instrText xml:space="preserve"> ADDIN ZOTERO_ITEM CSL_CITATION {"citationID":"2fr3viZp","properties":{"formattedCitation":"[176]","plainCitation":"[176]","noteIndex":0},"citationItems":[{"id":385,"uris":["http://zotero.org/users/5015692/items/ZM9M365R"],"itemData":{"id":385,"type":"article-journal","container-title":"Sage Handb. Qualitat. Res","journalAbbreviation":"Sage Handb. Qualitat. Res","page":"139-164","title":"In qualitative research","volume":"139","author":[{"family":"Christians","given":"Clifford G"}],"issued":{"date-parts":[["2005"]]}}}],"schema":"https://github.com/citation-style-language/schema/raw/master/csl-citation.json"} </w:instrText>
      </w:r>
      <w:r w:rsidR="00B442E5">
        <w:fldChar w:fldCharType="separate"/>
      </w:r>
      <w:r w:rsidR="007C07B4" w:rsidRPr="007C07B4">
        <w:t>[176]</w:t>
      </w:r>
      <w:r w:rsidR="00B442E5">
        <w:fldChar w:fldCharType="end"/>
      </w:r>
      <w:r>
        <w:t xml:space="preserve"> (p. 145). Ethical research practices not only protect participants but also enhance the integrity and credibility of the research itself.</w:t>
      </w:r>
    </w:p>
    <w:p w14:paraId="0B15B648" w14:textId="2F553703" w:rsidR="00E64299" w:rsidRDefault="00E64299" w:rsidP="00E64299">
      <w:r>
        <w:t>Various ethical guidelines and codes of conduct have been developed to guide interpretive researchers. For example, the American Anthropological Association's Code of Ethics emphasizes the importance of informed consent, confidentiality, and the minimization of harm</w:t>
      </w:r>
      <w:r w:rsidR="00922C5A">
        <w:t xml:space="preserve"> </w:t>
      </w:r>
      <w:r w:rsidR="00922C5A">
        <w:fldChar w:fldCharType="begin"/>
      </w:r>
      <w:r w:rsidR="007C07B4">
        <w:instrText xml:space="preserve"> ADDIN ZOTERO_ITEM CSL_CITATION {"citationID":"Ta3dOgmU","properties":{"formattedCitation":"[40]","plainCitation":"[40]","noteIndex":0},"citationItems":[{"id":386,"uris":["http://zotero.org/users/5015692/items/3T47KEMP"],"itemData":{"id":386,"type":"article-journal","container-title":"Jane Clapp, Professional Ethics and Insignia","journalAbbreviation":"Jane Clapp, Professional Ethics and Insignia","page":"48-9","title":"Principles of professional responsibility","author":[{"literal":"American Anthropological Association"}],"issued":{"date-parts":[["2012"]]}}}],"schema":"https://github.com/citation-style-language/schema/raw/master/csl-citation.json"} </w:instrText>
      </w:r>
      <w:r w:rsidR="00922C5A">
        <w:fldChar w:fldCharType="separate"/>
      </w:r>
      <w:r w:rsidR="007C07B4" w:rsidRPr="007C07B4">
        <w:t>[40]</w:t>
      </w:r>
      <w:r w:rsidR="00922C5A">
        <w:fldChar w:fldCharType="end"/>
      </w:r>
      <w:r>
        <w:t>. It also stresses the need for researchers to be reflexive about their own biases and to consider the broader social and political implications of their work.</w:t>
      </w:r>
    </w:p>
    <w:p w14:paraId="23FE7D6F" w14:textId="73D390F6" w:rsidR="000707A2" w:rsidRPr="000707A2" w:rsidRDefault="00E64299" w:rsidP="00E64299">
      <w:r>
        <w:t>In conclusion, ethical considerations are integral to interpretive research. Researchers must prioritize the rights, well-being, and dignity of participants, and must navigate complex ethical issues with sensitivity and integrity. By adhering to ethical principles and guidelines, researchers can ensure that their interpretive research is conducted in a responsible and respectful manner.</w:t>
      </w:r>
    </w:p>
    <w:p w14:paraId="5327D93A" w14:textId="4964731B" w:rsidR="00A626FE" w:rsidRDefault="00254084" w:rsidP="009C4590">
      <w:pPr>
        <w:pStyle w:val="Heading3"/>
      </w:pPr>
      <w:bookmarkStart w:id="199" w:name="_Toc169156818"/>
      <w:r>
        <w:rPr>
          <w:noProof/>
        </w:rPr>
        <w:drawing>
          <wp:anchor distT="0" distB="0" distL="114300" distR="114300" simplePos="0" relativeHeight="251981908" behindDoc="0" locked="0" layoutInCell="1" allowOverlap="1" wp14:anchorId="2DA0BC4F" wp14:editId="4D91F430">
            <wp:simplePos x="0" y="0"/>
            <wp:positionH relativeFrom="column">
              <wp:align>right</wp:align>
            </wp:positionH>
            <wp:positionV relativeFrom="paragraph">
              <wp:posOffset>0</wp:posOffset>
            </wp:positionV>
            <wp:extent cx="914400" cy="914400"/>
            <wp:effectExtent l="19050" t="19050" r="19050" b="19050"/>
            <wp:wrapSquare wrapText="bothSides"/>
            <wp:docPr id="1604589621"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BA16B6">
        <w:t>Summary of Chapter 14</w:t>
      </w:r>
      <w:r w:rsidR="002E4B97">
        <w:t>: Interpretive Research</w:t>
      </w:r>
      <w:bookmarkEnd w:id="199"/>
    </w:p>
    <w:p w14:paraId="5E099D14" w14:textId="4F788896" w:rsidR="00EB57F9" w:rsidRDefault="00EB57F9" w:rsidP="00EB57F9">
      <w:r>
        <w:t>In this chapter, you learned about the interpretive research paradigm and how it differs from the positivist approach. Interpretive research seeks to understand social phenomena by examining the subjective meanings and experiences of participants in their natural context. Its key characteristics include:</w:t>
      </w:r>
    </w:p>
    <w:p w14:paraId="602401F0" w14:textId="5F581FB2" w:rsidR="00EB57F9" w:rsidRDefault="00EB57F9" w:rsidP="00EB57F9">
      <w:pPr>
        <w:pStyle w:val="ListParagraph"/>
        <w:numPr>
          <w:ilvl w:val="0"/>
          <w:numId w:val="353"/>
        </w:numPr>
      </w:pPr>
      <w:r>
        <w:t>Naturalistic inquiry.</w:t>
      </w:r>
    </w:p>
    <w:p w14:paraId="606B41CE" w14:textId="52C4DFAE" w:rsidR="00EB57F9" w:rsidRDefault="00EB57F9" w:rsidP="00EB57F9">
      <w:pPr>
        <w:pStyle w:val="ListParagraph"/>
        <w:numPr>
          <w:ilvl w:val="0"/>
          <w:numId w:val="353"/>
        </w:numPr>
      </w:pPr>
      <w:r>
        <w:t>Researcher as the primary instrument.</w:t>
      </w:r>
    </w:p>
    <w:p w14:paraId="0DC87213" w14:textId="65C60541" w:rsidR="00EB57F9" w:rsidRDefault="00EB57F9" w:rsidP="00EB57F9">
      <w:pPr>
        <w:pStyle w:val="ListParagraph"/>
        <w:numPr>
          <w:ilvl w:val="0"/>
          <w:numId w:val="353"/>
        </w:numPr>
      </w:pPr>
      <w:r>
        <w:t>Focus on participants' perspectives and expressive language.</w:t>
      </w:r>
    </w:p>
    <w:p w14:paraId="5DCD0E81" w14:textId="78C46FCB" w:rsidR="00EB57F9" w:rsidRDefault="00EB57F9" w:rsidP="00EB57F9">
      <w:pPr>
        <w:pStyle w:val="ListParagraph"/>
        <w:numPr>
          <w:ilvl w:val="0"/>
          <w:numId w:val="353"/>
        </w:numPr>
      </w:pPr>
      <w:r>
        <w:t>Attention to temporality and process.</w:t>
      </w:r>
    </w:p>
    <w:p w14:paraId="1EB24F45" w14:textId="2301AF24" w:rsidR="00EB57F9" w:rsidRDefault="00EB57F9" w:rsidP="00EB57F9">
      <w:pPr>
        <w:pStyle w:val="ListParagraph"/>
        <w:numPr>
          <w:ilvl w:val="0"/>
          <w:numId w:val="353"/>
        </w:numPr>
      </w:pPr>
      <w:r>
        <w:t>Iterative interpretation through the hermeneutic circle.</w:t>
      </w:r>
    </w:p>
    <w:p w14:paraId="3997CCD4" w14:textId="77777777" w:rsidR="00EB57F9" w:rsidRDefault="00EB57F9" w:rsidP="00EB57F9">
      <w:r>
        <w:t>You also learned about the main interpretive data collection methods (interviews, observation, document analysis) and research designs (case research, action research, ethnography). Each has its own strengths and is suited for different types of research questions.</w:t>
      </w:r>
    </w:p>
    <w:p w14:paraId="16B95FB5" w14:textId="77777777" w:rsidR="00EB57F9" w:rsidRDefault="00EB57F9" w:rsidP="00EB57F9">
      <w:r>
        <w:t xml:space="preserve">Interpretive research is invaluable for building theory, illuminating complex social dynamics, and generating novel insights, especially for under-theorized or idiosyncratic phenomena. However, it </w:t>
      </w:r>
      <w:r>
        <w:lastRenderedPageBreak/>
        <w:t>also faces challenges of generalizability, researcher subjectivity, time intensiveness, and contextual constraints.</w:t>
      </w:r>
    </w:p>
    <w:p w14:paraId="30DCF466" w14:textId="79849973" w:rsidR="00203649" w:rsidRPr="00203649" w:rsidRDefault="00EB57F9" w:rsidP="00EB57F9">
      <w:r>
        <w:t>Understanding interpretive research expands your methodological toolkit as a researcher. By appreciating its underlying philosophy and practices, you'll be better equipped to critically engage with published interpretive studies and to consider how this approach could be fruitfully applied to your own research questions. As you continue your research journey, I encourage you to further explore interpretive methods and think creatively about how they could help you uncover new insights into the social world of organizations.</w:t>
      </w:r>
    </w:p>
    <w:p w14:paraId="62B74749" w14:textId="77777777" w:rsidR="001003DF" w:rsidRDefault="001003DF" w:rsidP="000E309B">
      <w:pPr>
        <w:spacing w:line="360" w:lineRule="auto"/>
      </w:pPr>
    </w:p>
    <w:p w14:paraId="22930B0C" w14:textId="1545321D" w:rsidR="00DF6737" w:rsidRDefault="00DF6737" w:rsidP="000E309B">
      <w:pPr>
        <w:spacing w:line="360" w:lineRule="auto"/>
        <w:sectPr w:rsidR="00DF6737" w:rsidSect="00FD08D0">
          <w:headerReference w:type="default" r:id="rId297"/>
          <w:pgSz w:w="12240" w:h="15840"/>
          <w:pgMar w:top="1440" w:right="1440" w:bottom="1440" w:left="1440" w:header="720" w:footer="720" w:gutter="0"/>
          <w:cols w:space="720"/>
          <w:docGrid w:linePitch="299"/>
        </w:sectPr>
      </w:pPr>
    </w:p>
    <w:p w14:paraId="5327D943" w14:textId="77513E6A" w:rsidR="00A626FE" w:rsidRPr="000E309B" w:rsidRDefault="00451F4C" w:rsidP="00451F4C">
      <w:pPr>
        <w:pStyle w:val="Heading1"/>
      </w:pPr>
      <w:bookmarkStart w:id="200" w:name="_Toc169156819"/>
      <w:r w:rsidRPr="000E309B">
        <w:lastRenderedPageBreak/>
        <w:t>Mixed Methods</w:t>
      </w:r>
      <w:bookmarkEnd w:id="200"/>
    </w:p>
    <w:p w14:paraId="05645121" w14:textId="77777777" w:rsidR="00792606" w:rsidRDefault="00D14B33" w:rsidP="0061460F">
      <w:r w:rsidRPr="000E309B">
        <w:t xml:space="preserve">All quantitative and qualitative research methods have </w:t>
      </w:r>
      <w:r w:rsidR="00E62ABA">
        <w:t>specific</w:t>
      </w:r>
      <w:r w:rsidRPr="000E309B">
        <w:t xml:space="preserve"> strengths and weaknesses. Mixed methods attempt to use more than one research method on a given project to utilize the strengths of each method while mitigating their weaknesses</w:t>
      </w:r>
      <w:r w:rsidR="00792606">
        <w:t>.</w:t>
      </w:r>
    </w:p>
    <w:p w14:paraId="117B8867" w14:textId="4894894E" w:rsidR="00DF6737" w:rsidRDefault="00D14B33" w:rsidP="000E309B">
      <w:pPr>
        <w:spacing w:line="360" w:lineRule="auto"/>
        <w:sectPr w:rsidR="00DF6737" w:rsidSect="00FD08D0">
          <w:pgSz w:w="12240" w:h="15840"/>
          <w:pgMar w:top="1440" w:right="1440" w:bottom="1440" w:left="1440" w:header="720" w:footer="720" w:gutter="0"/>
          <w:cols w:space="720"/>
          <w:vAlign w:val="center"/>
          <w:titlePg/>
          <w:docGrid w:linePitch="299"/>
        </w:sectPr>
      </w:pPr>
      <w:r w:rsidRPr="000E309B">
        <w:t>.</w:t>
      </w:r>
    </w:p>
    <w:p w14:paraId="5327D948" w14:textId="238B85E3" w:rsidR="00A626FE" w:rsidRPr="000E309B" w:rsidRDefault="00A405AE" w:rsidP="00451F4C">
      <w:pPr>
        <w:pStyle w:val="Heading2"/>
      </w:pPr>
      <w:bookmarkStart w:id="201" w:name="_Toc169156820"/>
      <w:r>
        <w:rPr>
          <w:noProof/>
        </w:rPr>
        <w:lastRenderedPageBreak/>
        <w:drawing>
          <wp:anchor distT="0" distB="0" distL="114300" distR="114300" simplePos="0" relativeHeight="251722836" behindDoc="0" locked="0" layoutInCell="1" allowOverlap="1" wp14:anchorId="73312C19" wp14:editId="21018E09">
            <wp:simplePos x="0" y="0"/>
            <wp:positionH relativeFrom="column">
              <wp:align>right</wp:align>
            </wp:positionH>
            <wp:positionV relativeFrom="paragraph">
              <wp:posOffset>0</wp:posOffset>
            </wp:positionV>
            <wp:extent cx="1298448" cy="1298448"/>
            <wp:effectExtent l="0" t="0" r="0" b="0"/>
            <wp:wrapSquare wrapText="bothSides"/>
            <wp:docPr id="277458" name="Picture 27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58" name="Picture 277458"/>
                    <pic:cNvPicPr/>
                  </pic:nvPicPr>
                  <pic:blipFill>
                    <a:blip r:embed="rId298" cstate="print">
                      <a:extLst>
                        <a:ext uri="{BEBA8EAE-BF5A-486C-A8C5-ECC9F3942E4B}">
                          <a14:imgProps xmlns:a14="http://schemas.microsoft.com/office/drawing/2010/main">
                            <a14:imgLayer r:embed="rId29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298448" cy="1298448"/>
                    </a:xfrm>
                    <a:prstGeom prst="rect">
                      <a:avLst/>
                    </a:prstGeom>
                  </pic:spPr>
                </pic:pic>
              </a:graphicData>
            </a:graphic>
            <wp14:sizeRelH relativeFrom="margin">
              <wp14:pctWidth>0</wp14:pctWidth>
            </wp14:sizeRelH>
            <wp14:sizeRelV relativeFrom="margin">
              <wp14:pctHeight>0</wp14:pctHeight>
            </wp14:sizeRelV>
          </wp:anchor>
        </w:drawing>
      </w:r>
      <w:r w:rsidR="00671066">
        <w:t>1</w:t>
      </w:r>
      <w:r w:rsidR="002E4B97">
        <w:t>5</w:t>
      </w:r>
      <w:r w:rsidR="00671066">
        <w:t xml:space="preserve">: </w:t>
      </w:r>
      <w:r w:rsidR="00451F4C" w:rsidRPr="000E309B">
        <w:t>Mixed Methods</w:t>
      </w:r>
      <w:bookmarkEnd w:id="201"/>
    </w:p>
    <w:p w14:paraId="5327D94B" w14:textId="5BFC2E5F" w:rsidR="00A626FE" w:rsidRPr="000E309B" w:rsidRDefault="00860548" w:rsidP="006053AC">
      <w:r w:rsidRPr="00860548">
        <w:t xml:space="preserve">Researchers are often uncomfortable with a single approach to an issue and believe that more might be learned by looking at it from different perspectives. In these circumstances, researchers may decide to take a second or even third approach to the research design </w:t>
      </w:r>
      <w:r w:rsidR="00390CC8" w:rsidRPr="00860548">
        <w:t>to</w:t>
      </w:r>
      <w:r w:rsidRPr="00860548">
        <w:t xml:space="preserve"> triangulate a more suitable explanation for the question.</w:t>
      </w:r>
    </w:p>
    <w:p w14:paraId="6B08BEF2" w14:textId="475D2BDE" w:rsidR="007F019B" w:rsidRDefault="00E0031F" w:rsidP="004200C3">
      <w:pPr>
        <w:pStyle w:val="IntenseQuote"/>
      </w:pPr>
      <w:r>
        <w:rPr>
          <w:noProof/>
        </w:rPr>
        <w:drawing>
          <wp:anchor distT="0" distB="0" distL="114300" distR="114300" simplePos="0" relativeHeight="251948116" behindDoc="0" locked="0" layoutInCell="1" allowOverlap="1" wp14:anchorId="5C68B518" wp14:editId="62A5A5E1">
            <wp:simplePos x="0" y="0"/>
            <wp:positionH relativeFrom="column">
              <wp:align>right</wp:align>
            </wp:positionH>
            <wp:positionV relativeFrom="paragraph">
              <wp:posOffset>0</wp:posOffset>
            </wp:positionV>
            <wp:extent cx="914400" cy="914400"/>
            <wp:effectExtent l="19050" t="19050" r="19050" b="19050"/>
            <wp:wrapSquare wrapText="bothSides"/>
            <wp:docPr id="1684255014"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61460F">
        <w:t>Objectives</w:t>
      </w:r>
    </w:p>
    <w:p w14:paraId="78F0D1F7" w14:textId="77777777" w:rsidR="006D5AAB" w:rsidRDefault="006D5AAB" w:rsidP="006D5AAB">
      <w:pPr>
        <w:pStyle w:val="Quote"/>
      </w:pPr>
      <w:r>
        <w:t>Differentiate between quantitative, qualitative, and mixed methods research approaches, and evaluate the strengths and limitations of each in addressing various research questions and objectives.</w:t>
      </w:r>
    </w:p>
    <w:p w14:paraId="13F01806" w14:textId="77777777" w:rsidR="006D5AAB" w:rsidRDefault="006D5AAB" w:rsidP="006D5AAB">
      <w:pPr>
        <w:pStyle w:val="Quote"/>
      </w:pPr>
      <w:r>
        <w:t>Describe the key characteristics and procedures involved in quantitative descriptive analysis techniques, including univariate analysis of frequency distributions, central tendency, and dispersion, as well as bivariate analysis using correlation coefficients, correlation plots, and scatter plots. Demonstrate the ability to interpret and draw meaningful insights from the results of these analyses.</w:t>
      </w:r>
    </w:p>
    <w:p w14:paraId="474EF173" w14:textId="77777777" w:rsidR="006D5AAB" w:rsidRDefault="006D5AAB" w:rsidP="006D5AAB">
      <w:pPr>
        <w:pStyle w:val="Quote"/>
      </w:pPr>
      <w:r>
        <w:t>Explain the role and process of inferential statistics in testing hypotheses and drawing conclusions from sample data. Discuss key concepts such as the null and alternative hypotheses, p-values, and statistical significance. Identify and describe common inferential analysis techniques, including t-tests, ANOVA, factor analysis, regression analysis, path analysis, and time series analysis, and articulate when each technique would be most appropriately applied.</w:t>
      </w:r>
    </w:p>
    <w:p w14:paraId="01268CEB" w14:textId="77777777" w:rsidR="006D5AAB" w:rsidRDefault="006D5AAB" w:rsidP="006D5AAB">
      <w:pPr>
        <w:pStyle w:val="Quote"/>
      </w:pPr>
      <w:r>
        <w:t>Outline the principles and procedures of qualitative analysis, with a focus on the grounded theory approach. Describe the three main coding techniques (open, axial, and selective coding) and the constant comparative method used to systematically develop theories grounded in empirical data. Demonstrate an understanding of how qualitative researchers address concerns related to objectivity, reliability, validity, and generalizability in their work.</w:t>
      </w:r>
    </w:p>
    <w:p w14:paraId="68504BBF" w14:textId="56AAB6A8" w:rsidR="006D5AAB" w:rsidRDefault="006D5AAB" w:rsidP="006D5AAB">
      <w:pPr>
        <w:pStyle w:val="Quote"/>
      </w:pPr>
      <w:r>
        <w:t>Compare and contrast quantitative and qualitative research paradigms and discuss the historical tensions and critiques between these approaches. Evaluate strategies employed by researchers in each tradition to address key methodological issues and limitations.</w:t>
      </w:r>
    </w:p>
    <w:p w14:paraId="4643E6B2" w14:textId="132ABEF2" w:rsidR="006D5AAB" w:rsidRDefault="006D5AAB" w:rsidP="006D5AAB">
      <w:pPr>
        <w:pStyle w:val="Quote"/>
      </w:pPr>
      <w:r>
        <w:t xml:space="preserve">Define mixed methods research and articulate its emergence as a response to the limitations of relying solely on either quantitative or qualitative approaches. Describe the key characteristics of mixed methods studies and discuss how this </w:t>
      </w:r>
      <w:r>
        <w:lastRenderedPageBreak/>
        <w:t>approach can provide a more comprehensive and nuanced understanding of complex research problems.</w:t>
      </w:r>
    </w:p>
    <w:p w14:paraId="3E719408" w14:textId="77777777" w:rsidR="006D5AAB" w:rsidRDefault="006D5AAB" w:rsidP="006D5AAB">
      <w:pPr>
        <w:pStyle w:val="Quote"/>
      </w:pPr>
      <w:r>
        <w:t>Explain the concept of triangulation and its role in mixed methods research. Identify and describe the four main types of triangulation (data, investigator, theory, and methodological), and discuss how each contributes to enhancing the accuracy, credibility, and robustness of research findings.</w:t>
      </w:r>
    </w:p>
    <w:p w14:paraId="75035063" w14:textId="5431ED66" w:rsidR="0061460F" w:rsidRDefault="006D5AAB" w:rsidP="006D5AAB">
      <w:pPr>
        <w:pStyle w:val="Quote"/>
      </w:pPr>
      <w:r>
        <w:t>Outline the six-step process for designing and executing a mixed methods research project, and evaluate the key considerations and decisions involved at each stage. Demonstrate the ability to determine the appropriateness of a mixed methods approach, select a design strategy, develop research questions, collect and analyze quantitative and qualitative data, integrate findings, and draw meta-inferences to address the overarching research problem.</w:t>
      </w:r>
    </w:p>
    <w:p w14:paraId="5327D954" w14:textId="40E4D82A" w:rsidR="00A626FE" w:rsidRPr="000E309B" w:rsidRDefault="00157EB2" w:rsidP="00157EB2">
      <w:pPr>
        <w:pStyle w:val="Heading3"/>
      </w:pPr>
      <w:bookmarkStart w:id="202" w:name="_Toc169156821"/>
      <w:r>
        <w:t>I</w:t>
      </w:r>
      <w:r w:rsidR="00D14B33" w:rsidRPr="000E309B">
        <w:t>ntroduction</w:t>
      </w:r>
      <w:bookmarkEnd w:id="202"/>
    </w:p>
    <w:p w14:paraId="3A31F787" w14:textId="1AF75646" w:rsidR="00E13618" w:rsidRDefault="004B61F5" w:rsidP="00244FD1">
      <w:r w:rsidRPr="004B61F5">
        <w:t>Two approaches to a project are qualitative research and quantitative research. Projects involving quantitative research collect and use statistical techniques to interpret numerical data.</w:t>
      </w:r>
      <w:r w:rsidR="00E13618">
        <w:t xml:space="preserve"> </w:t>
      </w:r>
      <w:r w:rsidR="00FB4B92">
        <w:t>Projects involving q</w:t>
      </w:r>
      <w:r w:rsidR="00E13618" w:rsidRPr="004B61F5">
        <w:t>ualitative research initiatives</w:t>
      </w:r>
      <w:r w:rsidR="00FB4B92">
        <w:t>, on the other hand,</w:t>
      </w:r>
      <w:r w:rsidRPr="004B61F5">
        <w:t xml:space="preserve"> </w:t>
      </w:r>
      <w:r w:rsidR="00FB4B92">
        <w:t>gather n</w:t>
      </w:r>
      <w:r w:rsidRPr="004B61F5">
        <w:t xml:space="preserve">on-numerical data and analyze </w:t>
      </w:r>
      <w:r w:rsidR="00FB4B92">
        <w:t>it with</w:t>
      </w:r>
      <w:r w:rsidRPr="004B61F5">
        <w:t xml:space="preserve"> non-mathematical techniques in. Mixed methods, however, allow mixing both kinds of analysis in a single study. </w:t>
      </w:r>
      <w:r w:rsidR="00D929CA">
        <w:t xml:space="preserve">This chapter first briefly revisits quantitative and qualitative methods, then </w:t>
      </w:r>
      <w:r w:rsidR="007778D3">
        <w:t xml:space="preserve">discusses the </w:t>
      </w:r>
      <w:r w:rsidRPr="004B61F5">
        <w:t xml:space="preserve">procedure </w:t>
      </w:r>
      <w:r w:rsidR="007778D3">
        <w:t>used to</w:t>
      </w:r>
      <w:r w:rsidRPr="004B61F5">
        <w:t xml:space="preserve"> combin</w:t>
      </w:r>
      <w:r w:rsidR="007778D3">
        <w:t>e</w:t>
      </w:r>
      <w:r w:rsidRPr="004B61F5">
        <w:t xml:space="preserve"> </w:t>
      </w:r>
      <w:r w:rsidR="007778D3">
        <w:t>those</w:t>
      </w:r>
      <w:r w:rsidRPr="004B61F5">
        <w:t xml:space="preserve"> techniques.</w:t>
      </w:r>
    </w:p>
    <w:p w14:paraId="5327D96B" w14:textId="07B4B289" w:rsidR="00A626FE" w:rsidRPr="000E309B" w:rsidRDefault="00CC54A3" w:rsidP="00CC54A3">
      <w:pPr>
        <w:pStyle w:val="Heading3"/>
      </w:pPr>
      <w:bookmarkStart w:id="203" w:name="_Toc169156822"/>
      <w:r>
        <w:t>Q</w:t>
      </w:r>
      <w:r w:rsidR="00D14B33" w:rsidRPr="000E309B">
        <w:t xml:space="preserve">uantitative </w:t>
      </w:r>
      <w:r>
        <w:t>A</w:t>
      </w:r>
      <w:r w:rsidR="00D14B33" w:rsidRPr="000E309B">
        <w:t>nalysis</w:t>
      </w:r>
      <w:bookmarkEnd w:id="203"/>
    </w:p>
    <w:p w14:paraId="753E4EEB" w14:textId="77777777" w:rsidR="00251C4D" w:rsidRDefault="00251C4D" w:rsidP="00251C4D">
      <w:r>
        <w:t>Numeric data collected in a research project can be analyzed quantitatively using statistical tools in two main ways:</w:t>
      </w:r>
    </w:p>
    <w:p w14:paraId="62551D87" w14:textId="77777777" w:rsidR="00251C4D" w:rsidRDefault="00251C4D" w:rsidP="00251C4D">
      <w:pPr>
        <w:pStyle w:val="ListParagraph"/>
        <w:numPr>
          <w:ilvl w:val="0"/>
          <w:numId w:val="354"/>
        </w:numPr>
      </w:pPr>
      <w:r>
        <w:t>Descriptive analysis: Statistically describing, aggregating, and correlating variables.</w:t>
      </w:r>
    </w:p>
    <w:p w14:paraId="765AB5DB" w14:textId="77777777" w:rsidR="00251C4D" w:rsidRDefault="00251C4D" w:rsidP="00251C4D">
      <w:pPr>
        <w:pStyle w:val="ListParagraph"/>
        <w:numPr>
          <w:ilvl w:val="0"/>
          <w:numId w:val="354"/>
        </w:numPr>
      </w:pPr>
      <w:r>
        <w:t>Inferential analysis: Statistical testing of hypotheses.</w:t>
      </w:r>
    </w:p>
    <w:p w14:paraId="10FF8F64" w14:textId="77777777" w:rsidR="00251C4D" w:rsidRDefault="00251C4D" w:rsidP="00251C4D">
      <w:r>
        <w:t>In this section, we will focus on descriptive analysis techniques.</w:t>
      </w:r>
    </w:p>
    <w:p w14:paraId="506D0112" w14:textId="22431ED9" w:rsidR="00BF2586" w:rsidRDefault="00BF2586" w:rsidP="00BF2586">
      <w:pPr>
        <w:pStyle w:val="Heading4"/>
      </w:pPr>
      <w:r>
        <w:t>Descriptive Analysis</w:t>
      </w:r>
    </w:p>
    <w:p w14:paraId="49FAE1A4" w14:textId="77777777" w:rsidR="00251C4D" w:rsidRDefault="00251C4D" w:rsidP="00BF2586">
      <w:pPr>
        <w:pStyle w:val="Heading5"/>
      </w:pPr>
      <w:r>
        <w:t>Univariate Analysis</w:t>
      </w:r>
    </w:p>
    <w:p w14:paraId="38AF2C11" w14:textId="77777777" w:rsidR="00251C4D" w:rsidRDefault="00251C4D" w:rsidP="00251C4D">
      <w:r>
        <w:t>Univariate analysis involves examining a single variable using a set of statistical techniques to describe its general properties. Three key aspects of univariate analysis are frequency distribution, central tendency, and dispersion.</w:t>
      </w:r>
    </w:p>
    <w:p w14:paraId="608FF37A" w14:textId="77777777" w:rsidR="00251C4D" w:rsidRDefault="00251C4D" w:rsidP="00BF2586">
      <w:pPr>
        <w:pStyle w:val="Heading5"/>
      </w:pPr>
      <w:r>
        <w:t>Frequency Distribution</w:t>
      </w:r>
    </w:p>
    <w:p w14:paraId="63F18F5C" w14:textId="77777777" w:rsidR="000121C7" w:rsidRDefault="00251C4D" w:rsidP="00251C4D">
      <w:r>
        <w:t xml:space="preserve">A frequency distribution summarizes how often individual values occur within a variable. For example, in a grocery store, we can measure how frequently customers purchase different product types, such as "produce," "dairy," and "meat." By counting the number or percentage of </w:t>
      </w:r>
      <w:r>
        <w:lastRenderedPageBreak/>
        <w:t xml:space="preserve">observations within each category and displaying them in a table, we create a frequency distribution. </w:t>
      </w:r>
    </w:p>
    <w:tbl>
      <w:tblPr>
        <w:tblStyle w:val="GridTable5Dark-Accent1"/>
        <w:tblW w:w="0" w:type="auto"/>
        <w:jc w:val="center"/>
        <w:tblLook w:val="04A0" w:firstRow="1" w:lastRow="0" w:firstColumn="1" w:lastColumn="0" w:noHBand="0" w:noVBand="1"/>
      </w:tblPr>
      <w:tblGrid>
        <w:gridCol w:w="1057"/>
        <w:gridCol w:w="1032"/>
      </w:tblGrid>
      <w:tr w:rsidR="000121C7" w14:paraId="028CAA62" w14:textId="77777777" w:rsidTr="00264930">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237DD87B" w14:textId="77777777" w:rsidR="000121C7" w:rsidRDefault="000121C7" w:rsidP="00264930">
            <w:pPr>
              <w:keepNext/>
              <w:keepLines/>
            </w:pPr>
            <w:r>
              <w:t>Item</w:t>
            </w:r>
          </w:p>
        </w:tc>
        <w:tc>
          <w:tcPr>
            <w:tcW w:w="0" w:type="auto"/>
          </w:tcPr>
          <w:p w14:paraId="2DE6991D" w14:textId="77777777" w:rsidR="000121C7" w:rsidRDefault="000121C7" w:rsidP="00264930">
            <w:pPr>
              <w:keepNext/>
              <w:keepLines/>
              <w:cnfStyle w:val="100000000000" w:firstRow="1" w:lastRow="0" w:firstColumn="0" w:lastColumn="0" w:oddVBand="0" w:evenVBand="0" w:oddHBand="0" w:evenHBand="0" w:firstRowFirstColumn="0" w:firstRowLastColumn="0" w:lastRowFirstColumn="0" w:lastRowLastColumn="0"/>
            </w:pPr>
            <w:r>
              <w:t>Number</w:t>
            </w:r>
          </w:p>
        </w:tc>
      </w:tr>
      <w:tr w:rsidR="000121C7" w14:paraId="3672F902" w14:textId="77777777" w:rsidTr="00264930">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69711198" w14:textId="77777777" w:rsidR="000121C7" w:rsidRDefault="000121C7" w:rsidP="00264930">
            <w:pPr>
              <w:keepNext/>
              <w:keepLines/>
            </w:pPr>
            <w:r>
              <w:t>Produce</w:t>
            </w:r>
          </w:p>
        </w:tc>
        <w:tc>
          <w:tcPr>
            <w:tcW w:w="0" w:type="auto"/>
          </w:tcPr>
          <w:p w14:paraId="31BCE391" w14:textId="77777777" w:rsidR="000121C7" w:rsidRDefault="000121C7" w:rsidP="00264930">
            <w:pPr>
              <w:keepNext/>
              <w:keepLines/>
              <w:cnfStyle w:val="000000100000" w:firstRow="0" w:lastRow="0" w:firstColumn="0" w:lastColumn="0" w:oddVBand="0" w:evenVBand="0" w:oddHBand="1" w:evenHBand="0" w:firstRowFirstColumn="0" w:firstRowLastColumn="0" w:lastRowFirstColumn="0" w:lastRowLastColumn="0"/>
            </w:pPr>
            <w:r>
              <w:t>374</w:t>
            </w:r>
          </w:p>
        </w:tc>
      </w:tr>
      <w:tr w:rsidR="000121C7" w14:paraId="4696333F" w14:textId="77777777" w:rsidTr="00264930">
        <w:trPr>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73C79891" w14:textId="77777777" w:rsidR="000121C7" w:rsidRDefault="000121C7" w:rsidP="00264930">
            <w:pPr>
              <w:keepNext/>
              <w:keepLines/>
            </w:pPr>
            <w:r>
              <w:t>Dairy</w:t>
            </w:r>
          </w:p>
        </w:tc>
        <w:tc>
          <w:tcPr>
            <w:tcW w:w="0" w:type="auto"/>
          </w:tcPr>
          <w:p w14:paraId="4B34E085" w14:textId="77777777" w:rsidR="000121C7" w:rsidRDefault="000121C7" w:rsidP="00264930">
            <w:pPr>
              <w:keepNext/>
              <w:keepLines/>
              <w:cnfStyle w:val="000000000000" w:firstRow="0" w:lastRow="0" w:firstColumn="0" w:lastColumn="0" w:oddVBand="0" w:evenVBand="0" w:oddHBand="0" w:evenHBand="0" w:firstRowFirstColumn="0" w:firstRowLastColumn="0" w:lastRowFirstColumn="0" w:lastRowLastColumn="0"/>
            </w:pPr>
            <w:r>
              <w:t>291</w:t>
            </w:r>
          </w:p>
        </w:tc>
      </w:tr>
      <w:tr w:rsidR="000121C7" w14:paraId="6791A264" w14:textId="77777777" w:rsidTr="00264930">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0" w:type="auto"/>
          </w:tcPr>
          <w:p w14:paraId="0B38C511" w14:textId="77777777" w:rsidR="000121C7" w:rsidRDefault="000121C7" w:rsidP="00264930">
            <w:pPr>
              <w:keepNext/>
              <w:keepLines/>
            </w:pPr>
            <w:r>
              <w:t>Meat</w:t>
            </w:r>
          </w:p>
        </w:tc>
        <w:tc>
          <w:tcPr>
            <w:tcW w:w="0" w:type="auto"/>
          </w:tcPr>
          <w:p w14:paraId="1BECD41A" w14:textId="77777777" w:rsidR="000121C7" w:rsidRDefault="000121C7" w:rsidP="00264930">
            <w:pPr>
              <w:keepNext/>
              <w:keepLines/>
              <w:cnfStyle w:val="000000100000" w:firstRow="0" w:lastRow="0" w:firstColumn="0" w:lastColumn="0" w:oddVBand="0" w:evenVBand="0" w:oddHBand="1" w:evenHBand="0" w:firstRowFirstColumn="0" w:firstRowLastColumn="0" w:lastRowFirstColumn="0" w:lastRowLastColumn="0"/>
            </w:pPr>
            <w:r>
              <w:t>187</w:t>
            </w:r>
          </w:p>
        </w:tc>
      </w:tr>
    </w:tbl>
    <w:p w14:paraId="09B9E163" w14:textId="77777777" w:rsidR="000121C7" w:rsidRDefault="000121C7" w:rsidP="000121C7">
      <w:pPr>
        <w:pStyle w:val="NoSpacing"/>
      </w:pPr>
    </w:p>
    <w:p w14:paraId="0D7C8C27" w14:textId="357FFA80" w:rsidR="00251C4D" w:rsidRDefault="00251C4D" w:rsidP="000121C7">
      <w:r>
        <w:t>This information can also be represented visually using a bar chart, with the horizontal axis showing the number of purchases in each category and the vertical axis listing the categories.</w:t>
      </w:r>
    </w:p>
    <w:p w14:paraId="776DDA52" w14:textId="3659D467" w:rsidR="002C39A5" w:rsidRDefault="002C39A5" w:rsidP="00251C4D">
      <w:r>
        <w:rPr>
          <w:noProof/>
        </w:rPr>
        <w:drawing>
          <wp:anchor distT="0" distB="0" distL="114300" distR="114300" simplePos="0" relativeHeight="251914324" behindDoc="0" locked="0" layoutInCell="1" allowOverlap="1" wp14:anchorId="2F3640E5" wp14:editId="48E52492">
            <wp:simplePos x="0" y="0"/>
            <wp:positionH relativeFrom="column">
              <wp:align>center</wp:align>
            </wp:positionH>
            <wp:positionV relativeFrom="paragraph">
              <wp:posOffset>1905</wp:posOffset>
            </wp:positionV>
            <wp:extent cx="3712464" cy="2423160"/>
            <wp:effectExtent l="0" t="0" r="2540" b="0"/>
            <wp:wrapTopAndBottom/>
            <wp:docPr id="243044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44238" name="Picture 243044238"/>
                    <pic:cNvPicPr/>
                  </pic:nvPicPr>
                  <pic:blipFill>
                    <a:blip r:embed="rId300">
                      <a:extLst>
                        <a:ext uri="{28A0092B-C50C-407E-A947-70E740481C1C}">
                          <a14:useLocalDpi xmlns:a14="http://schemas.microsoft.com/office/drawing/2010/main" val="0"/>
                        </a:ext>
                      </a:extLst>
                    </a:blip>
                    <a:stretch>
                      <a:fillRect/>
                    </a:stretch>
                  </pic:blipFill>
                  <pic:spPr>
                    <a:xfrm>
                      <a:off x="0" y="0"/>
                      <a:ext cx="3712464" cy="2423160"/>
                    </a:xfrm>
                    <a:prstGeom prst="rect">
                      <a:avLst/>
                    </a:prstGeom>
                  </pic:spPr>
                </pic:pic>
              </a:graphicData>
            </a:graphic>
            <wp14:sizeRelH relativeFrom="page">
              <wp14:pctWidth>0</wp14:pctWidth>
            </wp14:sizeRelH>
            <wp14:sizeRelV relativeFrom="page">
              <wp14:pctHeight>0</wp14:pctHeight>
            </wp14:sizeRelV>
          </wp:anchor>
        </w:drawing>
      </w:r>
    </w:p>
    <w:p w14:paraId="5A3E897D" w14:textId="77777777" w:rsidR="00251C4D" w:rsidRDefault="00251C4D" w:rsidP="00BF2586">
      <w:pPr>
        <w:pStyle w:val="Heading5"/>
      </w:pPr>
      <w:r>
        <w:t>Central Tendency</w:t>
      </w:r>
    </w:p>
    <w:p w14:paraId="2C2D7945" w14:textId="77777777" w:rsidR="00251C4D" w:rsidRDefault="00251C4D" w:rsidP="00251C4D">
      <w:r>
        <w:t>Central tendency refers to the "center" or typical value of a data set. The three most common measures of central tendency are:</w:t>
      </w:r>
    </w:p>
    <w:p w14:paraId="6CB0E7DB" w14:textId="77777777" w:rsidR="00251C4D" w:rsidRDefault="00251C4D" w:rsidP="00863C73">
      <w:pPr>
        <w:pStyle w:val="ListParagraph"/>
        <w:numPr>
          <w:ilvl w:val="0"/>
          <w:numId w:val="355"/>
        </w:numPr>
      </w:pPr>
      <w:r>
        <w:t>Mean (arithmetic mean): The average of all values, calculated by summing all values and dividing by the number of values.</w:t>
      </w:r>
    </w:p>
    <w:p w14:paraId="59BBB2CB" w14:textId="77777777" w:rsidR="00251C4D" w:rsidRDefault="00251C4D" w:rsidP="00863C73">
      <w:pPr>
        <w:pStyle w:val="ListParagraph"/>
        <w:numPr>
          <w:ilvl w:val="0"/>
          <w:numId w:val="355"/>
        </w:numPr>
      </w:pPr>
      <w:r>
        <w:t>Median: The middle value in an ordered distribution. For an odd number of values, it is the exact middle value. For an even number of values, it is the average of the two middle values.</w:t>
      </w:r>
    </w:p>
    <w:p w14:paraId="10C707DD" w14:textId="77777777" w:rsidR="00251C4D" w:rsidRDefault="00251C4D" w:rsidP="00863C73">
      <w:pPr>
        <w:pStyle w:val="ListParagraph"/>
        <w:numPr>
          <w:ilvl w:val="0"/>
          <w:numId w:val="355"/>
        </w:numPr>
      </w:pPr>
      <w:r>
        <w:t>Mode: The most frequently occurring value in a distribution. Mode is typically used for categorical data rather than numeric data.</w:t>
      </w:r>
    </w:p>
    <w:p w14:paraId="3E857543" w14:textId="77777777" w:rsidR="00251C4D" w:rsidRDefault="00251C4D" w:rsidP="00BF2586">
      <w:pPr>
        <w:pStyle w:val="Heading5"/>
      </w:pPr>
      <w:r>
        <w:t>Dispersion</w:t>
      </w:r>
    </w:p>
    <w:p w14:paraId="20F06C39" w14:textId="77777777" w:rsidR="00251C4D" w:rsidRDefault="00251C4D" w:rsidP="00251C4D">
      <w:r>
        <w:t>Dispersion describes how values are spread around the center of the data. Two common measures of dispersion are:</w:t>
      </w:r>
    </w:p>
    <w:p w14:paraId="0CDA9890" w14:textId="0AA03B36" w:rsidR="00251C4D" w:rsidRDefault="00251C4D" w:rsidP="00251C4D">
      <w:pPr>
        <w:pStyle w:val="ListParagraph"/>
        <w:numPr>
          <w:ilvl w:val="0"/>
          <w:numId w:val="356"/>
        </w:numPr>
      </w:pPr>
      <w:r>
        <w:t xml:space="preserve">Range: The difference between the highest and lowest values in a distribution. However, the range is sensitive to outliers, which can skew the results. For instance, in a </w:t>
      </w:r>
      <w:r>
        <w:lastRenderedPageBreak/>
        <w:t>neighborhood where most houses are valued between $100K and $200K, a single $300K house would significantly increase the range, making it less representative of the typical values.</w:t>
      </w:r>
    </w:p>
    <w:p w14:paraId="391B7FF0" w14:textId="77777777" w:rsidR="00251C4D" w:rsidRDefault="00251C4D" w:rsidP="00863C73">
      <w:pPr>
        <w:pStyle w:val="ListParagraph"/>
        <w:numPr>
          <w:ilvl w:val="0"/>
          <w:numId w:val="356"/>
        </w:numPr>
      </w:pPr>
      <w:r>
        <w:t>Standard deviation: A measure of the average distance between each value and the mean of the data set. It is calculated by finding the deviation of each value from the mean, then taking the average of all those deviations. Unlike the range, the standard deviation is not heavily influenced by outliers, making it a more robust measure of dispersion. A lower standard deviation indicates that the data points tend to be closer to the mean, while a higher standard deviation suggests the data is more spread out.</w:t>
      </w:r>
    </w:p>
    <w:p w14:paraId="2006D842" w14:textId="77777777" w:rsidR="00251C4D" w:rsidRDefault="00251C4D" w:rsidP="00BF2586">
      <w:pPr>
        <w:pStyle w:val="Heading5"/>
      </w:pPr>
      <w:r>
        <w:t>Bivariate Analysis</w:t>
      </w:r>
    </w:p>
    <w:p w14:paraId="41A32B07" w14:textId="77777777" w:rsidR="00251C4D" w:rsidRDefault="00251C4D" w:rsidP="00251C4D">
      <w:r>
        <w:t>Bivariate analysis involves examining the relationship between two variables. The most common bivariate statistic is the correlation coefficient, which ranges from -1.00 to +1.00 and indicates the strength and direction of the relationship.</w:t>
      </w:r>
    </w:p>
    <w:p w14:paraId="12088AB8" w14:textId="77777777" w:rsidR="00251C4D" w:rsidRDefault="00251C4D" w:rsidP="00251C4D">
      <w:r>
        <w:t>For example, consider the data set in Figure 87, which contains specifications for 32 automobiles from 1973-74 models, as reported in the 1974 Motor Trend magazine.</w:t>
      </w:r>
    </w:p>
    <w:tbl>
      <w:tblPr>
        <w:tblStyle w:val="GridTable5Dark-Accent3"/>
        <w:tblW w:w="0" w:type="auto"/>
        <w:jc w:val="center"/>
        <w:tblLook w:val="04A0" w:firstRow="1" w:lastRow="0" w:firstColumn="1" w:lastColumn="0" w:noHBand="0" w:noVBand="1"/>
      </w:tblPr>
      <w:tblGrid>
        <w:gridCol w:w="1646"/>
        <w:gridCol w:w="639"/>
        <w:gridCol w:w="546"/>
        <w:gridCol w:w="673"/>
        <w:gridCol w:w="569"/>
        <w:gridCol w:w="749"/>
        <w:gridCol w:w="749"/>
      </w:tblGrid>
      <w:tr w:rsidR="0010250F" w14:paraId="5A320529" w14:textId="77777777" w:rsidTr="0026493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F99BDBF" w14:textId="77777777" w:rsidR="0010250F" w:rsidRDefault="0010250F" w:rsidP="00264930">
            <w:r>
              <w:t>Name</w:t>
            </w:r>
          </w:p>
        </w:tc>
        <w:tc>
          <w:tcPr>
            <w:tcW w:w="0" w:type="auto"/>
          </w:tcPr>
          <w:p w14:paraId="281124C6" w14:textId="77777777" w:rsidR="0010250F" w:rsidRDefault="0010250F" w:rsidP="00264930">
            <w:pPr>
              <w:cnfStyle w:val="100000000000" w:firstRow="1" w:lastRow="0" w:firstColumn="0" w:lastColumn="0" w:oddVBand="0" w:evenVBand="0" w:oddHBand="0" w:evenHBand="0" w:firstRowFirstColumn="0" w:firstRowLastColumn="0" w:lastRowFirstColumn="0" w:lastRowLastColumn="0"/>
            </w:pPr>
            <w:r>
              <w:t>Mpg</w:t>
            </w:r>
          </w:p>
        </w:tc>
        <w:tc>
          <w:tcPr>
            <w:tcW w:w="0" w:type="auto"/>
          </w:tcPr>
          <w:p w14:paraId="34BC9859" w14:textId="77777777" w:rsidR="0010250F" w:rsidRDefault="0010250F" w:rsidP="00264930">
            <w:pPr>
              <w:cnfStyle w:val="100000000000" w:firstRow="1" w:lastRow="0" w:firstColumn="0" w:lastColumn="0" w:oddVBand="0" w:evenVBand="0" w:oddHBand="0" w:evenHBand="0" w:firstRowFirstColumn="0" w:firstRowLastColumn="0" w:lastRowFirstColumn="0" w:lastRowLastColumn="0"/>
            </w:pPr>
            <w:r>
              <w:t>Cyl</w:t>
            </w:r>
          </w:p>
        </w:tc>
        <w:tc>
          <w:tcPr>
            <w:tcW w:w="0" w:type="auto"/>
          </w:tcPr>
          <w:p w14:paraId="422D4EB2" w14:textId="77777777" w:rsidR="0010250F" w:rsidRDefault="0010250F" w:rsidP="00264930">
            <w:pPr>
              <w:cnfStyle w:val="100000000000" w:firstRow="1" w:lastRow="0" w:firstColumn="0" w:lastColumn="0" w:oddVBand="0" w:evenVBand="0" w:oddHBand="0" w:evenHBand="0" w:firstRowFirstColumn="0" w:firstRowLastColumn="0" w:lastRowFirstColumn="0" w:lastRowLastColumn="0"/>
            </w:pPr>
            <w:r>
              <w:t>Disp</w:t>
            </w:r>
          </w:p>
        </w:tc>
        <w:tc>
          <w:tcPr>
            <w:tcW w:w="0" w:type="auto"/>
          </w:tcPr>
          <w:p w14:paraId="5F30DDA0" w14:textId="77777777" w:rsidR="0010250F" w:rsidRDefault="0010250F" w:rsidP="00264930">
            <w:pPr>
              <w:cnfStyle w:val="100000000000" w:firstRow="1" w:lastRow="0" w:firstColumn="0" w:lastColumn="0" w:oddVBand="0" w:evenVBand="0" w:oddHBand="0" w:evenHBand="0" w:firstRowFirstColumn="0" w:firstRowLastColumn="0" w:lastRowFirstColumn="0" w:lastRowLastColumn="0"/>
            </w:pPr>
            <w:r>
              <w:t>Hp</w:t>
            </w:r>
          </w:p>
        </w:tc>
        <w:tc>
          <w:tcPr>
            <w:tcW w:w="0" w:type="auto"/>
          </w:tcPr>
          <w:p w14:paraId="70B33098" w14:textId="77777777" w:rsidR="0010250F" w:rsidRDefault="0010250F" w:rsidP="00264930">
            <w:pPr>
              <w:cnfStyle w:val="100000000000" w:firstRow="1" w:lastRow="0" w:firstColumn="0" w:lastColumn="0" w:oddVBand="0" w:evenVBand="0" w:oddHBand="0" w:evenHBand="0" w:firstRowFirstColumn="0" w:firstRowLastColumn="0" w:lastRowFirstColumn="0" w:lastRowLastColumn="0"/>
            </w:pPr>
            <w:r>
              <w:t>Wt</w:t>
            </w:r>
          </w:p>
        </w:tc>
        <w:tc>
          <w:tcPr>
            <w:tcW w:w="0" w:type="auto"/>
          </w:tcPr>
          <w:p w14:paraId="255C1F85" w14:textId="77777777" w:rsidR="0010250F" w:rsidRDefault="0010250F" w:rsidP="00264930">
            <w:pPr>
              <w:cnfStyle w:val="100000000000" w:firstRow="1" w:lastRow="0" w:firstColumn="0" w:lastColumn="0" w:oddVBand="0" w:evenVBand="0" w:oddHBand="0" w:evenHBand="0" w:firstRowFirstColumn="0" w:firstRowLastColumn="0" w:lastRowFirstColumn="0" w:lastRowLastColumn="0"/>
            </w:pPr>
            <w:r>
              <w:t>Qsec</w:t>
            </w:r>
          </w:p>
        </w:tc>
      </w:tr>
      <w:tr w:rsidR="0010250F" w14:paraId="7CCDB8C0" w14:textId="77777777" w:rsidTr="0026493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BFCD98C" w14:textId="77777777" w:rsidR="0010250F" w:rsidRDefault="0010250F" w:rsidP="00264930">
            <w:r>
              <w:t>Mazda RX4</w:t>
            </w:r>
          </w:p>
        </w:tc>
        <w:tc>
          <w:tcPr>
            <w:tcW w:w="0" w:type="auto"/>
          </w:tcPr>
          <w:p w14:paraId="3E32C007"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21.0</w:t>
            </w:r>
          </w:p>
        </w:tc>
        <w:tc>
          <w:tcPr>
            <w:tcW w:w="0" w:type="auto"/>
          </w:tcPr>
          <w:p w14:paraId="3BFDA329"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6</w:t>
            </w:r>
          </w:p>
        </w:tc>
        <w:tc>
          <w:tcPr>
            <w:tcW w:w="0" w:type="auto"/>
          </w:tcPr>
          <w:p w14:paraId="0C6934D6"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160</w:t>
            </w:r>
          </w:p>
        </w:tc>
        <w:tc>
          <w:tcPr>
            <w:tcW w:w="0" w:type="auto"/>
          </w:tcPr>
          <w:p w14:paraId="3B1CC085"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110</w:t>
            </w:r>
          </w:p>
        </w:tc>
        <w:tc>
          <w:tcPr>
            <w:tcW w:w="0" w:type="auto"/>
          </w:tcPr>
          <w:p w14:paraId="591292CB"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2.620</w:t>
            </w:r>
          </w:p>
        </w:tc>
        <w:tc>
          <w:tcPr>
            <w:tcW w:w="0" w:type="auto"/>
          </w:tcPr>
          <w:p w14:paraId="389665D7"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16.46</w:t>
            </w:r>
          </w:p>
        </w:tc>
      </w:tr>
      <w:tr w:rsidR="0010250F" w14:paraId="69463D54" w14:textId="77777777" w:rsidTr="0026493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B35A12C" w14:textId="77777777" w:rsidR="0010250F" w:rsidRDefault="0010250F" w:rsidP="00264930">
            <w:r>
              <w:t>Datsun 710</w:t>
            </w:r>
          </w:p>
        </w:tc>
        <w:tc>
          <w:tcPr>
            <w:tcW w:w="0" w:type="auto"/>
          </w:tcPr>
          <w:p w14:paraId="537505E7"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22.8</w:t>
            </w:r>
          </w:p>
        </w:tc>
        <w:tc>
          <w:tcPr>
            <w:tcW w:w="0" w:type="auto"/>
          </w:tcPr>
          <w:p w14:paraId="4B703E91"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4</w:t>
            </w:r>
          </w:p>
        </w:tc>
        <w:tc>
          <w:tcPr>
            <w:tcW w:w="0" w:type="auto"/>
          </w:tcPr>
          <w:p w14:paraId="2C1D1DBD"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108</w:t>
            </w:r>
          </w:p>
        </w:tc>
        <w:tc>
          <w:tcPr>
            <w:tcW w:w="0" w:type="auto"/>
          </w:tcPr>
          <w:p w14:paraId="740AA610"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93</w:t>
            </w:r>
          </w:p>
        </w:tc>
        <w:tc>
          <w:tcPr>
            <w:tcW w:w="0" w:type="auto"/>
          </w:tcPr>
          <w:p w14:paraId="57919BD0"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2.320</w:t>
            </w:r>
          </w:p>
        </w:tc>
        <w:tc>
          <w:tcPr>
            <w:tcW w:w="0" w:type="auto"/>
          </w:tcPr>
          <w:p w14:paraId="081358E7"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18.61</w:t>
            </w:r>
          </w:p>
        </w:tc>
      </w:tr>
      <w:tr w:rsidR="0010250F" w14:paraId="647AFFA3" w14:textId="77777777" w:rsidTr="0026493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6ABAE2F" w14:textId="77777777" w:rsidR="0010250F" w:rsidRDefault="0010250F" w:rsidP="00264930">
            <w:r>
              <w:t>Hornet 4 Drive</w:t>
            </w:r>
          </w:p>
        </w:tc>
        <w:tc>
          <w:tcPr>
            <w:tcW w:w="0" w:type="auto"/>
          </w:tcPr>
          <w:p w14:paraId="434625C7"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21.4</w:t>
            </w:r>
          </w:p>
        </w:tc>
        <w:tc>
          <w:tcPr>
            <w:tcW w:w="0" w:type="auto"/>
          </w:tcPr>
          <w:p w14:paraId="752421ED"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6</w:t>
            </w:r>
          </w:p>
        </w:tc>
        <w:tc>
          <w:tcPr>
            <w:tcW w:w="0" w:type="auto"/>
          </w:tcPr>
          <w:p w14:paraId="06366AC0"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258</w:t>
            </w:r>
          </w:p>
        </w:tc>
        <w:tc>
          <w:tcPr>
            <w:tcW w:w="0" w:type="auto"/>
          </w:tcPr>
          <w:p w14:paraId="70A9FFB8"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110</w:t>
            </w:r>
          </w:p>
        </w:tc>
        <w:tc>
          <w:tcPr>
            <w:tcW w:w="0" w:type="auto"/>
          </w:tcPr>
          <w:p w14:paraId="44C429FC"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3.215</w:t>
            </w:r>
          </w:p>
        </w:tc>
        <w:tc>
          <w:tcPr>
            <w:tcW w:w="0" w:type="auto"/>
          </w:tcPr>
          <w:p w14:paraId="348B7101" w14:textId="77777777" w:rsidR="0010250F" w:rsidRDefault="0010250F" w:rsidP="00264930">
            <w:pPr>
              <w:cnfStyle w:val="000000100000" w:firstRow="0" w:lastRow="0" w:firstColumn="0" w:lastColumn="0" w:oddVBand="0" w:evenVBand="0" w:oddHBand="1" w:evenHBand="0" w:firstRowFirstColumn="0" w:firstRowLastColumn="0" w:lastRowFirstColumn="0" w:lastRowLastColumn="0"/>
            </w:pPr>
            <w:r>
              <w:t>19.44</w:t>
            </w:r>
          </w:p>
        </w:tc>
      </w:tr>
      <w:tr w:rsidR="0010250F" w14:paraId="25E4A04B" w14:textId="77777777" w:rsidTr="0026493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DAE0CF8" w14:textId="77777777" w:rsidR="0010250F" w:rsidRDefault="0010250F" w:rsidP="00264930">
            <w:r>
              <w:t>Valiant</w:t>
            </w:r>
          </w:p>
        </w:tc>
        <w:tc>
          <w:tcPr>
            <w:tcW w:w="0" w:type="auto"/>
          </w:tcPr>
          <w:p w14:paraId="7934707D"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18.1</w:t>
            </w:r>
          </w:p>
        </w:tc>
        <w:tc>
          <w:tcPr>
            <w:tcW w:w="0" w:type="auto"/>
          </w:tcPr>
          <w:p w14:paraId="6BCC68EA"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6</w:t>
            </w:r>
          </w:p>
        </w:tc>
        <w:tc>
          <w:tcPr>
            <w:tcW w:w="0" w:type="auto"/>
          </w:tcPr>
          <w:p w14:paraId="1BE1BC71"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225</w:t>
            </w:r>
          </w:p>
        </w:tc>
        <w:tc>
          <w:tcPr>
            <w:tcW w:w="0" w:type="auto"/>
          </w:tcPr>
          <w:p w14:paraId="3E06F007"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105</w:t>
            </w:r>
          </w:p>
        </w:tc>
        <w:tc>
          <w:tcPr>
            <w:tcW w:w="0" w:type="auto"/>
          </w:tcPr>
          <w:p w14:paraId="2B330021"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2.460</w:t>
            </w:r>
          </w:p>
        </w:tc>
        <w:tc>
          <w:tcPr>
            <w:tcW w:w="0" w:type="auto"/>
          </w:tcPr>
          <w:p w14:paraId="5E98C5AF" w14:textId="77777777" w:rsidR="0010250F" w:rsidRDefault="0010250F" w:rsidP="00264930">
            <w:pPr>
              <w:cnfStyle w:val="000000000000" w:firstRow="0" w:lastRow="0" w:firstColumn="0" w:lastColumn="0" w:oddVBand="0" w:evenVBand="0" w:oddHBand="0" w:evenHBand="0" w:firstRowFirstColumn="0" w:firstRowLastColumn="0" w:lastRowFirstColumn="0" w:lastRowLastColumn="0"/>
            </w:pPr>
            <w:r>
              <w:t>20.22</w:t>
            </w:r>
          </w:p>
        </w:tc>
      </w:tr>
    </w:tbl>
    <w:p w14:paraId="3E3BF9A0" w14:textId="77777777" w:rsidR="00962BD1" w:rsidRDefault="00962BD1" w:rsidP="00962BD1">
      <w:pPr>
        <w:pStyle w:val="NoSpacing"/>
      </w:pPr>
    </w:p>
    <w:p w14:paraId="7668E348" w14:textId="1DF795D6" w:rsidR="00251C4D" w:rsidRDefault="00251C4D" w:rsidP="00251C4D">
      <w:r>
        <w:t>Two variables in this data set are "disp" (engine displacement) and "qsec" (quarter-mile time in seconds). We might expect that cars with larger engines (greater displacement) would complete a quarter-mile track faster. The correlation between these two variables is -0.43, indicating a moderate negative relationship. As displacement increases, quarter-mile time tends to decrease. However, the relationship is not very strong, suggesting that some cars with smaller engines may perform as well as those with larger engines. This prompts further investigation into other factors, such as vehicle weight, that might influence performance.</w:t>
      </w:r>
    </w:p>
    <w:p w14:paraId="3ECC0242" w14:textId="77777777" w:rsidR="00251C4D" w:rsidRDefault="00251C4D" w:rsidP="00BF2586">
      <w:pPr>
        <w:pStyle w:val="Heading5"/>
      </w:pPr>
      <w:r>
        <w:t>Correlation Plots</w:t>
      </w:r>
    </w:p>
    <w:p w14:paraId="337F6682" w14:textId="6B7A820B" w:rsidR="00251C4D" w:rsidRDefault="00251C4D" w:rsidP="00251C4D">
      <w:r>
        <w:t xml:space="preserve">A correlation plot is a powerful visual tool for comparing the correlations between multiple variables in a single data set. </w:t>
      </w:r>
      <w:r w:rsidR="00561C3D">
        <w:t>The following f</w:t>
      </w:r>
      <w:r>
        <w:t>igure shows a correlation plot for the Motor Trend data.</w:t>
      </w:r>
    </w:p>
    <w:p w14:paraId="398C5C79" w14:textId="05501CD4" w:rsidR="00251C4D" w:rsidRDefault="00F21A06" w:rsidP="00251C4D">
      <w:r>
        <w:rPr>
          <w:noProof/>
        </w:rPr>
        <w:lastRenderedPageBreak/>
        <w:drawing>
          <wp:anchor distT="0" distB="0" distL="114300" distR="114300" simplePos="0" relativeHeight="251915348" behindDoc="0" locked="0" layoutInCell="1" allowOverlap="1" wp14:anchorId="4BE3536E" wp14:editId="32C132F5">
            <wp:simplePos x="0" y="0"/>
            <wp:positionH relativeFrom="column">
              <wp:posOffset>1571625</wp:posOffset>
            </wp:positionH>
            <wp:positionV relativeFrom="paragraph">
              <wp:posOffset>219075</wp:posOffset>
            </wp:positionV>
            <wp:extent cx="2797810" cy="2550795"/>
            <wp:effectExtent l="0" t="0" r="2540" b="1905"/>
            <wp:wrapTopAndBottom/>
            <wp:docPr id="1146612049" name="Picture 2"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12049" name="Picture 2" descr="A screen shot of a chart&#10;&#10;Description automatically generated"/>
                    <pic:cNvPicPr/>
                  </pic:nvPicPr>
                  <pic:blipFill>
                    <a:blip r:embed="rId301">
                      <a:extLst>
                        <a:ext uri="{28A0092B-C50C-407E-A947-70E740481C1C}">
                          <a14:useLocalDpi xmlns:a14="http://schemas.microsoft.com/office/drawing/2010/main" val="0"/>
                        </a:ext>
                      </a:extLst>
                    </a:blip>
                    <a:stretch>
                      <a:fillRect/>
                    </a:stretch>
                  </pic:blipFill>
                  <pic:spPr>
                    <a:xfrm>
                      <a:off x="0" y="0"/>
                      <a:ext cx="2797810" cy="2550795"/>
                    </a:xfrm>
                    <a:prstGeom prst="rect">
                      <a:avLst/>
                    </a:prstGeom>
                  </pic:spPr>
                </pic:pic>
              </a:graphicData>
            </a:graphic>
            <wp14:sizeRelH relativeFrom="page">
              <wp14:pctWidth>0</wp14:pctWidth>
            </wp14:sizeRelH>
            <wp14:sizeRelV relativeFrom="page">
              <wp14:pctHeight>0</wp14:pctHeight>
            </wp14:sizeRelV>
          </wp:anchor>
        </w:drawing>
      </w:r>
    </w:p>
    <w:p w14:paraId="7417E116" w14:textId="77777777" w:rsidR="00251C4D" w:rsidRDefault="00251C4D" w:rsidP="00251C4D">
      <w:r>
        <w:t>In the plot, variable names are listed diagonally from top left to bottom right. The lower half of the plot shows the numerical correlations, while the upper half uses colored circles to represent the strength and direction of each correlation. The color and size of the circles indicate the magnitude and sign of the correlation, based on the scale on the right.</w:t>
      </w:r>
    </w:p>
    <w:p w14:paraId="007B3398" w14:textId="77777777" w:rsidR="00251C4D" w:rsidRDefault="00251C4D" w:rsidP="00251C4D">
      <w:r>
        <w:t>For instance, the correlation between "mpg" and "cyl" is -0.85, a strong negative correlation represented by a large, dark red circle. On the other hand, the correlation between "wt" and "qsec" is weak and negative, shown by a small, pale pink circle.</w:t>
      </w:r>
    </w:p>
    <w:p w14:paraId="1DC538A0" w14:textId="77777777" w:rsidR="00251C4D" w:rsidRDefault="00251C4D" w:rsidP="00251C4D">
      <w:r>
        <w:t>Researchers can use correlation plots to quickly identify strong positive and negative correlations, such as the strong negative correlation between "mpg" and "wt" or the strong positive correlation between "disp" and "wt."</w:t>
      </w:r>
    </w:p>
    <w:p w14:paraId="2B85247C" w14:textId="77777777" w:rsidR="00251C4D" w:rsidRDefault="00251C4D" w:rsidP="00BF2586">
      <w:pPr>
        <w:pStyle w:val="Heading5"/>
      </w:pPr>
      <w:r>
        <w:t>Scatter Plots</w:t>
      </w:r>
    </w:p>
    <w:p w14:paraId="2DD577FC" w14:textId="77777777" w:rsidR="00251C4D" w:rsidRDefault="00251C4D" w:rsidP="00251C4D">
      <w:r>
        <w:t>A scatter plot is another useful tool for visualizing the relationship between two variables. Figure 89 shows a scatter plot of waiting time and eruption time for the Old Faithful geyser in Yellowstone Park.</w:t>
      </w:r>
    </w:p>
    <w:p w14:paraId="7168D2F3" w14:textId="6A3B6F7D" w:rsidR="00251C4D" w:rsidRDefault="00561C3D" w:rsidP="00820A98">
      <w:pPr>
        <w:pStyle w:val="NoSpacing"/>
      </w:pPr>
      <w:r>
        <w:rPr>
          <w:noProof/>
        </w:rPr>
        <w:lastRenderedPageBreak/>
        <w:drawing>
          <wp:anchor distT="0" distB="0" distL="114300" distR="114300" simplePos="0" relativeHeight="251916372" behindDoc="0" locked="0" layoutInCell="1" allowOverlap="1" wp14:anchorId="0530FE5B" wp14:editId="1344411F">
            <wp:simplePos x="914400" y="914400"/>
            <wp:positionH relativeFrom="column">
              <wp:align>center</wp:align>
            </wp:positionH>
            <wp:positionV relativeFrom="paragraph">
              <wp:posOffset>0</wp:posOffset>
            </wp:positionV>
            <wp:extent cx="4654296" cy="2880360"/>
            <wp:effectExtent l="0" t="0" r="0" b="0"/>
            <wp:wrapTopAndBottom/>
            <wp:docPr id="1236129042" name="Picture 3" descr="A graph of a number of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29042" name="Picture 3" descr="A graph of a number of dots&#10;&#10;Description automatically generated"/>
                    <pic:cNvPicPr/>
                  </pic:nvPicPr>
                  <pic:blipFill>
                    <a:blip r:embed="rId302">
                      <a:extLst>
                        <a:ext uri="{28A0092B-C50C-407E-A947-70E740481C1C}">
                          <a14:useLocalDpi xmlns:a14="http://schemas.microsoft.com/office/drawing/2010/main" val="0"/>
                        </a:ext>
                      </a:extLst>
                    </a:blip>
                    <a:stretch>
                      <a:fillRect/>
                    </a:stretch>
                  </pic:blipFill>
                  <pic:spPr>
                    <a:xfrm>
                      <a:off x="0" y="0"/>
                      <a:ext cx="4654296" cy="2880360"/>
                    </a:xfrm>
                    <a:prstGeom prst="rect">
                      <a:avLst/>
                    </a:prstGeom>
                  </pic:spPr>
                </pic:pic>
              </a:graphicData>
            </a:graphic>
            <wp14:sizeRelH relativeFrom="margin">
              <wp14:pctWidth>0</wp14:pctWidth>
            </wp14:sizeRelH>
            <wp14:sizeRelV relativeFrom="margin">
              <wp14:pctHeight>0</wp14:pctHeight>
            </wp14:sizeRelV>
          </wp:anchor>
        </w:drawing>
      </w:r>
    </w:p>
    <w:p w14:paraId="44C486C5" w14:textId="77777777" w:rsidR="00251C4D" w:rsidRDefault="00251C4D" w:rsidP="00251C4D">
      <w:r>
        <w:t>The plot reveals a clear positive relationship: as waiting time (X-axis) increases, eruption time (Y-axis) also tends to increase. Additionally, the plot shows two distinct clusters of points, suggesting that there are "short" and "long" eruptions.</w:t>
      </w:r>
    </w:p>
    <w:p w14:paraId="13741320" w14:textId="514F320A" w:rsidR="00B00637" w:rsidRDefault="00251C4D" w:rsidP="00251C4D">
      <w:r>
        <w:t>In conclusion, descriptive analysis techniques, including univariate and bivariate analysis, provide researchers with valuable tools for understanding and summarizing numeric data. By examining frequency distributions, central tendency, dispersion, correlations, and visual representations like correlation plots and scatter plots, researchers can gain insights into the properties of individual variables and the relationships between them. These findings can then guide further investigation and hypothesis testing using inferential analysis methods.</w:t>
      </w:r>
    </w:p>
    <w:p w14:paraId="474BC0B6" w14:textId="77777777" w:rsidR="00D47486" w:rsidRPr="00D47486" w:rsidRDefault="00D47486" w:rsidP="00B04E5E">
      <w:pPr>
        <w:pStyle w:val="Heading4"/>
      </w:pPr>
      <w:r w:rsidRPr="00D47486">
        <w:t>Inferential Statistics: Drawing Conclusions from Data</w:t>
      </w:r>
    </w:p>
    <w:p w14:paraId="06BF93F9" w14:textId="5D58F910" w:rsidR="006E4221" w:rsidRDefault="006E4221" w:rsidP="006E4221">
      <w:r>
        <w:t>Inferential statistics are a set of procedures used to reach conclusions about the associations between variables. Unlike descriptive statistics, which focus on summarizing and describing data, inferential statistics are designed to test hypotheses and make predictions based on sample data. While there are numerous inferential procedures, all are supported by statistical software like R. In this section, we will cover the basics of hypothesis testing and some of the most used inferential techniques.</w:t>
      </w:r>
    </w:p>
    <w:p w14:paraId="4F01C40D" w14:textId="77777777" w:rsidR="006E4221" w:rsidRDefault="006E4221" w:rsidP="00AC2616">
      <w:pPr>
        <w:pStyle w:val="Heading5"/>
      </w:pPr>
      <w:r>
        <w:t>Understanding Hypotheses</w:t>
      </w:r>
    </w:p>
    <w:p w14:paraId="11CB085B" w14:textId="77777777" w:rsidR="006E4221" w:rsidRDefault="006E4221" w:rsidP="006E4221">
      <w:r>
        <w:t>A hypothesis is a proposition put forth to explain observed phenomena. It often serves a predictive function and can be tested using scientific methods. A well-formulated hypothesis should have the following characteristics:</w:t>
      </w:r>
    </w:p>
    <w:p w14:paraId="35AD5291" w14:textId="77777777" w:rsidR="006E4221" w:rsidRDefault="006E4221" w:rsidP="00AC2616">
      <w:pPr>
        <w:pStyle w:val="ListParagraph"/>
        <w:numPr>
          <w:ilvl w:val="0"/>
          <w:numId w:val="357"/>
        </w:numPr>
      </w:pPr>
      <w:r>
        <w:t>Clear: The hypothesis must be stated in precise, unambiguous language.</w:t>
      </w:r>
    </w:p>
    <w:p w14:paraId="55455380" w14:textId="77777777" w:rsidR="006E4221" w:rsidRDefault="006E4221" w:rsidP="00AC2616">
      <w:pPr>
        <w:pStyle w:val="ListParagraph"/>
        <w:numPr>
          <w:ilvl w:val="0"/>
          <w:numId w:val="357"/>
        </w:numPr>
      </w:pPr>
      <w:r>
        <w:t>Testable: There must be a way to determine if the hypothesis is true or false through empirical evidence.</w:t>
      </w:r>
    </w:p>
    <w:p w14:paraId="5FA132A2" w14:textId="77777777" w:rsidR="006E4221" w:rsidRDefault="006E4221" w:rsidP="00AC2616">
      <w:pPr>
        <w:pStyle w:val="ListParagraph"/>
        <w:numPr>
          <w:ilvl w:val="0"/>
          <w:numId w:val="357"/>
        </w:numPr>
      </w:pPr>
      <w:r>
        <w:lastRenderedPageBreak/>
        <w:t>Consistent: The hypothesis should align with known facts or established literature in the field.</w:t>
      </w:r>
    </w:p>
    <w:p w14:paraId="46206896" w14:textId="77777777" w:rsidR="006E4221" w:rsidRDefault="006E4221" w:rsidP="00AC2616">
      <w:pPr>
        <w:pStyle w:val="ListParagraph"/>
        <w:numPr>
          <w:ilvl w:val="0"/>
          <w:numId w:val="357"/>
        </w:numPr>
      </w:pPr>
      <w:r>
        <w:t>Timely: It should be possible to confirm or reject the hypothesis within a reasonable time frame.</w:t>
      </w:r>
    </w:p>
    <w:p w14:paraId="6459265F" w14:textId="77777777" w:rsidR="006E4221" w:rsidRDefault="006E4221" w:rsidP="006E4221">
      <w:r>
        <w:t>When researchers develop a hypothesis about a topic of interest, they typically start by proposing a null hypothesis (H0), which assumes that there is no significant relationship or difference between the variables being studied. The alternative hypothesis (Ha) is the proposition that the researcher hopes to support through their study.</w:t>
      </w:r>
    </w:p>
    <w:p w14:paraId="6EFCF9F5" w14:textId="77777777" w:rsidR="006E4221" w:rsidRDefault="006E4221" w:rsidP="006E4221">
      <w:r>
        <w:t>For example, suppose a researcher believes that advertisements in a local newspaper are more effective than those on a local radio station. The null and alternative hypotheses for this study could be:</w:t>
      </w:r>
    </w:p>
    <w:p w14:paraId="0CCB5EB1" w14:textId="77777777" w:rsidR="006E4221" w:rsidRDefault="006E4221" w:rsidP="00211F1A">
      <w:pPr>
        <w:pStyle w:val="ListParagraph"/>
        <w:numPr>
          <w:ilvl w:val="0"/>
          <w:numId w:val="358"/>
        </w:numPr>
      </w:pPr>
      <w:r>
        <w:t>Null Hypothesis (H0): The type of media does not affect the effectiveness of an advertisement.</w:t>
      </w:r>
    </w:p>
    <w:p w14:paraId="70FC60F9" w14:textId="77777777" w:rsidR="006E4221" w:rsidRDefault="006E4221" w:rsidP="00211F1A">
      <w:pPr>
        <w:pStyle w:val="ListParagraph"/>
        <w:numPr>
          <w:ilvl w:val="0"/>
          <w:numId w:val="358"/>
        </w:numPr>
      </w:pPr>
      <w:r>
        <w:t>Alternative Hypothesis (Ha): Advertisements placed in a local newspaper are more effective than those placed on a local radio station.</w:t>
      </w:r>
    </w:p>
    <w:p w14:paraId="1D2124E6" w14:textId="77777777" w:rsidR="006E4221" w:rsidRDefault="006E4221" w:rsidP="00211F1A">
      <w:pPr>
        <w:pStyle w:val="Heading5"/>
      </w:pPr>
      <w:r>
        <w:t>The Role of P-Values in Hypothesis Testing</w:t>
      </w:r>
    </w:p>
    <w:p w14:paraId="1B914986" w14:textId="77777777" w:rsidR="006E4221" w:rsidRDefault="006E4221" w:rsidP="006E4221">
      <w:r>
        <w:t>In most cases, researchers cannot definitively prove an alternative hypothesis, as it is impossible to analyze all potentially relevant data. Instead, they focus on rejecting the null hypothesis to support their alternative hypothesis. This is where p-values come into play.</w:t>
      </w:r>
    </w:p>
    <w:p w14:paraId="33E1DAD9" w14:textId="77777777" w:rsidR="006E4221" w:rsidRDefault="006E4221" w:rsidP="006E4221">
      <w:r>
        <w:t>The p-value, short for "probability value," represents the probability that the observed results are due to chance alone, assuming the null hypothesis is true. Researchers set a significance level (α) before conducting their study, which is the maximum acceptable probability that the results are due to chance. In most business and marketing research, α is set at 0.05 (5%).</w:t>
      </w:r>
    </w:p>
    <w:p w14:paraId="573AC3E3" w14:textId="77777777" w:rsidR="006E4221" w:rsidRDefault="006E4221" w:rsidP="006E4221">
      <w:r>
        <w:t>If the calculated p-value is less than the significance level (p &lt; α), the null hypothesis can be rejected, and the results are considered statistically significant. This means that the observed differences or relationships are unlikely to be due to chance. If the p-value is greater than or equal to the significance level (p ≥ α), the null hypothesis cannot be rejected, and the results are not considered statistically significant.</w:t>
      </w:r>
    </w:p>
    <w:p w14:paraId="4EBCA585" w14:textId="77777777" w:rsidR="006E4221" w:rsidRDefault="006E4221" w:rsidP="00C21B24">
      <w:pPr>
        <w:pStyle w:val="Heading5"/>
      </w:pPr>
      <w:r>
        <w:t>Common Inferential Analysis Techniques</w:t>
      </w:r>
    </w:p>
    <w:p w14:paraId="0974245C" w14:textId="77777777" w:rsidR="006E4221" w:rsidRPr="00C21B24" w:rsidRDefault="006E4221" w:rsidP="006E4221">
      <w:pPr>
        <w:rPr>
          <w:b/>
          <w:bCs/>
        </w:rPr>
      </w:pPr>
      <w:r w:rsidRPr="00C21B24">
        <w:rPr>
          <w:b/>
          <w:bCs/>
        </w:rPr>
        <w:t>T-Tests</w:t>
      </w:r>
    </w:p>
    <w:p w14:paraId="47A38582" w14:textId="77777777" w:rsidR="006E4221" w:rsidRDefault="006E4221" w:rsidP="006E4221">
      <w:r>
        <w:t>A t-test is used to compare the means of two groups to determine if they are significantly different. There are two types of t-tests:</w:t>
      </w:r>
    </w:p>
    <w:p w14:paraId="6745ACE2" w14:textId="77777777" w:rsidR="006E4221" w:rsidRDefault="006E4221" w:rsidP="00C21B24">
      <w:pPr>
        <w:pStyle w:val="ListParagraph"/>
        <w:numPr>
          <w:ilvl w:val="0"/>
          <w:numId w:val="359"/>
        </w:numPr>
      </w:pPr>
      <w:r>
        <w:t>Independent samples t-test: Used when the two groups being compared are independent of each other (e.g., treatment vs. control group).</w:t>
      </w:r>
    </w:p>
    <w:p w14:paraId="77064013" w14:textId="77777777" w:rsidR="006E4221" w:rsidRDefault="006E4221" w:rsidP="00C21B24">
      <w:pPr>
        <w:pStyle w:val="ListParagraph"/>
        <w:numPr>
          <w:ilvl w:val="0"/>
          <w:numId w:val="359"/>
        </w:numPr>
      </w:pPr>
      <w:r>
        <w:lastRenderedPageBreak/>
        <w:t>Paired samples t-test: Used when the two groups being compared are related or paired in some way (e.g., before and after measurements on the same individuals).</w:t>
      </w:r>
    </w:p>
    <w:p w14:paraId="45D52146" w14:textId="77777777" w:rsidR="006E4221" w:rsidRDefault="006E4221" w:rsidP="006E4221">
      <w:r>
        <w:t>T-tests can be one-tailed (directional) or two-tailed (non-directional), depending on the specific research question and hypothesis.</w:t>
      </w:r>
    </w:p>
    <w:p w14:paraId="33CE4828" w14:textId="77777777" w:rsidR="006E4221" w:rsidRPr="00691839" w:rsidRDefault="006E4221" w:rsidP="006E4221">
      <w:pPr>
        <w:rPr>
          <w:b/>
          <w:bCs/>
        </w:rPr>
      </w:pPr>
      <w:r w:rsidRPr="00691839">
        <w:rPr>
          <w:b/>
          <w:bCs/>
        </w:rPr>
        <w:t>Analysis of Variance (ANOVA)</w:t>
      </w:r>
    </w:p>
    <w:p w14:paraId="0BB2F73C" w14:textId="77777777" w:rsidR="006E4221" w:rsidRDefault="006E4221" w:rsidP="006E4221">
      <w:r>
        <w:t>ANOVA is an extension of the t-test that allows for the comparison of means across three or more groups. It is particularly useful for analyzing factorial designs, which involve two or more independent variables (factors).</w:t>
      </w:r>
    </w:p>
    <w:p w14:paraId="6BC35DF5" w14:textId="77777777" w:rsidR="006E4221" w:rsidRDefault="006E4221" w:rsidP="006E4221">
      <w:r>
        <w:t>In a two-way ANOVA, researchers can examine the main effects of each factor and the interaction effect between factors. The main effect is the influence of one independent variable on the dependent variable, while the interaction effect is the combined influence of two or more independent variables on the dependent variable.</w:t>
      </w:r>
    </w:p>
    <w:p w14:paraId="18E53CCC" w14:textId="77777777" w:rsidR="006E4221" w:rsidRPr="00691839" w:rsidRDefault="006E4221" w:rsidP="006E4221">
      <w:pPr>
        <w:rPr>
          <w:b/>
          <w:bCs/>
        </w:rPr>
      </w:pPr>
      <w:r w:rsidRPr="00691839">
        <w:rPr>
          <w:b/>
          <w:bCs/>
        </w:rPr>
        <w:t>Factor Analysis</w:t>
      </w:r>
    </w:p>
    <w:p w14:paraId="2D5A121C" w14:textId="7AC7E299" w:rsidR="006E4221" w:rsidRDefault="006E4221" w:rsidP="006E4221">
      <w:r>
        <w:t xml:space="preserve">Factor analysis is a data reduction technique that groups </w:t>
      </w:r>
      <w:r w:rsidR="00691839">
        <w:t>many</w:t>
      </w:r>
      <w:r>
        <w:t xml:space="preserve"> observed variables into a smaller set of unobserved variables called factors based on their underlying correlations. This technique is useful when researchers want to identify latent constructs or simplify complex datasets.</w:t>
      </w:r>
    </w:p>
    <w:p w14:paraId="73759842" w14:textId="77777777" w:rsidR="006E4221" w:rsidRDefault="006E4221" w:rsidP="006E4221">
      <w:r>
        <w:t>For example, a researcher might use factor analysis to group various measures of socioeconomic status (e.g., income, education, occupation) into a single factor representing "social class."</w:t>
      </w:r>
    </w:p>
    <w:p w14:paraId="3464F4F3" w14:textId="77777777" w:rsidR="006E4221" w:rsidRPr="00691839" w:rsidRDefault="006E4221" w:rsidP="006E4221">
      <w:pPr>
        <w:rPr>
          <w:b/>
          <w:bCs/>
        </w:rPr>
      </w:pPr>
      <w:r w:rsidRPr="00691839">
        <w:rPr>
          <w:b/>
          <w:bCs/>
        </w:rPr>
        <w:t>Regression Analysis</w:t>
      </w:r>
    </w:p>
    <w:p w14:paraId="2015E7BF" w14:textId="77777777" w:rsidR="006E4221" w:rsidRDefault="006E4221" w:rsidP="006E4221">
      <w:r>
        <w:t>Regression analysis is a set of techniques used to examine the relationship between one dependent variable and one or more independent variables. Some common types of regression analysis include:</w:t>
      </w:r>
    </w:p>
    <w:p w14:paraId="036844B9" w14:textId="77777777" w:rsidR="006E4221" w:rsidRDefault="006E4221" w:rsidP="00691839">
      <w:pPr>
        <w:pStyle w:val="ListParagraph"/>
        <w:numPr>
          <w:ilvl w:val="0"/>
          <w:numId w:val="360"/>
        </w:numPr>
      </w:pPr>
      <w:r>
        <w:t>Linear regression: Used when the dependent variable is continuous and the relationship between variables is assumed to be linear.</w:t>
      </w:r>
    </w:p>
    <w:p w14:paraId="52211D1F" w14:textId="77777777" w:rsidR="006E4221" w:rsidRDefault="006E4221" w:rsidP="00691839">
      <w:pPr>
        <w:pStyle w:val="ListParagraph"/>
        <w:numPr>
          <w:ilvl w:val="0"/>
          <w:numId w:val="360"/>
        </w:numPr>
      </w:pPr>
      <w:r>
        <w:t>Logistic regression: Used when the dependent variable is binary or categorical (e.g., yes/no, success/failure).</w:t>
      </w:r>
    </w:p>
    <w:p w14:paraId="5B672163" w14:textId="7D134F18" w:rsidR="006E4221" w:rsidRDefault="006E4221" w:rsidP="00691839">
      <w:pPr>
        <w:pStyle w:val="ListParagraph"/>
        <w:numPr>
          <w:ilvl w:val="0"/>
          <w:numId w:val="360"/>
        </w:numPr>
      </w:pPr>
      <w:r>
        <w:t xml:space="preserve">Probit regression: </w:t>
      </w:r>
      <w:r w:rsidR="00803A7F">
        <w:t>Like</w:t>
      </w:r>
      <w:r>
        <w:t xml:space="preserve"> logistic regression but assumes a different underlying probability distribution.</w:t>
      </w:r>
    </w:p>
    <w:p w14:paraId="1E78C382" w14:textId="77777777" w:rsidR="006E4221" w:rsidRDefault="006E4221" w:rsidP="006E4221">
      <w:r>
        <w:t>Regression analysis allows researchers to predict outcomes, identify significant predictors, and assess the strength and direction of relationships between variables.</w:t>
      </w:r>
    </w:p>
    <w:p w14:paraId="5331A57C" w14:textId="77777777" w:rsidR="006E4221" w:rsidRPr="00803A7F" w:rsidRDefault="006E4221" w:rsidP="006E4221">
      <w:pPr>
        <w:rPr>
          <w:b/>
          <w:bCs/>
        </w:rPr>
      </w:pPr>
      <w:r w:rsidRPr="00803A7F">
        <w:rPr>
          <w:b/>
          <w:bCs/>
        </w:rPr>
        <w:t>Path Analysis</w:t>
      </w:r>
    </w:p>
    <w:p w14:paraId="32A67910" w14:textId="77777777" w:rsidR="006E4221" w:rsidRDefault="006E4221" w:rsidP="006E4221">
      <w:r>
        <w:lastRenderedPageBreak/>
        <w:t>Path analysis is a technique for examining complex relationships among a set of variables, where the dependent variable in one equation may be an independent variable in another equation. It is an extension of multiple regression that allows for the analysis of direct and indirect effects.</w:t>
      </w:r>
    </w:p>
    <w:p w14:paraId="377F2DAF" w14:textId="77777777" w:rsidR="006E4221" w:rsidRDefault="006E4221" w:rsidP="006E4221">
      <w:r>
        <w:t>Path analysis is particularly useful in social science research, where variables often influence each other in complex ways. For example, a researcher might use path analysis to examine how age affects happiness both directly and indirectly through its influence on income and health.</w:t>
      </w:r>
    </w:p>
    <w:p w14:paraId="4E98B72A" w14:textId="77777777" w:rsidR="006E4221" w:rsidRPr="00803A7F" w:rsidRDefault="006E4221" w:rsidP="006E4221">
      <w:pPr>
        <w:rPr>
          <w:b/>
          <w:bCs/>
        </w:rPr>
      </w:pPr>
      <w:r w:rsidRPr="00803A7F">
        <w:rPr>
          <w:b/>
          <w:bCs/>
        </w:rPr>
        <w:t>Time Series Analysis</w:t>
      </w:r>
    </w:p>
    <w:p w14:paraId="53B79801" w14:textId="77777777" w:rsidR="006E4221" w:rsidRDefault="006E4221" w:rsidP="006E4221">
      <w:r>
        <w:t>Time series analysis is a set of techniques used to analyze data that changes over time. It is commonly used in fields such as economics, finance, and meteorology to identify trends, cycles, and other patterns in time-dependent data.</w:t>
      </w:r>
    </w:p>
    <w:p w14:paraId="454F3EB9" w14:textId="77777777" w:rsidR="006E4221" w:rsidRDefault="006E4221" w:rsidP="006E4221">
      <w:r>
        <w:t>Some applications of time series analysis include forecasting stock prices, predicting weather patterns, and analyzing economic indicators like GDP or unemployment rates.</w:t>
      </w:r>
    </w:p>
    <w:p w14:paraId="4D4D8CF4" w14:textId="2A400E31" w:rsidR="001C48B3" w:rsidRDefault="006E4221" w:rsidP="006E4221">
      <w:r>
        <w:t>In conclusion, inferential statistics provide researchers with a powerful set of tools for testing hypotheses, making predictions, and drawing conclusions from sample data. By understanding concepts like hypothesis testing, p-values, and the various inferential analysis techniques, students can develop the skills needed to conduct rigorous research and interpret statistical results in their chosen fields.</w:t>
      </w:r>
    </w:p>
    <w:p w14:paraId="5327D9C8" w14:textId="21823CDD" w:rsidR="00A626FE" w:rsidRPr="000E309B" w:rsidRDefault="00CC54A3" w:rsidP="00CC54A3">
      <w:pPr>
        <w:pStyle w:val="Heading3"/>
      </w:pPr>
      <w:bookmarkStart w:id="204" w:name="_Toc169156823"/>
      <w:r>
        <w:t>Q</w:t>
      </w:r>
      <w:r w:rsidR="00D14B33" w:rsidRPr="000E309B">
        <w:t xml:space="preserve">ualitative </w:t>
      </w:r>
      <w:r>
        <w:t>A</w:t>
      </w:r>
      <w:r w:rsidR="00D14B33" w:rsidRPr="000E309B">
        <w:t>nalysis</w:t>
      </w:r>
      <w:bookmarkEnd w:id="204"/>
    </w:p>
    <w:p w14:paraId="64912A87" w14:textId="77777777" w:rsidR="00420AC6" w:rsidRDefault="00420AC6" w:rsidP="00420AC6">
      <w:r>
        <w:t>Qualitative analysis involves examining non-numerical data, such as text from interviews or observations, to understand social phenomena. In contrast to quantitative analysis, which relies heavily on statistics, qualitative analysis depends more on the researcher's analytical skills and knowledge of the social context. The goal is to deeply understand (rather than predict or explain) the phenomenon by creatively investigating the data.</w:t>
      </w:r>
    </w:p>
    <w:p w14:paraId="58DEB9FC" w14:textId="77777777" w:rsidR="00420AC6" w:rsidRDefault="00420AC6" w:rsidP="00420AC6">
      <w:r>
        <w:t>One key approach to qualitative analysis is grounded theory, developed by sociologists Barney Glaser and Anselm Strauss. In grounded theory, the researcher builds a theory by interpreting empirical data, ensuring the resulting theory is "grounded in" (based on) the evidence.</w:t>
      </w:r>
    </w:p>
    <w:p w14:paraId="3F6E6D0A" w14:textId="77777777" w:rsidR="00420AC6" w:rsidRDefault="00420AC6" w:rsidP="00420AC6">
      <w:r>
        <w:t>Grounded theory involves three main coding techniques:</w:t>
      </w:r>
    </w:p>
    <w:p w14:paraId="355C38CA" w14:textId="77777777" w:rsidR="00420AC6" w:rsidRDefault="00420AC6" w:rsidP="00AA2F3D">
      <w:pPr>
        <w:pStyle w:val="ListParagraph"/>
        <w:numPr>
          <w:ilvl w:val="0"/>
          <w:numId w:val="361"/>
        </w:numPr>
      </w:pPr>
      <w:r>
        <w:t>Open coding: The researcher examines the raw data (e.g. interview transcripts) line-by-line to identify relevant concepts. For example, in a study of work stress, concepts might include "deadline pressure," "unsupportive boss," or "long hours." Each concept is linked to a specific chunk of text which provides evidence for that concept.</w:t>
      </w:r>
    </w:p>
    <w:p w14:paraId="207EB562" w14:textId="77777777" w:rsidR="00420AC6" w:rsidRDefault="00420AC6" w:rsidP="00AA2F3D">
      <w:pPr>
        <w:pStyle w:val="ListParagraph"/>
        <w:numPr>
          <w:ilvl w:val="0"/>
          <w:numId w:val="361"/>
        </w:numPr>
      </w:pPr>
      <w:r>
        <w:t xml:space="preserve">Axial coding: Related concepts are grouped into higher-order categories. For instance, "deadline pressure" and "long hours" might be categorized as "Job Demands." The researcher identifies the properties and dimensions of each category. Properties are characteristics, like "frequency" or "intensity," while dimensions are values of a property </w:t>
      </w:r>
      <w:r>
        <w:lastRenderedPageBreak/>
        <w:t>along a continuum (e.g. high vs. low frequency). Axial coding also explores how categories relate, in terms of conditions (circumstances surrounding the phenomenon), actions/interactions (responses of people), and consequences (outcomes of actions).</w:t>
      </w:r>
    </w:p>
    <w:p w14:paraId="240D68AC" w14:textId="2A548F84" w:rsidR="00420AC6" w:rsidRDefault="00420AC6" w:rsidP="00AA2F3D">
      <w:pPr>
        <w:pStyle w:val="ListParagraph"/>
        <w:numPr>
          <w:ilvl w:val="0"/>
          <w:numId w:val="361"/>
        </w:numPr>
      </w:pPr>
      <w:r>
        <w:t xml:space="preserve">Selective coding: The researcher selects a core category that is central to the developing theory and systematically relates it to other categories. New data is purposefully collected to validate the core category and its relationships. For example, the core category might be "Burnout," related to high "Job Demands," lack of "Job Resources," and negative "Health Outcomes." Selective coding focuses the analysis </w:t>
      </w:r>
      <w:r w:rsidR="00737350">
        <w:t>on</w:t>
      </w:r>
      <w:r>
        <w:t xml:space="preserve"> this core concept.</w:t>
      </w:r>
    </w:p>
    <w:p w14:paraId="7FC88E7A" w14:textId="77777777" w:rsidR="00420AC6" w:rsidRDefault="00420AC6" w:rsidP="00420AC6">
      <w:r>
        <w:t>These three coding processes often overlap as the researcher constantly compares data, categories, and emerging interpretations. This constant comparative method involves four iterative stages:</w:t>
      </w:r>
    </w:p>
    <w:p w14:paraId="70A6D5FE" w14:textId="3676F898" w:rsidR="00420AC6" w:rsidRDefault="00420AC6" w:rsidP="00737350">
      <w:pPr>
        <w:pStyle w:val="ListParagraph"/>
        <w:numPr>
          <w:ilvl w:val="0"/>
          <w:numId w:val="362"/>
        </w:numPr>
      </w:pPr>
      <w:r>
        <w:t>Comparing text segments within each category</w:t>
      </w:r>
      <w:r w:rsidR="00737350">
        <w:t>.</w:t>
      </w:r>
    </w:p>
    <w:p w14:paraId="4B6C760C" w14:textId="0D2BBAC9" w:rsidR="00420AC6" w:rsidRDefault="00420AC6" w:rsidP="00737350">
      <w:pPr>
        <w:pStyle w:val="ListParagraph"/>
        <w:numPr>
          <w:ilvl w:val="0"/>
          <w:numId w:val="362"/>
        </w:numPr>
      </w:pPr>
      <w:r>
        <w:t>Integrating categories and their properties</w:t>
      </w:r>
      <w:r w:rsidR="00737350">
        <w:t>.</w:t>
      </w:r>
    </w:p>
    <w:p w14:paraId="1AF97F1B" w14:textId="61A96325" w:rsidR="00420AC6" w:rsidRDefault="00420AC6" w:rsidP="00737350">
      <w:pPr>
        <w:pStyle w:val="ListParagraph"/>
        <w:numPr>
          <w:ilvl w:val="0"/>
          <w:numId w:val="362"/>
        </w:numPr>
      </w:pPr>
      <w:r>
        <w:t>Delimiting the theory to focus on core concepts</w:t>
      </w:r>
      <w:r w:rsidR="00737350">
        <w:t>.</w:t>
      </w:r>
    </w:p>
    <w:p w14:paraId="708DF2FE" w14:textId="3A4D7023" w:rsidR="00420AC6" w:rsidRDefault="00420AC6" w:rsidP="00737350">
      <w:pPr>
        <w:pStyle w:val="ListParagraph"/>
        <w:numPr>
          <w:ilvl w:val="0"/>
          <w:numId w:val="362"/>
        </w:numPr>
      </w:pPr>
      <w:r>
        <w:t>Writing up the theory</w:t>
      </w:r>
      <w:r w:rsidR="00737350">
        <w:t>.</w:t>
      </w:r>
    </w:p>
    <w:p w14:paraId="10AFDF5B" w14:textId="77777777" w:rsidR="00420AC6" w:rsidRDefault="00420AC6" w:rsidP="00420AC6">
      <w:r>
        <w:t>Coding continues until "theoretical saturation" is reached - when new data doesn't substantially change the core categories and relationships.</w:t>
      </w:r>
    </w:p>
    <w:p w14:paraId="2F636C1D" w14:textId="77777777" w:rsidR="00420AC6" w:rsidRDefault="00420AC6" w:rsidP="00420AC6">
      <w:r>
        <w:t>The resulting grounded theory must be refined for internal consistency, ensuring the central concept and categories have the appropriate characteristics based on the data. The theory is validated by comparing it against the raw evidence to resolve any contradictions.</w:t>
      </w:r>
    </w:p>
    <w:p w14:paraId="07021163" w14:textId="2DE2A6ED" w:rsidR="00761CAF" w:rsidRDefault="00420AC6" w:rsidP="00420AC6">
      <w:r>
        <w:t>In summary, grounded theory provides a powerful technique for analyzing qualitative data to build theories. By coding empirical evidence and engaging in constant comparison, researchers can systematically develop an understanding grounded in real-world data. While the process is flexible, it requires analytical skill and theoretical sensitivity to yield insightful, coherent theories of social phenomena.</w:t>
      </w:r>
    </w:p>
    <w:p w14:paraId="5327D9DA" w14:textId="34C65C6F" w:rsidR="00A626FE" w:rsidRPr="000E309B" w:rsidRDefault="00B43D8A" w:rsidP="00B43D8A">
      <w:pPr>
        <w:pStyle w:val="Heading3"/>
      </w:pPr>
      <w:bookmarkStart w:id="205" w:name="_Toc169156824"/>
      <w:r>
        <w:t>Q</w:t>
      </w:r>
      <w:r w:rsidR="00D14B33" w:rsidRPr="000E309B">
        <w:t xml:space="preserve">uantitative </w:t>
      </w:r>
      <w:r>
        <w:t>V</w:t>
      </w:r>
      <w:r w:rsidR="00D14B33" w:rsidRPr="000E309B">
        <w:t xml:space="preserve">s. </w:t>
      </w:r>
      <w:r>
        <w:t>Q</w:t>
      </w:r>
      <w:r w:rsidR="00D14B33" w:rsidRPr="000E309B">
        <w:t>ualitative</w:t>
      </w:r>
      <w:bookmarkEnd w:id="205"/>
    </w:p>
    <w:p w14:paraId="7CD801C3" w14:textId="77777777" w:rsidR="00D21F3C" w:rsidRDefault="00D21F3C" w:rsidP="00D21F3C">
      <w:r>
        <w:t>The differences between quantitative and qualitative research approaches have led to some tension between their respective proponents. Quantitative researchers sometimes criticize qualitative methods for lacking objectivity, which refers to the absence of bias or personal influence in the research process. They also point out that qualitative studies can be difficult to evaluate in terms of reliability (the consistency of research findings over time) and validity (the accuracy of research findings). Additionally, quantitative researchers argue that qualitative findings cannot be generalized to people or situations beyond those directly studied, limiting their broader applicability.</w:t>
      </w:r>
    </w:p>
    <w:p w14:paraId="7C700776" w14:textId="77777777" w:rsidR="00D21F3C" w:rsidRDefault="00D21F3C" w:rsidP="00D21F3C">
      <w:r>
        <w:t xml:space="preserve">On the other hand, some qualitative researchers critique quantitative methods for oversimplifying human behavior and experience. They argue that by focusing on easily quantifiable variables and </w:t>
      </w:r>
      <w:r>
        <w:lastRenderedPageBreak/>
        <w:t>their statistical relationships, quantitative research fails to capture the richness and complexity of human phenomena.</w:t>
      </w:r>
    </w:p>
    <w:p w14:paraId="22055C41" w14:textId="77777777" w:rsidR="00D21F3C" w:rsidRDefault="00D21F3C" w:rsidP="00D21F3C">
      <w:r>
        <w:t>However, it's important to note that qualitative researchers have developed various frameworks to address concerns about objectivity, reliability, validity, and generalizability in their work. They employ strategies such as triangulation (using multiple data sources or methods to cross-verify findings), member checking (seeking feedback from study participants on the accuracy of interpretations), and thick description (providing detailed contextual information to help readers assess the transferability of findings to other settings).</w:t>
      </w:r>
    </w:p>
    <w:p w14:paraId="1AE15632" w14:textId="77777777" w:rsidR="00D21F3C" w:rsidRDefault="00D21F3C" w:rsidP="00D21F3C">
      <w:r>
        <w:t>Similarly, while quantitative researchers do simplify human behavior into measurable variables, they do not believe that this fully captures the intricacies of human experience. Rather, they use simplification as a strategic tool to uncover general principles and patterns that can contribute to our understanding of behavior. Quantitative researchers often acknowledge the limitations of their approach and may recommend combining quantitative and qualitative methods to gain a more comprehensive understanding of complex phenomena.</w:t>
      </w:r>
    </w:p>
    <w:p w14:paraId="2A25815D" w14:textId="14B55B06" w:rsidR="000D4334" w:rsidRDefault="00D21F3C" w:rsidP="00D21F3C">
      <w:r>
        <w:t>In summary, while there are some criticisms and tensions between quantitative and qualitative research approaches, researchers in both camps have developed strategies to address key methodological issues. By recognizing the strengths and limitations of each approach, and potentially combining them in mixed-methods studies, researchers can gain a more robust and nuanced understanding of human behavior and experience.</w:t>
      </w:r>
    </w:p>
    <w:p w14:paraId="5327D9DD" w14:textId="4BDDDCDA" w:rsidR="00A626FE" w:rsidRPr="000E309B" w:rsidRDefault="00810061" w:rsidP="00810061">
      <w:pPr>
        <w:pStyle w:val="Heading3"/>
      </w:pPr>
      <w:bookmarkStart w:id="206" w:name="_Toc169156825"/>
      <w:r>
        <w:t>C</w:t>
      </w:r>
      <w:r w:rsidR="00D14B33" w:rsidRPr="000E309B">
        <w:t xml:space="preserve">ombining </w:t>
      </w:r>
      <w:r>
        <w:t>Q</w:t>
      </w:r>
      <w:r w:rsidR="00D14B33" w:rsidRPr="000E309B">
        <w:t xml:space="preserve">uantitative </w:t>
      </w:r>
      <w:r w:rsidR="0040757E">
        <w:t>and</w:t>
      </w:r>
      <w:r w:rsidR="00D14B33" w:rsidRPr="000E309B">
        <w:t xml:space="preserve"> </w:t>
      </w:r>
      <w:r>
        <w:t>Q</w:t>
      </w:r>
      <w:r w:rsidR="00D14B33" w:rsidRPr="000E309B">
        <w:t>ualitative</w:t>
      </w:r>
      <w:bookmarkEnd w:id="206"/>
    </w:p>
    <w:p w14:paraId="3BD54FEF" w14:textId="193908AD" w:rsidR="0040757E" w:rsidRDefault="0040757E" w:rsidP="0040757E">
      <w:r>
        <w:t xml:space="preserve">Quantitative research, rooted in positivism, has long been the foundation of business and marketing research. Positivists argue that researchers should "eliminate their biases, remain emotionally detached and uninvolved with the objects of study and test or empirically justify their stated hypotheses" </w:t>
      </w:r>
      <w:r>
        <w:fldChar w:fldCharType="begin"/>
      </w:r>
      <w:r w:rsidR="007C07B4">
        <w:instrText xml:space="preserve"> ADDIN ZOTERO_ITEM CSL_CITATION {"citationID":"mMZ5KfwX","properties":{"formattedCitation":"[127]","plainCitation":"[127]","noteIndex":0},"citationItems":[{"id":164,"uris":["http://zotero.org/users/5015692/items/4EDWHBBX"],"itemData":{"id":164,"type":"article-journal","container-title":"Library trends","issue":"1","page":"171–189","title":"Observation: A complex research method","volume":"55","author":[{"family":"Baker","given":"Lynda"}],"issued":{"date-parts":[["2006"]]}}}],"schema":"https://github.com/citation-style-language/schema/raw/master/csl-citation.json"} </w:instrText>
      </w:r>
      <w:r>
        <w:fldChar w:fldCharType="separate"/>
      </w:r>
      <w:r w:rsidR="007C07B4" w:rsidRPr="007C07B4">
        <w:t>[127]</w:t>
      </w:r>
      <w:r>
        <w:fldChar w:fldCharType="end"/>
      </w:r>
      <w:r>
        <w:t>. In contrast, qualitative research, based on interpretivism, asserts that "multiple-constructed realities abound, that time- and context-free generalizations are neither desirable nor possible, that research is value-bound, that it is impossible to differentiate fully causes and effects, that logic flows from specific to general and that knower and known cannot be separated because the subjective knower is the only source of reality"</w:t>
      </w:r>
      <w:r w:rsidR="003A7382">
        <w:t xml:space="preserve"> </w:t>
      </w:r>
      <w:r w:rsidR="003A7382">
        <w:fldChar w:fldCharType="begin"/>
      </w:r>
      <w:r w:rsidR="007C07B4">
        <w:instrText xml:space="preserve"> ADDIN ZOTERO_ITEM CSL_CITATION {"citationID":"2Jwwb9Ak","properties":{"formattedCitation":"[177]","plainCitation":"[177]","noteIndex":0},"citationItems":[{"id":108,"uris":["http://zotero.org/users/5015692/items/L44F87RL"],"itemData":{"id":108,"type":"article-journal","container-title":"Educational researcher","issue":"7","page":"14–26","title":"Mixed methods research: A research paradigm whose time has come","volume":"33","author":[{"family":"Johnson","given":"R Burke"},{"family":"Onwuegbuzie","given":"Anthony J"}],"issued":{"date-parts":[["2004"]]}}}],"schema":"https://github.com/citation-style-language/schema/raw/master/csl-citation.json"} </w:instrText>
      </w:r>
      <w:r w:rsidR="003A7382">
        <w:fldChar w:fldCharType="separate"/>
      </w:r>
      <w:r w:rsidR="007C07B4" w:rsidRPr="007C07B4">
        <w:t>[177]</w:t>
      </w:r>
      <w:r w:rsidR="003A7382">
        <w:fldChar w:fldCharType="end"/>
      </w:r>
      <w:r>
        <w:t>.</w:t>
      </w:r>
    </w:p>
    <w:p w14:paraId="1C34508D" w14:textId="77777777" w:rsidR="0040757E" w:rsidRDefault="0040757E" w:rsidP="0040757E">
      <w:r>
        <w:t>In the late 20th century, calls for a truce in the "Paradigm Wars" between quantitative and qualitative methods emerged. Many researchers began to view the two methodologies as compatible and combinable within a single research project. This shift led to the rise of the mixed-methods approach, also known as "multi-modal" research. Mixed methods harness the strengths of both quantitative and qualitative approaches to investigate complex systems and processes in business, marketing, and economics. This approach encompasses all aspects of a research project, from philosophical assumptions and research questions to design, data collection, analysis, integration, and presentation.</w:t>
      </w:r>
    </w:p>
    <w:p w14:paraId="74735181" w14:textId="77777777" w:rsidR="0040757E" w:rsidRDefault="0040757E" w:rsidP="0040757E">
      <w:r>
        <w:lastRenderedPageBreak/>
        <w:t>The choice between quantitative, qualitative, or mixed methods depends on the nature of the research question. Quantitative methods are used to study causality, generalization, and magnitude of effect, while qualitative methods explore how or why phenomena occur, develop theories, or describe subjective experiences. Mixed methods combine the strengths of both approaches to address contemporary research problems more comprehensively.</w:t>
      </w:r>
    </w:p>
    <w:p w14:paraId="3E83D8E9" w14:textId="77777777" w:rsidR="0040757E" w:rsidRDefault="0040757E" w:rsidP="0040757E">
      <w:r>
        <w:t>Several definitions of mixed methods have emerged, focusing on the following key characteristics:</w:t>
      </w:r>
    </w:p>
    <w:p w14:paraId="26185806" w14:textId="77777777" w:rsidR="0040757E" w:rsidRDefault="0040757E" w:rsidP="00DB433E">
      <w:pPr>
        <w:pStyle w:val="ListParagraph"/>
        <w:numPr>
          <w:ilvl w:val="0"/>
          <w:numId w:val="363"/>
        </w:numPr>
      </w:pPr>
      <w:r>
        <w:t>Both quantitative and qualitative data are collected and analyzed.</w:t>
      </w:r>
    </w:p>
    <w:p w14:paraId="0EF5A0B8" w14:textId="77777777" w:rsidR="0040757E" w:rsidRDefault="0040757E" w:rsidP="00DB433E">
      <w:pPr>
        <w:pStyle w:val="ListParagraph"/>
        <w:numPr>
          <w:ilvl w:val="0"/>
          <w:numId w:val="363"/>
        </w:numPr>
      </w:pPr>
      <w:r>
        <w:t>Rigorous procedures are employed for both quantitative and qualitative components.</w:t>
      </w:r>
    </w:p>
    <w:p w14:paraId="002371B6" w14:textId="77777777" w:rsidR="0040757E" w:rsidRDefault="0040757E" w:rsidP="00DB433E">
      <w:pPr>
        <w:pStyle w:val="ListParagraph"/>
        <w:numPr>
          <w:ilvl w:val="0"/>
          <w:numId w:val="363"/>
        </w:numPr>
      </w:pPr>
      <w:r>
        <w:t>Results from both components are integrated or combined.</w:t>
      </w:r>
    </w:p>
    <w:p w14:paraId="6ACE15CD" w14:textId="77777777" w:rsidR="0040757E" w:rsidRDefault="0040757E" w:rsidP="00DB433E">
      <w:pPr>
        <w:pStyle w:val="ListParagraph"/>
        <w:numPr>
          <w:ilvl w:val="0"/>
          <w:numId w:val="363"/>
        </w:numPr>
      </w:pPr>
      <w:r>
        <w:t>Procedures are developed to guide data collection, analysis, and integration.</w:t>
      </w:r>
    </w:p>
    <w:p w14:paraId="7F274CA3" w14:textId="77777777" w:rsidR="0040757E" w:rsidRDefault="0040757E" w:rsidP="0040757E">
      <w:r>
        <w:t>Advocates of mixed methods argue that quantitative research alone may fail to capture contextual understanding, while qualitative research can compensate for these weaknesses. However, qualitative research is sometimes seen as deficient due to researcher bias, small sample sizes, and limited generalizability. By employing mixed methods, researchers can leverage the full range of tools available from both approaches, rather than restricting themselves to strategies associated with only one paradigm.</w:t>
      </w:r>
    </w:p>
    <w:p w14:paraId="10507CD9" w14:textId="3D361899" w:rsidR="0040757E" w:rsidRDefault="0040757E" w:rsidP="0040757E">
      <w:r>
        <w:t xml:space="preserve">The growing interest in mixed methods is evident from the publication of guidelines for </w:t>
      </w:r>
      <w:r w:rsidR="00DB433E">
        <w:t>their</w:t>
      </w:r>
      <w:r>
        <w:t xml:space="preserve"> use in various fields, such as information systems</w:t>
      </w:r>
      <w:r w:rsidR="00167A9E">
        <w:t xml:space="preserve"> </w:t>
      </w:r>
      <w:r w:rsidR="00167A9E">
        <w:fldChar w:fldCharType="begin"/>
      </w:r>
      <w:r w:rsidR="007C07B4">
        <w:instrText xml:space="preserve"> ADDIN ZOTERO_ITEM CSL_CITATION {"citationID":"U1NHETMW","properties":{"formattedCitation":"[178]","plainCitation":"[178]","noteIndex":0},"citationItems":[{"id":106,"uris":["http://zotero.org/users/5015692/items/SA5T2UEJ"],"itemData":{"id":106,"type":"article-journal","container-title":"MIS quarterly","issue":"1","title":"Bridging the qualitative-quantitative divide: Guidelines for conducting mixed methods research in information systems.","volume":"37","author":[{"family":"Venkatesh","given":"Viswanath"},{"family":"Brown","given":"Susan A"},{"family":"Bala","given":"Hillol"}],"issued":{"date-parts":[["2013"]]}}}],"schema":"https://github.com/citation-style-language/schema/raw/master/csl-citation.json"} </w:instrText>
      </w:r>
      <w:r w:rsidR="00167A9E">
        <w:fldChar w:fldCharType="separate"/>
      </w:r>
      <w:r w:rsidR="007C07B4" w:rsidRPr="007C07B4">
        <w:t>[178]</w:t>
      </w:r>
      <w:r w:rsidR="00167A9E">
        <w:fldChar w:fldCharType="end"/>
      </w:r>
      <w:r>
        <w:t xml:space="preserve"> and health sciences</w:t>
      </w:r>
      <w:r w:rsidR="002A6931">
        <w:t xml:space="preserve"> </w:t>
      </w:r>
      <w:r w:rsidR="002A6931">
        <w:fldChar w:fldCharType="begin"/>
      </w:r>
      <w:r w:rsidR="007C07B4">
        <w:instrText xml:space="preserve"> ADDIN ZOTERO_ITEM CSL_CITATION {"citationID":"vrKQegjC","properties":{"formattedCitation":"[179]","plainCitation":"[179]","noteIndex":0},"citationItems":[{"id":112,"uris":["http://zotero.org/users/5015692/items/KRUFISRH"],"itemData":{"id":112,"type":"article-journal","container-title":"The Annals of Family Medicine","issue":"1","page":"7–12","title":"Designing a mixed methods study in primary care","volume":"2","author":[{"family":"Creswell","given":"John W"},{"family":"Fetters","given":"Michael D"},{"family":"Ivankova","given":"Nataliya V"}],"issued":{"date-parts":[["2004"]]}}}],"schema":"https://github.com/citation-style-language/schema/raw/master/csl-citation.json"} </w:instrText>
      </w:r>
      <w:r w:rsidR="002A6931">
        <w:fldChar w:fldCharType="separate"/>
      </w:r>
      <w:r w:rsidR="007C07B4" w:rsidRPr="007C07B4">
        <w:t>[179]</w:t>
      </w:r>
      <w:r w:rsidR="002A6931">
        <w:fldChar w:fldCharType="end"/>
      </w:r>
      <w:r>
        <w:t>. As research questions become more complex and multifaceted, the mixed-methods approach offers a powerful and flexible framework for investigating the intricate phenomena that characterize contemporary business, marketing, and economic landscapes.</w:t>
      </w:r>
    </w:p>
    <w:p w14:paraId="5ACAB88A" w14:textId="72259EC1" w:rsidR="00317628" w:rsidRDefault="0040757E" w:rsidP="0040757E">
      <w:r>
        <w:t>In summary, the mixed-methods approach has emerged as a response to the limitations of relying solely on either quantitative or qualitative research. By combining the strengths of both methodologies, researchers can gain a more comprehensive and nuanced understanding of their research topics, addressing questions of causality, generalizability, and subjective experience within a single study. As the field of mixed methods continues to evolve, it is likely to play an increasingly important role in shaping the future of business and marketing research.</w:t>
      </w:r>
    </w:p>
    <w:p w14:paraId="5327D9EB" w14:textId="526E50B6" w:rsidR="00A626FE" w:rsidRPr="000E309B" w:rsidRDefault="00D14B33" w:rsidP="009F2A55">
      <w:pPr>
        <w:pStyle w:val="Heading4"/>
      </w:pPr>
      <w:r w:rsidRPr="000E309B">
        <w:t>Triangulation</w:t>
      </w:r>
    </w:p>
    <w:p w14:paraId="3BC38C89" w14:textId="0E6CBDAE" w:rsidR="00A51EA1" w:rsidRDefault="00A51EA1" w:rsidP="00A51EA1">
      <w:r>
        <w:t>Triangulation, one of the most used mixed-methods tools, draws its name from an old navigation technique. In the past, ship captains would determine their location by measuring the angle between their position and two visible reference points, such as stars or landmarks. By drawing lines from these reference points on a map, they could pinpoint their exact position at the intersection of these lines.</w:t>
      </w:r>
    </w:p>
    <w:p w14:paraId="2761B46F" w14:textId="77777777" w:rsidR="00A51EA1" w:rsidRDefault="00A51EA1" w:rsidP="00A51EA1">
      <w:r>
        <w:t xml:space="preserve">In the context of mixed-methods research, triangulation involves using multiple approaches to investigate a research problem, ultimately converging on a more precise understanding or solution. </w:t>
      </w:r>
      <w:r>
        <w:lastRenderedPageBreak/>
        <w:t>Just as navigators used multiple reference points to locate their position, researchers can employ various forms of triangulation to enhance the accuracy and credibility of their findings.</w:t>
      </w:r>
    </w:p>
    <w:p w14:paraId="2DCE8850" w14:textId="2D15BB9E" w:rsidR="00A51EA1" w:rsidRDefault="00A51EA1" w:rsidP="00A51EA1">
      <w:r>
        <w:t xml:space="preserve">Tashakkori </w:t>
      </w:r>
      <w:r w:rsidR="00E862DF">
        <w:t>identified</w:t>
      </w:r>
      <w:r>
        <w:t xml:space="preserve"> four main types of triangulation</w:t>
      </w:r>
      <w:r w:rsidR="00E862DF">
        <w:t xml:space="preserve"> </w:t>
      </w:r>
      <w:r w:rsidR="00E862DF">
        <w:fldChar w:fldCharType="begin"/>
      </w:r>
      <w:r w:rsidR="007C07B4">
        <w:instrText xml:space="preserve"> ADDIN ZOTERO_ITEM CSL_CITATION {"citationID":"shQmEhOm","properties":{"formattedCitation":"[180]","plainCitation":"[180]","noteIndex":0},"citationItems":[{"id":103,"uris":["http://zotero.org/users/5015692/items/FNH7KHBA"],"itemData":{"id":103,"type":"book","publisher":"Sage","title":"Mixed methodology: Combining qualitative and quantitative approaches","volume":"46","author":[{"family":"Tashakkori","given":"Abbas"},{"family":"Teddlie","given":"Charles"},{"family":"Teddlie","given":"Charles B"}],"issued":{"date-parts":[["1998"]]}}}],"schema":"https://github.com/citation-style-language/schema/raw/master/csl-citation.json"} </w:instrText>
      </w:r>
      <w:r w:rsidR="00E862DF">
        <w:fldChar w:fldCharType="separate"/>
      </w:r>
      <w:r w:rsidR="007C07B4" w:rsidRPr="007C07B4">
        <w:t>[180]</w:t>
      </w:r>
      <w:r w:rsidR="00E862DF">
        <w:fldChar w:fldCharType="end"/>
      </w:r>
      <w:r>
        <w:t>:</w:t>
      </w:r>
    </w:p>
    <w:p w14:paraId="0953DA95" w14:textId="77777777" w:rsidR="00A51EA1" w:rsidRDefault="00A51EA1" w:rsidP="00041D90">
      <w:pPr>
        <w:pStyle w:val="ListParagraph"/>
        <w:numPr>
          <w:ilvl w:val="0"/>
          <w:numId w:val="364"/>
        </w:numPr>
      </w:pPr>
      <w:r>
        <w:t>Data triangulation: This involves using a variety of data sources within a study. For example, a researcher examining employee satisfaction might collect data through surveys, interviews, and focus groups to gain a more comprehensive understanding of the issue.</w:t>
      </w:r>
    </w:p>
    <w:p w14:paraId="09065420" w14:textId="77777777" w:rsidR="00A51EA1" w:rsidRDefault="00A51EA1" w:rsidP="00041D90">
      <w:pPr>
        <w:pStyle w:val="ListParagraph"/>
        <w:numPr>
          <w:ilvl w:val="0"/>
          <w:numId w:val="364"/>
        </w:numPr>
      </w:pPr>
      <w:r>
        <w:t>Investigator triangulation: This refers to the use of several different researchers in a study. By involving multiple investigators with diverse backgrounds and perspectives, the research can benefit from a wider range of interpretations and insights.</w:t>
      </w:r>
    </w:p>
    <w:p w14:paraId="76A0D55B" w14:textId="77777777" w:rsidR="00A51EA1" w:rsidRDefault="00A51EA1" w:rsidP="00041D90">
      <w:pPr>
        <w:pStyle w:val="ListParagraph"/>
        <w:numPr>
          <w:ilvl w:val="0"/>
          <w:numId w:val="364"/>
        </w:numPr>
      </w:pPr>
      <w:r>
        <w:t>Theory triangulation: This entails applying multiple theoretical perspectives to interpret the results of a study. For instance, a researcher might analyze findings through the lenses of different psychological theories to gain a more nuanced understanding of the phenomenon under investigation.</w:t>
      </w:r>
    </w:p>
    <w:p w14:paraId="34840FD4" w14:textId="77777777" w:rsidR="00A51EA1" w:rsidRDefault="00A51EA1" w:rsidP="00041D90">
      <w:pPr>
        <w:pStyle w:val="ListParagraph"/>
        <w:numPr>
          <w:ilvl w:val="0"/>
          <w:numId w:val="364"/>
        </w:numPr>
      </w:pPr>
      <w:r>
        <w:t>Methodological triangulation: This involves using multiple methods to study a research problem. A researcher might combine quantitative surveys with qualitative interviews to explore both the breadth and depth of a particular issue.</w:t>
      </w:r>
    </w:p>
    <w:p w14:paraId="0557B335" w14:textId="77777777" w:rsidR="00A51EA1" w:rsidRDefault="00A51EA1" w:rsidP="00A51EA1">
      <w:r>
        <w:t>The emergence of triangulation as a research strategy played a crucial role in resolving the "Paradigm Wars" between quantitative and qualitative research approaches. By demonstrating that multiple methods could be used in combination to enhance the validity and reliability of findings, triangulation paved the way for the acceptance and growth of mixed-methods research in various fields.</w:t>
      </w:r>
    </w:p>
    <w:p w14:paraId="1E638E34" w14:textId="02A67838" w:rsidR="00AA5F93" w:rsidRDefault="00A51EA1" w:rsidP="00A51EA1">
      <w:r>
        <w:t>Today, triangulation is widely recognized as a powerful tool for strengthening the credibility and robustness of research findings. By leveraging multiple data sources, investigators, theories, and methods, researchers can develop a more comprehensive and refined understanding of complex phenomena. As mixed-methods research continues to evolve, triangulation remains a cornerstone of this approach, helping researchers navigate the complex landscape of social and behavioral inquiry.</w:t>
      </w:r>
    </w:p>
    <w:p w14:paraId="06FF0A7E" w14:textId="77777777" w:rsidR="007E440E" w:rsidRDefault="007E440E" w:rsidP="007E440E">
      <w:pPr>
        <w:pStyle w:val="Heading4"/>
      </w:pPr>
      <w:r>
        <w:t>Designing a Mixed-Methods Research Project: A Step-by-Step Guide</w:t>
      </w:r>
    </w:p>
    <w:p w14:paraId="62E71416" w14:textId="23C168CE" w:rsidR="007E440E" w:rsidRDefault="007E440E" w:rsidP="007E440E">
      <w:r>
        <w:t xml:space="preserve">Embarking on a research project can be an exciting yet daunting task, especially when considering the use of mixed methods. While every research project is unique, Venkatesh has developed a six-step process that serves as an excellent starting point for students and researchers new to mixed-methods research </w:t>
      </w:r>
      <w:r w:rsidR="004273B9">
        <w:fldChar w:fldCharType="begin"/>
      </w:r>
      <w:r w:rsidR="007C07B4">
        <w:instrText xml:space="preserve"> ADDIN ZOTERO_ITEM CSL_CITATION {"citationID":"dxFKayCI","properties":{"formattedCitation":"[178]","plainCitation":"[178]","noteIndex":0},"citationItems":[{"id":106,"uris":["http://zotero.org/users/5015692/items/SA5T2UEJ"],"itemData":{"id":106,"type":"article-journal","container-title":"MIS quarterly","issue":"1","title":"Bridging the qualitative-quantitative divide: Guidelines for conducting mixed methods research in information systems.","volume":"37","author":[{"family":"Venkatesh","given":"Viswanath"},{"family":"Brown","given":"Susan A"},{"family":"Bala","given":"Hillol"}],"issued":{"date-parts":[["2013"]]}}}],"schema":"https://github.com/citation-style-language/schema/raw/master/csl-citation.json"} </w:instrText>
      </w:r>
      <w:r w:rsidR="004273B9">
        <w:fldChar w:fldCharType="separate"/>
      </w:r>
      <w:r w:rsidR="007C07B4" w:rsidRPr="007C07B4">
        <w:t>[178]</w:t>
      </w:r>
      <w:r w:rsidR="004273B9">
        <w:fldChar w:fldCharType="end"/>
      </w:r>
      <w:r>
        <w:t>. Although this process may require adaptations based on specific project needs, it provides a solid foundation for designing and executing a successful mixed-methods study.</w:t>
      </w:r>
    </w:p>
    <w:p w14:paraId="051F31F9" w14:textId="4BCDFACD" w:rsidR="007E440E" w:rsidRDefault="007E440E" w:rsidP="007E440E">
      <w:r>
        <w:t>Step 1: Determine if a mixed-methods approach is appropriate</w:t>
      </w:r>
      <w:r w:rsidR="00C23A00">
        <w:t>.</w:t>
      </w:r>
    </w:p>
    <w:p w14:paraId="18CCCD0A" w14:textId="77777777" w:rsidR="007E440E" w:rsidRDefault="007E440E" w:rsidP="00C23A00">
      <w:pPr>
        <w:ind w:left="720"/>
      </w:pPr>
      <w:r>
        <w:lastRenderedPageBreak/>
        <w:t>Before diving into a mixed-methods project, it's crucial to assess whether this approach is the best fit for your research question and purpose. Consider factors such as the complexity of the problem, the available paradigms, and the resources required. Keep in mind that mixed-methods projects often demand more time and effort compared to single-method studies, so ensure that the added value justifies the investment.</w:t>
      </w:r>
    </w:p>
    <w:p w14:paraId="2BE88937" w14:textId="516F3FE5" w:rsidR="007E440E" w:rsidRDefault="007E440E" w:rsidP="007E440E">
      <w:r>
        <w:t>Step 2: Select a mixed-methods design strategy</w:t>
      </w:r>
      <w:r w:rsidR="00C23A00">
        <w:t>.</w:t>
      </w:r>
    </w:p>
    <w:p w14:paraId="12E4BDBA" w14:textId="77777777" w:rsidR="007E440E" w:rsidRDefault="007E440E" w:rsidP="00C23A00">
      <w:pPr>
        <w:ind w:left="720"/>
      </w:pPr>
      <w:r>
        <w:t>Once you've determined that a mixed-methods approach is appropriate, the next step is to choose a design strategy. There are three primary mixed-methods strategies (which we'll cover in more detail later), each with its own advantages and considerations. When selecting a strategy, think about the sequence of qualitative and quantitative phases, the priority given to each approach, how the data and results will be integrated, and the available time and expertise.</w:t>
      </w:r>
    </w:p>
    <w:p w14:paraId="39154F22" w14:textId="2F36B233" w:rsidR="007E440E" w:rsidRDefault="007E440E" w:rsidP="007E440E">
      <w:r>
        <w:t>Step 3: Plan data collection and analysis</w:t>
      </w:r>
      <w:r w:rsidR="00C23A00">
        <w:t>.</w:t>
      </w:r>
    </w:p>
    <w:p w14:paraId="018997B5" w14:textId="77777777" w:rsidR="007E440E" w:rsidRDefault="007E440E" w:rsidP="00C23A00">
      <w:pPr>
        <w:ind w:left="720"/>
      </w:pPr>
      <w:r>
        <w:t>Since mixed-methods projects involve both qualitative and quantitative phases, careful planning of data collection and analysis is essential. Mistakes made in the first phase may not be apparent until the second phase, potentially jeopardizing the entire project. To avoid this, develop clear protocols for each phase, ensuring that the data collected in one phase will effectively inform the other.</w:t>
      </w:r>
    </w:p>
    <w:p w14:paraId="54E8F907" w14:textId="74C56CDC" w:rsidR="007E440E" w:rsidRDefault="007E440E" w:rsidP="007E440E">
      <w:r>
        <w:t>Step 4: Develop meta-inferences from the results</w:t>
      </w:r>
      <w:r w:rsidR="00C23A00">
        <w:t>.</w:t>
      </w:r>
    </w:p>
    <w:p w14:paraId="08A66490" w14:textId="4D0592D4" w:rsidR="007E440E" w:rsidRDefault="007E440E" w:rsidP="00C23A00">
      <w:pPr>
        <w:ind w:left="720"/>
      </w:pPr>
      <w:r>
        <w:t xml:space="preserve">After collecting and analyzing data from both qualitative and quantitative phases, the next step is to draw meta-inferences. Meta-inferences are overarching conclusions that integrate the findings from both phases, </w:t>
      </w:r>
      <w:r w:rsidR="00C23A00">
        <w:t>like</w:t>
      </w:r>
      <w:r>
        <w:t xml:space="preserve"> developing a theory that explains the data and analysis. The information provided earlier about grounded theory can be helpful in this step.</w:t>
      </w:r>
    </w:p>
    <w:p w14:paraId="4EB7E27D" w14:textId="7723867F" w:rsidR="007E440E" w:rsidRDefault="007E440E" w:rsidP="007E440E">
      <w:r>
        <w:t>Step 5: Evaluate the quality of meta-inferences</w:t>
      </w:r>
      <w:r w:rsidR="00C23A00">
        <w:t>.</w:t>
      </w:r>
    </w:p>
    <w:p w14:paraId="7F78C07B" w14:textId="77777777" w:rsidR="007E440E" w:rsidRDefault="007E440E" w:rsidP="00C23A00">
      <w:pPr>
        <w:ind w:left="720"/>
      </w:pPr>
      <w:r>
        <w:t>Once you've developed your meta-inferences, it's important to assess their strength. If the meta-inferences are weak or unconvincing, you may need to reconsider your conclusions or even revisit earlier stages of the research project to make necessary adjustments to the protocol.</w:t>
      </w:r>
    </w:p>
    <w:p w14:paraId="18FB88FB" w14:textId="371F7E5B" w:rsidR="007E440E" w:rsidRDefault="007E440E" w:rsidP="007E440E">
      <w:r>
        <w:t>Step 6: Address potential threats and propose remedies</w:t>
      </w:r>
      <w:r w:rsidR="00C23A00">
        <w:t>.</w:t>
      </w:r>
    </w:p>
    <w:p w14:paraId="04C2B67E" w14:textId="683BEE29" w:rsidR="007E440E" w:rsidRDefault="007E440E" w:rsidP="00C23A00">
      <w:pPr>
        <w:ind w:left="720"/>
      </w:pPr>
      <w:r>
        <w:t xml:space="preserve">No research project is without challenges, and it's essential to proactively identify and address potential threats to the validity and reliability of your findings. Be honest and transparent about these </w:t>
      </w:r>
      <w:r w:rsidR="00C23A00">
        <w:t>threats and</w:t>
      </w:r>
      <w:r>
        <w:t xml:space="preserve"> propose appropriate remedies to mitigate their impact on your study.</w:t>
      </w:r>
    </w:p>
    <w:p w14:paraId="3CDFA0D1" w14:textId="77777777" w:rsidR="007E440E" w:rsidRDefault="007E440E" w:rsidP="007E440E"/>
    <w:p w14:paraId="7C70E296" w14:textId="6A294FBC" w:rsidR="00430FBD" w:rsidRDefault="007E440E" w:rsidP="007E440E">
      <w:r>
        <w:lastRenderedPageBreak/>
        <w:t>By following these six steps, students and researchers can create a solid foundation for their mixed-methods research projects. Remember that this process is iterative and may require adjustments based on the specific needs and constraints of your study. As you gain more experience with mixed-methods research, you'll develop a keener sense of how to adapt this process to suit your unique research questions and goals.</w:t>
      </w:r>
    </w:p>
    <w:p w14:paraId="71B3037B" w14:textId="77777777" w:rsidR="00177077" w:rsidRPr="00177077" w:rsidRDefault="00177077" w:rsidP="00177077">
      <w:pPr>
        <w:pStyle w:val="Heading4"/>
      </w:pPr>
      <w:r w:rsidRPr="00177077">
        <w:t>Choosing the Right Mixed-Methods Strategy: Key Factors to Consider</w:t>
      </w:r>
    </w:p>
    <w:p w14:paraId="018BA3F4" w14:textId="77777777" w:rsidR="009270E3" w:rsidRDefault="009270E3" w:rsidP="009270E3">
      <w:r>
        <w:t>When designing a mixed-methods research project, it's important to choose a strategy that aligns with your research goals, theoretical perspective, and practical constraints. Mixed-methods projects typically fall into three general strategies:</w:t>
      </w:r>
    </w:p>
    <w:p w14:paraId="354E537D" w14:textId="77777777" w:rsidR="009270E3" w:rsidRDefault="009270E3" w:rsidP="009270E3">
      <w:pPr>
        <w:pStyle w:val="ListParagraph"/>
        <w:numPr>
          <w:ilvl w:val="0"/>
          <w:numId w:val="365"/>
        </w:numPr>
      </w:pPr>
      <w:r>
        <w:t>Sequential Explanatory</w:t>
      </w:r>
    </w:p>
    <w:p w14:paraId="18E5B5BC" w14:textId="77777777" w:rsidR="009270E3" w:rsidRDefault="009270E3" w:rsidP="009270E3">
      <w:pPr>
        <w:pStyle w:val="ListParagraph"/>
        <w:numPr>
          <w:ilvl w:val="0"/>
          <w:numId w:val="365"/>
        </w:numPr>
      </w:pPr>
      <w:r>
        <w:t>Sequential Exploratory</w:t>
      </w:r>
    </w:p>
    <w:p w14:paraId="3F79A02C" w14:textId="77777777" w:rsidR="009270E3" w:rsidRDefault="009270E3" w:rsidP="009270E3">
      <w:pPr>
        <w:pStyle w:val="ListParagraph"/>
        <w:numPr>
          <w:ilvl w:val="0"/>
          <w:numId w:val="365"/>
        </w:numPr>
      </w:pPr>
      <w:r>
        <w:t>Convergent Parallel (Triangulation)</w:t>
      </w:r>
    </w:p>
    <w:p w14:paraId="38029EA3" w14:textId="77777777" w:rsidR="009270E3" w:rsidRDefault="009270E3" w:rsidP="009270E3">
      <w:r>
        <w:t>Each of these strategies has its own strengths and limitations, and the choice of strategy depends on four key factors:</w:t>
      </w:r>
    </w:p>
    <w:p w14:paraId="49F78DD8" w14:textId="77777777" w:rsidR="009270E3" w:rsidRPr="0009341E" w:rsidRDefault="009270E3" w:rsidP="009270E3">
      <w:pPr>
        <w:rPr>
          <w:b/>
          <w:bCs/>
        </w:rPr>
      </w:pPr>
      <w:r w:rsidRPr="0009341E">
        <w:rPr>
          <w:b/>
          <w:bCs/>
        </w:rPr>
        <w:t>Theoretical perspective</w:t>
      </w:r>
    </w:p>
    <w:p w14:paraId="3C691D0F" w14:textId="77777777" w:rsidR="009270E3" w:rsidRDefault="009270E3" w:rsidP="0009341E">
      <w:pPr>
        <w:ind w:left="720"/>
      </w:pPr>
      <w:r>
        <w:t>Explicit: Does the research project directly build upon a specific theory?</w:t>
      </w:r>
    </w:p>
    <w:p w14:paraId="278C9A59" w14:textId="77777777" w:rsidR="009270E3" w:rsidRDefault="009270E3" w:rsidP="0009341E">
      <w:pPr>
        <w:ind w:left="720"/>
      </w:pPr>
      <w:r>
        <w:t>Implicit: Is the research project indirectly informed by a theoretical foundation?</w:t>
      </w:r>
    </w:p>
    <w:p w14:paraId="580A1043" w14:textId="77777777" w:rsidR="009270E3" w:rsidRDefault="009270E3" w:rsidP="0009341E">
      <w:pPr>
        <w:ind w:left="720"/>
      </w:pPr>
      <w:r>
        <w:t>Understanding your theoretical perspective helps determine the role of theory in shaping your research questions, data collection, and analysis.</w:t>
      </w:r>
    </w:p>
    <w:p w14:paraId="581B018D" w14:textId="77777777" w:rsidR="009270E3" w:rsidRPr="0009341E" w:rsidRDefault="009270E3" w:rsidP="009270E3">
      <w:pPr>
        <w:rPr>
          <w:b/>
          <w:bCs/>
        </w:rPr>
      </w:pPr>
      <w:r w:rsidRPr="0009341E">
        <w:rPr>
          <w:b/>
          <w:bCs/>
        </w:rPr>
        <w:t>Priority of strategy</w:t>
      </w:r>
    </w:p>
    <w:p w14:paraId="5FB0D76E" w14:textId="77777777" w:rsidR="009270E3" w:rsidRDefault="009270E3" w:rsidP="0009341E">
      <w:pPr>
        <w:ind w:left="720"/>
      </w:pPr>
      <w:r>
        <w:t>Qualitative: Is the qualitative component of the research project more central to answering the research question?</w:t>
      </w:r>
    </w:p>
    <w:p w14:paraId="1E45711A" w14:textId="77777777" w:rsidR="009270E3" w:rsidRDefault="009270E3" w:rsidP="0009341E">
      <w:pPr>
        <w:ind w:left="720"/>
      </w:pPr>
      <w:r>
        <w:t>Quantitative: Is the quantitative component of the research project more essential in addressing the research problem?</w:t>
      </w:r>
    </w:p>
    <w:p w14:paraId="6910B9A0" w14:textId="77777777" w:rsidR="009270E3" w:rsidRDefault="009270E3" w:rsidP="0009341E">
      <w:pPr>
        <w:ind w:left="720"/>
      </w:pPr>
      <w:r>
        <w:t>Equal: Are both qualitative and quantitative approaches equally important in the research project?</w:t>
      </w:r>
    </w:p>
    <w:p w14:paraId="41AE1E65" w14:textId="77777777" w:rsidR="009270E3" w:rsidRDefault="009270E3" w:rsidP="0009341E">
      <w:pPr>
        <w:ind w:left="720"/>
      </w:pPr>
      <w:r>
        <w:t>Determining the priority of each approach helps allocate resources and guides the integration of findings.</w:t>
      </w:r>
    </w:p>
    <w:p w14:paraId="1A0B3E8A" w14:textId="77777777" w:rsidR="009270E3" w:rsidRPr="0009341E" w:rsidRDefault="009270E3" w:rsidP="009270E3">
      <w:pPr>
        <w:rPr>
          <w:b/>
          <w:bCs/>
        </w:rPr>
      </w:pPr>
      <w:r w:rsidRPr="0009341E">
        <w:rPr>
          <w:b/>
          <w:bCs/>
        </w:rPr>
        <w:t>Sequence of data collection</w:t>
      </w:r>
    </w:p>
    <w:p w14:paraId="6F159CE1" w14:textId="77777777" w:rsidR="009270E3" w:rsidRDefault="009270E3" w:rsidP="0009341E">
      <w:pPr>
        <w:ind w:left="720"/>
      </w:pPr>
      <w:r>
        <w:t>Qualitative first: Is the qualitative data collected and analyzed before the quantitative data?</w:t>
      </w:r>
    </w:p>
    <w:p w14:paraId="2B3064EB" w14:textId="77777777" w:rsidR="009270E3" w:rsidRDefault="009270E3" w:rsidP="0009341E">
      <w:pPr>
        <w:ind w:left="720"/>
      </w:pPr>
      <w:r>
        <w:t>Quantitative first: Is the quantitative data collected and analyzed before the qualitative data?</w:t>
      </w:r>
    </w:p>
    <w:p w14:paraId="7A9C448A" w14:textId="77777777" w:rsidR="009270E3" w:rsidRDefault="009270E3" w:rsidP="0009341E">
      <w:pPr>
        <w:ind w:left="720"/>
      </w:pPr>
      <w:r>
        <w:lastRenderedPageBreak/>
        <w:t>Simultaneous: Are both qualitative and quantitative data collected and analyzed concurrently?</w:t>
      </w:r>
    </w:p>
    <w:p w14:paraId="57FE52AD" w14:textId="77777777" w:rsidR="009270E3" w:rsidRDefault="009270E3" w:rsidP="0009341E">
      <w:pPr>
        <w:ind w:left="720"/>
      </w:pPr>
      <w:r>
        <w:t>The sequence of data collection influences the overall design and timeline of the project, as well as the way in which the findings from one phase inform the other.</w:t>
      </w:r>
    </w:p>
    <w:p w14:paraId="3FDC8CFE" w14:textId="77777777" w:rsidR="009270E3" w:rsidRPr="0009341E" w:rsidRDefault="009270E3" w:rsidP="009270E3">
      <w:pPr>
        <w:rPr>
          <w:b/>
          <w:bCs/>
        </w:rPr>
      </w:pPr>
      <w:r w:rsidRPr="0009341E">
        <w:rPr>
          <w:b/>
          <w:bCs/>
        </w:rPr>
        <w:t>Point of data integration</w:t>
      </w:r>
    </w:p>
    <w:p w14:paraId="739BFD31" w14:textId="77777777" w:rsidR="009270E3" w:rsidRDefault="009270E3" w:rsidP="0009341E">
      <w:pPr>
        <w:ind w:left="720"/>
      </w:pPr>
      <w:r>
        <w:t>At data collection: Are the qualitative and quantitative data integrated during the data collection process?</w:t>
      </w:r>
    </w:p>
    <w:p w14:paraId="424D35EA" w14:textId="77777777" w:rsidR="009270E3" w:rsidRDefault="009270E3" w:rsidP="0009341E">
      <w:pPr>
        <w:ind w:left="720"/>
      </w:pPr>
      <w:r>
        <w:t>At data analysis: Are the qualitative and quantitative data analyzed separately and then integrated during the analysis phase?</w:t>
      </w:r>
    </w:p>
    <w:p w14:paraId="271A2841" w14:textId="77777777" w:rsidR="009270E3" w:rsidRDefault="009270E3" w:rsidP="0009341E">
      <w:pPr>
        <w:ind w:left="720"/>
      </w:pPr>
      <w:r>
        <w:t>At data interpretation: Are the qualitative and quantitative findings kept separate until the interpretation stage, where they are then synthesized?</w:t>
      </w:r>
    </w:p>
    <w:p w14:paraId="3186FBB6" w14:textId="77777777" w:rsidR="009270E3" w:rsidRDefault="009270E3" w:rsidP="0009341E">
      <w:pPr>
        <w:ind w:left="720"/>
      </w:pPr>
      <w:r>
        <w:t>Combination: Are the data integrated at multiple points throughout the research process?</w:t>
      </w:r>
    </w:p>
    <w:p w14:paraId="22735481" w14:textId="77777777" w:rsidR="009270E3" w:rsidRDefault="009270E3" w:rsidP="0009341E">
      <w:pPr>
        <w:ind w:left="720"/>
      </w:pPr>
      <w:r>
        <w:t>The point at which data integration occurs determines how the qualitative and quantitative components interact and inform each other, ultimately shaping the meta-inferences drawn from the study.</w:t>
      </w:r>
    </w:p>
    <w:p w14:paraId="15CE0826" w14:textId="77777777" w:rsidR="009270E3" w:rsidRDefault="009270E3" w:rsidP="009270E3">
      <w:r>
        <w:t>By carefully considering these four factors, researchers can select the mixed-methods strategy that best suits their research question, theoretical framework, and available resources. For example, a researcher with a strong theoretical foundation and a primary interest in quantitative data may choose a Sequential Explanatory design, where the qualitative phase helps explain and contextualize the quantitative findings. On the other hand, a researcher exploring a novel research question with little prior theory may opt for a Sequential Exploratory design, using qualitative data to generate hypotheses that can be tested with quantitative methods.</w:t>
      </w:r>
    </w:p>
    <w:p w14:paraId="538C09E3" w14:textId="60DA9905" w:rsidR="005770FE" w:rsidRDefault="009270E3" w:rsidP="009270E3">
      <w:r>
        <w:t>Ultimately, the choice of mixed-methods strategy is a critical decision that shapes the entire research project. By understanding the key factors involved and aligning the strategy with the research goals and constraints, researchers can design more effective and coherent mixed-methods studies that yield rich, nuanced insights into complex phenomena.</w:t>
      </w:r>
    </w:p>
    <w:p w14:paraId="657AE1CC" w14:textId="77777777" w:rsidR="007A0794" w:rsidRDefault="007A0794" w:rsidP="00225FAF">
      <w:pPr>
        <w:pStyle w:val="Heading4"/>
      </w:pPr>
      <w:r>
        <w:t>Mixed-Methods Strategies: A Closer Look at Sequential Explanatory, Sequential Exploratory, and Convergent Parallel Designs</w:t>
      </w:r>
    </w:p>
    <w:p w14:paraId="338A2042" w14:textId="77777777" w:rsidR="007A0794" w:rsidRDefault="007A0794" w:rsidP="007A0794">
      <w:r>
        <w:t>When conducting a mixed-methods research project, it's essential to choose a strategy that aligns with your research goals and theoretical framework. Three common mixed-methods strategies are Sequential Explanatory, Sequential Exploratory, and Convergent Parallel (Triangulation). Let's take a closer look at each strategy, their purposes, processes, strengths, and weaknesses.</w:t>
      </w:r>
    </w:p>
    <w:p w14:paraId="1FC45850" w14:textId="77777777" w:rsidR="007A0794" w:rsidRDefault="007A0794" w:rsidP="00C36097">
      <w:pPr>
        <w:pStyle w:val="Heading5"/>
      </w:pPr>
      <w:r>
        <w:lastRenderedPageBreak/>
        <w:t>Sequential Explanatory Strategy</w:t>
      </w:r>
    </w:p>
    <w:p w14:paraId="4A7CB3ED" w14:textId="77777777" w:rsidR="007A0794" w:rsidRDefault="007A0794" w:rsidP="007A0794">
      <w:r>
        <w:t>The Sequential Explanatory strategy is used when a researcher has an existing theory to explain a phenomenon and seeks to collect data to further explore and explain certain aspects of that theory. The process involves:</w:t>
      </w:r>
    </w:p>
    <w:p w14:paraId="44E7A29B" w14:textId="66937DCE" w:rsidR="007A0794" w:rsidRDefault="007A0794" w:rsidP="00C36097">
      <w:pPr>
        <w:pStyle w:val="ListParagraph"/>
        <w:numPr>
          <w:ilvl w:val="0"/>
          <w:numId w:val="366"/>
        </w:numPr>
      </w:pPr>
      <w:r>
        <w:t>Collecting and analyzing quantitative data</w:t>
      </w:r>
      <w:r w:rsidR="000643C4">
        <w:t>.</w:t>
      </w:r>
    </w:p>
    <w:p w14:paraId="0555F51F" w14:textId="434E2845" w:rsidR="007A0794" w:rsidRDefault="007A0794" w:rsidP="00C36097">
      <w:pPr>
        <w:pStyle w:val="ListParagraph"/>
        <w:numPr>
          <w:ilvl w:val="0"/>
          <w:numId w:val="366"/>
        </w:numPr>
      </w:pPr>
      <w:r>
        <w:t>Collecting and analyzing qualitative data</w:t>
      </w:r>
      <w:r w:rsidR="000643C4">
        <w:t>.</w:t>
      </w:r>
    </w:p>
    <w:p w14:paraId="4DA94D73" w14:textId="286BB024" w:rsidR="007A0794" w:rsidRDefault="007A0794" w:rsidP="00C36097">
      <w:pPr>
        <w:pStyle w:val="ListParagraph"/>
        <w:numPr>
          <w:ilvl w:val="0"/>
          <w:numId w:val="366"/>
        </w:numPr>
      </w:pPr>
      <w:r>
        <w:t>Integrating the data during the results phase</w:t>
      </w:r>
      <w:r w:rsidR="000643C4">
        <w:t>.</w:t>
      </w:r>
    </w:p>
    <w:p w14:paraId="29C17D5C" w14:textId="7EF302D1" w:rsidR="00646660" w:rsidRDefault="00646660" w:rsidP="00FC016A">
      <w:pPr>
        <w:pStyle w:val="NoSpacing"/>
      </w:pPr>
      <w:r w:rsidRPr="000E309B">
        <w:rPr>
          <w:noProof/>
        </w:rPr>
        <w:drawing>
          <wp:anchor distT="0" distB="0" distL="114300" distR="114300" simplePos="0" relativeHeight="251918420" behindDoc="0" locked="0" layoutInCell="1" allowOverlap="1" wp14:anchorId="4BC0084E" wp14:editId="5C2D4D7A">
            <wp:simplePos x="0" y="0"/>
            <wp:positionH relativeFrom="column">
              <wp:align>center</wp:align>
            </wp:positionH>
            <wp:positionV relativeFrom="paragraph">
              <wp:posOffset>0</wp:posOffset>
            </wp:positionV>
            <wp:extent cx="2743200" cy="2587752"/>
            <wp:effectExtent l="0" t="0" r="0" b="0"/>
            <wp:wrapTopAndBottom/>
            <wp:docPr id="1928326283" name="Picture 1928326283" descr="A diagram of a data analysis process&#10;&#10;Description automatically generated"/>
            <wp:cNvGraphicFramePr/>
            <a:graphic xmlns:a="http://schemas.openxmlformats.org/drawingml/2006/main">
              <a:graphicData uri="http://schemas.openxmlformats.org/drawingml/2006/picture">
                <pic:pic xmlns:pic="http://schemas.openxmlformats.org/drawingml/2006/picture">
                  <pic:nvPicPr>
                    <pic:cNvPr id="1928326283" name="Picture 1928326283" descr="A diagram of a data analysis process&#10;&#10;Description automatically generated"/>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743200" cy="2587752"/>
                    </a:xfrm>
                    <a:prstGeom prst="rect">
                      <a:avLst/>
                    </a:prstGeom>
                  </pic:spPr>
                </pic:pic>
              </a:graphicData>
            </a:graphic>
            <wp14:sizeRelH relativeFrom="margin">
              <wp14:pctWidth>0</wp14:pctWidth>
            </wp14:sizeRelH>
            <wp14:sizeRelV relativeFrom="margin">
              <wp14:pctHeight>0</wp14:pctHeight>
            </wp14:sizeRelV>
          </wp:anchor>
        </w:drawing>
      </w:r>
    </w:p>
    <w:p w14:paraId="730D0E8A" w14:textId="05264F6B" w:rsidR="007A0794" w:rsidRDefault="007A0794" w:rsidP="007A0794">
      <w:r>
        <w:t>Both phases are given equal priority, and the primary focus is to use the qualitative data to provide a more detailed understanding of the quantitative results or to explain unexpected findings.</w:t>
      </w:r>
    </w:p>
    <w:p w14:paraId="5E7B431C" w14:textId="77777777" w:rsidR="007A0794" w:rsidRDefault="007A0794" w:rsidP="007A0794">
      <w:r>
        <w:t>Strengths:</w:t>
      </w:r>
    </w:p>
    <w:p w14:paraId="29446237" w14:textId="46511D16" w:rsidR="007A0794" w:rsidRDefault="007A0794" w:rsidP="00BC7F20">
      <w:pPr>
        <w:pStyle w:val="ListParagraph"/>
        <w:numPr>
          <w:ilvl w:val="0"/>
          <w:numId w:val="367"/>
        </w:numPr>
      </w:pPr>
      <w:r>
        <w:t>Relatively straightforward due to clear, distinct stages</w:t>
      </w:r>
      <w:r w:rsidR="000643C4">
        <w:t>.</w:t>
      </w:r>
    </w:p>
    <w:p w14:paraId="3F789293" w14:textId="30D59DD3" w:rsidR="007A0794" w:rsidRDefault="007A0794" w:rsidP="00BC7F20">
      <w:pPr>
        <w:pStyle w:val="ListParagraph"/>
        <w:numPr>
          <w:ilvl w:val="0"/>
          <w:numId w:val="367"/>
        </w:numPr>
      </w:pPr>
      <w:r>
        <w:t>Easier to describe than concurrent strategies</w:t>
      </w:r>
      <w:r w:rsidR="000643C4">
        <w:t>.</w:t>
      </w:r>
    </w:p>
    <w:p w14:paraId="0F9BECE5" w14:textId="77777777" w:rsidR="007A0794" w:rsidRDefault="007A0794" w:rsidP="007A0794">
      <w:r>
        <w:t>Weaknesses:</w:t>
      </w:r>
    </w:p>
    <w:p w14:paraId="673C2025" w14:textId="0E147069" w:rsidR="007A0794" w:rsidRDefault="007A0794" w:rsidP="00BC7F20">
      <w:pPr>
        <w:pStyle w:val="ListParagraph"/>
        <w:numPr>
          <w:ilvl w:val="0"/>
          <w:numId w:val="368"/>
        </w:numPr>
      </w:pPr>
      <w:r>
        <w:t>Time-consuming, especially when both phases are given equal priority</w:t>
      </w:r>
      <w:r w:rsidR="000643C4">
        <w:t>.</w:t>
      </w:r>
    </w:p>
    <w:p w14:paraId="08AA285A" w14:textId="77777777" w:rsidR="007A0794" w:rsidRDefault="007A0794" w:rsidP="00BC7F20">
      <w:pPr>
        <w:pStyle w:val="Heading5"/>
      </w:pPr>
      <w:r>
        <w:t>Sequential Exploratory Strategy</w:t>
      </w:r>
    </w:p>
    <w:p w14:paraId="02DAB04F" w14:textId="77777777" w:rsidR="007A0794" w:rsidRDefault="007A0794" w:rsidP="007A0794">
      <w:r>
        <w:t>The Sequential Exploratory strategy is used when a researcher aims to develop a theory based on observations. The process involves:</w:t>
      </w:r>
    </w:p>
    <w:p w14:paraId="177A34E8" w14:textId="41292DEF" w:rsidR="007A0794" w:rsidRDefault="007A0794" w:rsidP="00BC7F20">
      <w:pPr>
        <w:pStyle w:val="ListParagraph"/>
        <w:numPr>
          <w:ilvl w:val="0"/>
          <w:numId w:val="369"/>
        </w:numPr>
      </w:pPr>
      <w:r>
        <w:t>Collecting and analyzing qualitative data</w:t>
      </w:r>
      <w:r w:rsidR="000643C4">
        <w:t>.</w:t>
      </w:r>
    </w:p>
    <w:p w14:paraId="464C662C" w14:textId="63D3EFBB" w:rsidR="007A0794" w:rsidRDefault="007A0794" w:rsidP="00BC7F20">
      <w:pPr>
        <w:pStyle w:val="ListParagraph"/>
        <w:numPr>
          <w:ilvl w:val="0"/>
          <w:numId w:val="369"/>
        </w:numPr>
      </w:pPr>
      <w:r>
        <w:t>Collecting and analyzing quantitative data</w:t>
      </w:r>
      <w:r w:rsidR="000643C4">
        <w:t>.</w:t>
      </w:r>
    </w:p>
    <w:p w14:paraId="7BF8812B" w14:textId="54A0C4D4" w:rsidR="007A0794" w:rsidRDefault="007A0794" w:rsidP="00BC7F20">
      <w:pPr>
        <w:pStyle w:val="ListParagraph"/>
        <w:numPr>
          <w:ilvl w:val="0"/>
          <w:numId w:val="369"/>
        </w:numPr>
      </w:pPr>
      <w:r>
        <w:t>Integrating the data during the results phase</w:t>
      </w:r>
      <w:r w:rsidR="000643C4">
        <w:t>.</w:t>
      </w:r>
    </w:p>
    <w:p w14:paraId="355A3FB7" w14:textId="624B2280" w:rsidR="00FC016A" w:rsidRDefault="00FC016A" w:rsidP="005912C7">
      <w:pPr>
        <w:pStyle w:val="NoSpacing"/>
      </w:pPr>
      <w:r w:rsidRPr="000E309B">
        <w:rPr>
          <w:noProof/>
        </w:rPr>
        <w:lastRenderedPageBreak/>
        <w:drawing>
          <wp:anchor distT="0" distB="0" distL="114300" distR="114300" simplePos="0" relativeHeight="251920468" behindDoc="0" locked="0" layoutInCell="1" allowOverlap="1" wp14:anchorId="77776C3A" wp14:editId="06296D1A">
            <wp:simplePos x="0" y="0"/>
            <wp:positionH relativeFrom="column">
              <wp:align>center</wp:align>
            </wp:positionH>
            <wp:positionV relativeFrom="paragraph">
              <wp:posOffset>0</wp:posOffset>
            </wp:positionV>
            <wp:extent cx="2633472" cy="2468880"/>
            <wp:effectExtent l="0" t="0" r="0" b="0"/>
            <wp:wrapTopAndBottom/>
            <wp:docPr id="1556092959" name="Picture 1556092959" descr="A diagram of data analysis&#10;&#10;Description automatically generated"/>
            <wp:cNvGraphicFramePr/>
            <a:graphic xmlns:a="http://schemas.openxmlformats.org/drawingml/2006/main">
              <a:graphicData uri="http://schemas.openxmlformats.org/drawingml/2006/picture">
                <pic:pic xmlns:pic="http://schemas.openxmlformats.org/drawingml/2006/picture">
                  <pic:nvPicPr>
                    <pic:cNvPr id="1556092959" name="Picture 1556092959" descr="A diagram of data analysis&#10;&#10;Description automatically generated"/>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633472" cy="2468880"/>
                    </a:xfrm>
                    <a:prstGeom prst="rect">
                      <a:avLst/>
                    </a:prstGeom>
                  </pic:spPr>
                </pic:pic>
              </a:graphicData>
            </a:graphic>
            <wp14:sizeRelH relativeFrom="margin">
              <wp14:pctWidth>0</wp14:pctWidth>
            </wp14:sizeRelH>
            <wp14:sizeRelV relativeFrom="margin">
              <wp14:pctHeight>0</wp14:pctHeight>
            </wp14:sizeRelV>
          </wp:anchor>
        </w:drawing>
      </w:r>
    </w:p>
    <w:p w14:paraId="07805100" w14:textId="40631CF2" w:rsidR="007A0794" w:rsidRDefault="007A0794" w:rsidP="007A0794">
      <w:r>
        <w:t>Equal priority is given to both phases, but priority can be adjusted as the project unfolds. This strategy is primarily used to explore a phenomenon by testing elements of a theory, generalizing qualitative findings, and developing instrumentation.</w:t>
      </w:r>
    </w:p>
    <w:p w14:paraId="602B365F" w14:textId="77777777" w:rsidR="007A0794" w:rsidRDefault="007A0794" w:rsidP="007A0794">
      <w:r>
        <w:t>Strengths:</w:t>
      </w:r>
    </w:p>
    <w:p w14:paraId="2BE3F3A9" w14:textId="36ABE86F" w:rsidR="007A0794" w:rsidRDefault="007A0794" w:rsidP="00BC7F20">
      <w:pPr>
        <w:pStyle w:val="ListParagraph"/>
        <w:numPr>
          <w:ilvl w:val="0"/>
          <w:numId w:val="368"/>
        </w:numPr>
      </w:pPr>
      <w:r>
        <w:t>Relatively straightforward due to clear, distinct stages</w:t>
      </w:r>
      <w:r w:rsidR="000643C4">
        <w:t>.</w:t>
      </w:r>
    </w:p>
    <w:p w14:paraId="630776A1" w14:textId="7C00C7FB" w:rsidR="007A0794" w:rsidRDefault="007A0794" w:rsidP="00BC7F20">
      <w:pPr>
        <w:pStyle w:val="ListParagraph"/>
        <w:numPr>
          <w:ilvl w:val="0"/>
          <w:numId w:val="368"/>
        </w:numPr>
      </w:pPr>
      <w:r>
        <w:t>Easier to describe than concurrent strategies</w:t>
      </w:r>
      <w:r w:rsidR="000643C4">
        <w:t>.</w:t>
      </w:r>
    </w:p>
    <w:p w14:paraId="305EEF55" w14:textId="77777777" w:rsidR="007A0794" w:rsidRDefault="007A0794" w:rsidP="007A0794">
      <w:r>
        <w:t>Weaknesses:</w:t>
      </w:r>
    </w:p>
    <w:p w14:paraId="1F1F6743" w14:textId="4504EA56" w:rsidR="007A0794" w:rsidRDefault="007A0794" w:rsidP="00364D46">
      <w:pPr>
        <w:pStyle w:val="ListParagraph"/>
        <w:numPr>
          <w:ilvl w:val="0"/>
          <w:numId w:val="370"/>
        </w:numPr>
      </w:pPr>
      <w:r>
        <w:t>Time-consuming, especially when both phases are given equal priority</w:t>
      </w:r>
      <w:r w:rsidR="000643C4">
        <w:t>.</w:t>
      </w:r>
    </w:p>
    <w:p w14:paraId="12C9437E" w14:textId="77777777" w:rsidR="007A0794" w:rsidRDefault="007A0794" w:rsidP="00364D46">
      <w:pPr>
        <w:pStyle w:val="Heading5"/>
      </w:pPr>
      <w:r>
        <w:t>Convergent Parallel (Triangulation) Strategy</w:t>
      </w:r>
    </w:p>
    <w:p w14:paraId="4E2EFD8F" w14:textId="77777777" w:rsidR="007A0794" w:rsidRDefault="007A0794" w:rsidP="007A0794">
      <w:r>
        <w:t>The Convergent Parallel strategy, often called "triangulation," is used when a researcher seeks to validate a research project by converging two or more research processes on a single observation. The process involves:</w:t>
      </w:r>
    </w:p>
    <w:p w14:paraId="6260D7DE" w14:textId="689EAC59" w:rsidR="007A0794" w:rsidRDefault="007A0794" w:rsidP="00364D46">
      <w:pPr>
        <w:pStyle w:val="ListParagraph"/>
        <w:numPr>
          <w:ilvl w:val="0"/>
          <w:numId w:val="371"/>
        </w:numPr>
      </w:pPr>
      <w:r>
        <w:t>Two concurrent data collection phases (qualitative and quantitative)</w:t>
      </w:r>
      <w:r w:rsidR="000643C4">
        <w:t>.</w:t>
      </w:r>
    </w:p>
    <w:p w14:paraId="384637B1" w14:textId="1609BF3B" w:rsidR="007A0794" w:rsidRDefault="007A0794" w:rsidP="00364D46">
      <w:pPr>
        <w:pStyle w:val="ListParagraph"/>
        <w:numPr>
          <w:ilvl w:val="0"/>
          <w:numId w:val="371"/>
        </w:numPr>
      </w:pPr>
      <w:r>
        <w:t xml:space="preserve">Equal priority </w:t>
      </w:r>
      <w:r w:rsidR="00754E3F">
        <w:t>is given</w:t>
      </w:r>
      <w:r>
        <w:t xml:space="preserve"> to both </w:t>
      </w:r>
      <w:r w:rsidR="00754E3F">
        <w:t>phases but</w:t>
      </w:r>
      <w:r>
        <w:t xml:space="preserve"> can be shifted as necessary</w:t>
      </w:r>
      <w:r w:rsidR="000643C4">
        <w:t>.</w:t>
      </w:r>
    </w:p>
    <w:p w14:paraId="78D3452F" w14:textId="7672ACB1" w:rsidR="007A0794" w:rsidRDefault="007A0794" w:rsidP="00364D46">
      <w:pPr>
        <w:pStyle w:val="ListParagraph"/>
        <w:numPr>
          <w:ilvl w:val="0"/>
          <w:numId w:val="371"/>
        </w:numPr>
      </w:pPr>
      <w:r>
        <w:t>Data integration during all phases</w:t>
      </w:r>
      <w:r w:rsidR="000643C4">
        <w:t>.</w:t>
      </w:r>
    </w:p>
    <w:p w14:paraId="64D9C55D" w14:textId="11757467" w:rsidR="005912C7" w:rsidRDefault="005912C7" w:rsidP="00972AAF">
      <w:pPr>
        <w:pStyle w:val="NoSpacing"/>
      </w:pPr>
      <w:r w:rsidRPr="000E309B">
        <w:rPr>
          <w:noProof/>
        </w:rPr>
        <w:lastRenderedPageBreak/>
        <w:drawing>
          <wp:anchor distT="0" distB="0" distL="114300" distR="114300" simplePos="0" relativeHeight="251922516" behindDoc="0" locked="0" layoutInCell="1" allowOverlap="1" wp14:anchorId="61FF514F" wp14:editId="127F66D0">
            <wp:simplePos x="0" y="0"/>
            <wp:positionH relativeFrom="column">
              <wp:align>center</wp:align>
            </wp:positionH>
            <wp:positionV relativeFrom="paragraph">
              <wp:posOffset>0</wp:posOffset>
            </wp:positionV>
            <wp:extent cx="2743200" cy="2487168"/>
            <wp:effectExtent l="0" t="0" r="0" b="0"/>
            <wp:wrapTopAndBottom/>
            <wp:docPr id="933531069" name="Picture 933531069" descr="A diagram of data analysis&#10;&#10;Description automatically generated"/>
            <wp:cNvGraphicFramePr/>
            <a:graphic xmlns:a="http://schemas.openxmlformats.org/drawingml/2006/main">
              <a:graphicData uri="http://schemas.openxmlformats.org/drawingml/2006/picture">
                <pic:pic xmlns:pic="http://schemas.openxmlformats.org/drawingml/2006/picture">
                  <pic:nvPicPr>
                    <pic:cNvPr id="933531069" name="Picture 933531069" descr="A diagram of data analysis&#10;&#10;Description automatically generated"/>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743200" cy="2487168"/>
                    </a:xfrm>
                    <a:prstGeom prst="rect">
                      <a:avLst/>
                    </a:prstGeom>
                  </pic:spPr>
                </pic:pic>
              </a:graphicData>
            </a:graphic>
            <wp14:sizeRelH relativeFrom="margin">
              <wp14:pctWidth>0</wp14:pctWidth>
            </wp14:sizeRelH>
            <wp14:sizeRelV relativeFrom="margin">
              <wp14:pctHeight>0</wp14:pctHeight>
            </wp14:sizeRelV>
          </wp:anchor>
        </w:drawing>
      </w:r>
    </w:p>
    <w:p w14:paraId="5C120BA4" w14:textId="6E198A41" w:rsidR="007A0794" w:rsidRDefault="007A0794" w:rsidP="007A0794">
      <w:r>
        <w:t>The results highlight any convergence that strengthens knowledge claims or, conversely, a lack of convergence that would disprove the claims. This strategy is primarily used for confirmation, corroboration, or cross-validation within a single study.</w:t>
      </w:r>
    </w:p>
    <w:p w14:paraId="59D937C3" w14:textId="77777777" w:rsidR="007A0794" w:rsidRDefault="007A0794" w:rsidP="007A0794">
      <w:r>
        <w:t>Strengths:</w:t>
      </w:r>
    </w:p>
    <w:p w14:paraId="2CAF81F3" w14:textId="28580C52" w:rsidR="007A0794" w:rsidRDefault="007A0794" w:rsidP="00364D46">
      <w:pPr>
        <w:pStyle w:val="ListParagraph"/>
        <w:numPr>
          <w:ilvl w:val="0"/>
          <w:numId w:val="370"/>
        </w:numPr>
      </w:pPr>
      <w:r>
        <w:t>Familiar to many researchers</w:t>
      </w:r>
      <w:r w:rsidR="000643C4">
        <w:t>.</w:t>
      </w:r>
    </w:p>
    <w:p w14:paraId="64191906" w14:textId="54DD6FBE" w:rsidR="007A0794" w:rsidRDefault="007A0794" w:rsidP="00364D46">
      <w:pPr>
        <w:pStyle w:val="ListParagraph"/>
        <w:numPr>
          <w:ilvl w:val="0"/>
          <w:numId w:val="370"/>
        </w:numPr>
      </w:pPr>
      <w:r>
        <w:t>Shorter data collection time compared to sequential methods</w:t>
      </w:r>
      <w:r w:rsidR="000643C4">
        <w:t>.</w:t>
      </w:r>
    </w:p>
    <w:p w14:paraId="31E1DB8A" w14:textId="4E14B094" w:rsidR="007A0794" w:rsidRDefault="007A0794" w:rsidP="00364D46">
      <w:pPr>
        <w:pStyle w:val="ListParagraph"/>
        <w:numPr>
          <w:ilvl w:val="0"/>
          <w:numId w:val="370"/>
        </w:numPr>
      </w:pPr>
      <w:r>
        <w:t>Offsets weaknesses inherent to one design by using both</w:t>
      </w:r>
      <w:r w:rsidR="000643C4">
        <w:t>.</w:t>
      </w:r>
    </w:p>
    <w:p w14:paraId="40B0073D" w14:textId="77777777" w:rsidR="007A0794" w:rsidRDefault="007A0794" w:rsidP="007A0794">
      <w:r>
        <w:t>Weaknesses:</w:t>
      </w:r>
    </w:p>
    <w:p w14:paraId="2C108E57" w14:textId="208C817A" w:rsidR="007A0794" w:rsidRDefault="007A0794" w:rsidP="00364D46">
      <w:pPr>
        <w:pStyle w:val="ListParagraph"/>
        <w:numPr>
          <w:ilvl w:val="0"/>
          <w:numId w:val="372"/>
        </w:numPr>
      </w:pPr>
      <w:r>
        <w:t>Requires a great deal of expertise and effort to study the phenomenon using two methods</w:t>
      </w:r>
      <w:r w:rsidR="00754E3F">
        <w:t>.</w:t>
      </w:r>
    </w:p>
    <w:p w14:paraId="12316BE3" w14:textId="494FE7C8" w:rsidR="007A0794" w:rsidRDefault="007A0794" w:rsidP="00364D46">
      <w:pPr>
        <w:pStyle w:val="ListParagraph"/>
        <w:numPr>
          <w:ilvl w:val="0"/>
          <w:numId w:val="372"/>
        </w:numPr>
      </w:pPr>
      <w:r>
        <w:t>May be challenging to compare two types of data and resolve discrepancies if they arise</w:t>
      </w:r>
      <w:r w:rsidR="00754E3F">
        <w:t>.</w:t>
      </w:r>
    </w:p>
    <w:p w14:paraId="07B97972" w14:textId="0D04937F" w:rsidR="00101269" w:rsidRDefault="007A0794" w:rsidP="007A0794">
      <w:r>
        <w:t>In conclusion, each mixed-methods strategy has its own unique purposes, processes, strengths, and weaknesses. By understanding these characteristics, researchers can make informed decisions about which strategy best suits their research goals and theoretical framework. Whether using a Sequential Explanatory, Sequential Exploratory, or Convergent Parallel design, mixed-methods research offers a powerful tool for gaining a more comprehensive and nuanced understanding of complex phenomena.</w:t>
      </w:r>
    </w:p>
    <w:p w14:paraId="58F25DAF" w14:textId="77777777" w:rsidR="00BA7A25" w:rsidRPr="00BA7A25" w:rsidRDefault="00BA7A25" w:rsidP="00BA7A25">
      <w:pPr>
        <w:pStyle w:val="Heading4"/>
      </w:pPr>
      <w:r w:rsidRPr="00BA7A25">
        <w:t>Strengths and Weaknesses of Mixed-Methods Research: What to Consider</w:t>
      </w:r>
    </w:p>
    <w:p w14:paraId="419DF45D" w14:textId="77777777" w:rsidR="003C5398" w:rsidRDefault="003C5398" w:rsidP="003C5398">
      <w:r>
        <w:t>When deciding whether to use a mixed-methods approach for your research project, it's essential to consider both the strengths and weaknesses of this research paradigm. By understanding these factors, you can make an informed decision about whether mixed-methods research is the best fit for your research question and available resources.</w:t>
      </w:r>
    </w:p>
    <w:p w14:paraId="1D0C3738" w14:textId="77777777" w:rsidR="003C5398" w:rsidRDefault="003C5398" w:rsidP="003C5398">
      <w:pPr>
        <w:pStyle w:val="Heading5"/>
      </w:pPr>
      <w:r>
        <w:t>Strengths of mixed-methods research:</w:t>
      </w:r>
    </w:p>
    <w:p w14:paraId="78AF2E04" w14:textId="77777777" w:rsidR="003C5398" w:rsidRDefault="003C5398" w:rsidP="003C5398"/>
    <w:p w14:paraId="73854503" w14:textId="77777777" w:rsidR="003C5398" w:rsidRDefault="003C5398" w:rsidP="003C5398">
      <w:pPr>
        <w:pStyle w:val="ListParagraph"/>
        <w:numPr>
          <w:ilvl w:val="0"/>
          <w:numId w:val="373"/>
        </w:numPr>
      </w:pPr>
      <w:r>
        <w:lastRenderedPageBreak/>
        <w:t>Combining words, photos, and narratives with numbers: Qualitative data can add depth and meaning to quantitative results, while quantitative data can provide precision and generalizability to qualitative findings.</w:t>
      </w:r>
    </w:p>
    <w:p w14:paraId="5AB58424" w14:textId="77777777" w:rsidR="003C5398" w:rsidRDefault="003C5398" w:rsidP="003C5398">
      <w:pPr>
        <w:pStyle w:val="ListParagraph"/>
        <w:numPr>
          <w:ilvl w:val="0"/>
          <w:numId w:val="373"/>
        </w:numPr>
      </w:pPr>
      <w:r>
        <w:t>Addressing a wider range of research questions: By using both qualitative and quantitative methods, researchers can explore complex phenomena from multiple angles, rather than being limited to a single research design.</w:t>
      </w:r>
    </w:p>
    <w:p w14:paraId="009B4341" w14:textId="77777777" w:rsidR="003C5398" w:rsidRDefault="003C5398" w:rsidP="003C5398">
      <w:pPr>
        <w:pStyle w:val="ListParagraph"/>
        <w:numPr>
          <w:ilvl w:val="0"/>
          <w:numId w:val="373"/>
        </w:numPr>
      </w:pPr>
      <w:r>
        <w:t>Drawing more robust conclusions: The integration of qualitative and quantitative data can lead to a more comprehensive understanding of the research problem and stronger, more valid conclusions.</w:t>
      </w:r>
    </w:p>
    <w:p w14:paraId="5F6FD6D9" w14:textId="77777777" w:rsidR="003C5398" w:rsidRDefault="003C5398" w:rsidP="003C5398">
      <w:pPr>
        <w:pStyle w:val="ListParagraph"/>
        <w:numPr>
          <w:ilvl w:val="0"/>
          <w:numId w:val="373"/>
        </w:numPr>
      </w:pPr>
      <w:r>
        <w:t>Enhancing validity through triangulation: Using multiple methods to study the same phenomenon allows for cross-validation of findings, increasing the credibility of the research.</w:t>
      </w:r>
    </w:p>
    <w:p w14:paraId="6092328D" w14:textId="77777777" w:rsidR="003C5398" w:rsidRDefault="003C5398" w:rsidP="003C5398">
      <w:pPr>
        <w:pStyle w:val="ListParagraph"/>
        <w:numPr>
          <w:ilvl w:val="0"/>
          <w:numId w:val="373"/>
        </w:numPr>
      </w:pPr>
      <w:r>
        <w:t>Gaining additional insights: Combining qualitative and quantitative methods can uncover insights that might be missed when using only one approach, leading to a more nuanced understanding of the research problem.</w:t>
      </w:r>
    </w:p>
    <w:p w14:paraId="63AA29DB" w14:textId="77777777" w:rsidR="003C5398" w:rsidRDefault="003C5398" w:rsidP="003C5398">
      <w:pPr>
        <w:pStyle w:val="ListParagraph"/>
        <w:numPr>
          <w:ilvl w:val="0"/>
          <w:numId w:val="373"/>
        </w:numPr>
      </w:pPr>
      <w:r>
        <w:t>Increasing generalizability: Incorporating quantitative methods can help extend the findings of a qualitative study to a larger population, increasing the generalizability of the results.</w:t>
      </w:r>
    </w:p>
    <w:p w14:paraId="1214A036" w14:textId="77777777" w:rsidR="003C5398" w:rsidRDefault="003C5398" w:rsidP="003C5398">
      <w:pPr>
        <w:pStyle w:val="Heading5"/>
      </w:pPr>
      <w:r>
        <w:t>Weaknesses of mixed-methods research:</w:t>
      </w:r>
    </w:p>
    <w:p w14:paraId="54B881E4" w14:textId="77777777" w:rsidR="003C5398" w:rsidRDefault="003C5398" w:rsidP="003C5398">
      <w:pPr>
        <w:pStyle w:val="ListParagraph"/>
        <w:numPr>
          <w:ilvl w:val="0"/>
          <w:numId w:val="374"/>
        </w:numPr>
      </w:pPr>
      <w:r>
        <w:t>Challenges for a single researcher: Conducting a mixed-methods study, particularly when using concurrent designs, can be difficult for a single researcher to manage. In such cases, a research team may be necessary to handle the workload and ensure the quality of the study.</w:t>
      </w:r>
    </w:p>
    <w:p w14:paraId="455BD860" w14:textId="77777777" w:rsidR="003C5398" w:rsidRDefault="003C5398" w:rsidP="003C5398">
      <w:pPr>
        <w:pStyle w:val="ListParagraph"/>
        <w:numPr>
          <w:ilvl w:val="0"/>
          <w:numId w:val="374"/>
        </w:numPr>
      </w:pPr>
      <w:r>
        <w:t>Time and resource constraints: Mixed-methods research can be more time-consuming and expensive than single-method studies, especially when using concurrent designs that require simultaneous data collection and analysis.</w:t>
      </w:r>
    </w:p>
    <w:p w14:paraId="6F88BED4" w14:textId="77777777" w:rsidR="003C5398" w:rsidRDefault="003C5398" w:rsidP="003C5398">
      <w:pPr>
        <w:pStyle w:val="ListParagraph"/>
        <w:numPr>
          <w:ilvl w:val="0"/>
          <w:numId w:val="374"/>
        </w:numPr>
      </w:pPr>
      <w:r>
        <w:t>Skill requirements: Researchers must be proficient in both qualitative and quantitative methods to effectively combine them in a mixed-methods study. This requires a broader skill set and the ability to defend the use of multiple methods and utilize them professionally.</w:t>
      </w:r>
    </w:p>
    <w:p w14:paraId="6C0DB0B1" w14:textId="77777777" w:rsidR="003C5398" w:rsidRDefault="003C5398" w:rsidP="003C5398">
      <w:pPr>
        <w:pStyle w:val="ListParagraph"/>
        <w:numPr>
          <w:ilvl w:val="0"/>
          <w:numId w:val="374"/>
        </w:numPr>
      </w:pPr>
      <w:r>
        <w:t>Resistance from methodological purists: Some researchers believe that qualitative and quantitative methods should not be mixed within a single study, adhering to the idea that researchers should work within a single research paradigm. This perspective can lead to criticism or resistance to mixed-methods research.</w:t>
      </w:r>
    </w:p>
    <w:p w14:paraId="77C0A028" w14:textId="644062DF" w:rsidR="006E2688" w:rsidRDefault="003C5398" w:rsidP="003C5398">
      <w:r>
        <w:t>In conclusion, mixed-methods research offers numerous strengths, including the ability to address complex research questions, draw more robust conclusions, and gain additional insights. However, it also presents challenges, such as the need for a broader skill set, increased time and resource requirements, and potential resistance from methodological purists. By carefully considering these strengths and weaknesses, researchers can determine whether a mixed-</w:t>
      </w:r>
      <w:r>
        <w:lastRenderedPageBreak/>
        <w:t>methods approach is the best fit for their research project and take steps to mitigate potential challenges.</w:t>
      </w:r>
    </w:p>
    <w:p w14:paraId="5280ED82" w14:textId="77777777" w:rsidR="008D1A8C" w:rsidRPr="008D1A8C" w:rsidRDefault="008D1A8C" w:rsidP="008D1A8C">
      <w:pPr>
        <w:pStyle w:val="Heading3"/>
      </w:pPr>
      <w:bookmarkStart w:id="207" w:name="_Toc169156826"/>
      <w:r w:rsidRPr="008D1A8C">
        <w:t>Evaluating the Quality of Mixed Methods Research</w:t>
      </w:r>
      <w:bookmarkEnd w:id="207"/>
    </w:p>
    <w:p w14:paraId="5E413F71" w14:textId="77777777" w:rsidR="00EF306C" w:rsidRDefault="00EF306C" w:rsidP="00EF306C">
      <w:r>
        <w:t>As mixed methods research gains popularity, it is crucial for researchers to critically assess the quality of these studies. Evaluating the rigor and trustworthiness of mixed methods research requires a comprehensive approach that considers both the quantitative and qualitative components, as well as their integration.</w:t>
      </w:r>
    </w:p>
    <w:p w14:paraId="104E25E8" w14:textId="7A6CE4D2" w:rsidR="00EF306C" w:rsidRDefault="00EF306C" w:rsidP="00EF306C">
      <w:r>
        <w:t>Several frameworks and guidelines have been developed to assist in the evaluation of mixed methods research quality. One widely recognized framework is the "Good Reporting of A Mixed Methods Study" (GRAMMS) criteria</w:t>
      </w:r>
      <w:r w:rsidR="004B4219">
        <w:t xml:space="preserve"> </w:t>
      </w:r>
      <w:r w:rsidR="004B4219">
        <w:fldChar w:fldCharType="begin"/>
      </w:r>
      <w:r w:rsidR="007C07B4">
        <w:instrText xml:space="preserve"> ADDIN ZOTERO_ITEM CSL_CITATION {"citationID":"YyTXK2Sg","properties":{"formattedCitation":"[181]","plainCitation":"[181]","noteIndex":0},"citationItems":[{"id":387,"uris":["http://zotero.org/users/5015692/items/ZPM98FSL"],"itemData":{"id":387,"type":"article-journal","container-title":"Journal of health services research &amp; policy","ISSN":"1355-8196","issue":"2","journalAbbreviation":"Journal of health services research &amp; policy","note":"publisher: SAGE Publications Sage UK: London, England","page":"92-98","title":"The quality of mixed methods studies in health services research","volume":"13","author":[{"family":"O'cathain","given":"Alicia"},{"family":"Murphy","given":"Elizabeth"},{"family":"Nicholl","given":"Jon"}],"issued":{"date-parts":[["2008"]]}}}],"schema":"https://github.com/citation-style-language/schema/raw/master/csl-citation.json"} </w:instrText>
      </w:r>
      <w:r w:rsidR="004B4219">
        <w:fldChar w:fldCharType="separate"/>
      </w:r>
      <w:r w:rsidR="007C07B4" w:rsidRPr="007C07B4">
        <w:t>[181]</w:t>
      </w:r>
      <w:r w:rsidR="004B4219">
        <w:fldChar w:fldCharType="end"/>
      </w:r>
      <w:r>
        <w:t>. The GRAMMS criteria consist of six key elements:</w:t>
      </w:r>
    </w:p>
    <w:p w14:paraId="210608EB" w14:textId="0EB3DEA1" w:rsidR="00EF306C" w:rsidRDefault="00EF306C" w:rsidP="00AC5D39">
      <w:pPr>
        <w:pStyle w:val="ListParagraph"/>
        <w:numPr>
          <w:ilvl w:val="0"/>
          <w:numId w:val="375"/>
        </w:numPr>
      </w:pPr>
      <w:r>
        <w:t>Justification for using a mixed methods approach</w:t>
      </w:r>
      <w:r w:rsidR="00AC5D39">
        <w:t>.</w:t>
      </w:r>
    </w:p>
    <w:p w14:paraId="7F90DE75" w14:textId="25707552" w:rsidR="00EF306C" w:rsidRDefault="00EF306C" w:rsidP="00AC5D39">
      <w:pPr>
        <w:pStyle w:val="ListParagraph"/>
        <w:numPr>
          <w:ilvl w:val="0"/>
          <w:numId w:val="375"/>
        </w:numPr>
      </w:pPr>
      <w:r>
        <w:t>Description of the design in terms of the purpose, priority, and sequence of methods</w:t>
      </w:r>
      <w:r w:rsidR="00AC5D39">
        <w:t>.</w:t>
      </w:r>
    </w:p>
    <w:p w14:paraId="73B32C75" w14:textId="6651926B" w:rsidR="00EF306C" w:rsidRDefault="00EF306C" w:rsidP="00AC5D39">
      <w:pPr>
        <w:pStyle w:val="ListParagraph"/>
        <w:numPr>
          <w:ilvl w:val="0"/>
          <w:numId w:val="375"/>
        </w:numPr>
      </w:pPr>
      <w:r>
        <w:t>Description of each method in terms of sampling, data collection, and analysis</w:t>
      </w:r>
      <w:r w:rsidR="00AC5D39">
        <w:t>.</w:t>
      </w:r>
    </w:p>
    <w:p w14:paraId="3BBD6B62" w14:textId="626B0596" w:rsidR="00EF306C" w:rsidRDefault="00EF306C" w:rsidP="00AC5D39">
      <w:pPr>
        <w:pStyle w:val="ListParagraph"/>
        <w:numPr>
          <w:ilvl w:val="0"/>
          <w:numId w:val="375"/>
        </w:numPr>
      </w:pPr>
      <w:r>
        <w:t>Description of where integration has occurred, how it has occurred, and who has participated in it</w:t>
      </w:r>
      <w:r w:rsidR="00AC5D39">
        <w:t>.</w:t>
      </w:r>
    </w:p>
    <w:p w14:paraId="6CCD5136" w14:textId="3EC228DA" w:rsidR="00EF306C" w:rsidRDefault="00EF306C" w:rsidP="00AC5D39">
      <w:pPr>
        <w:pStyle w:val="ListParagraph"/>
        <w:numPr>
          <w:ilvl w:val="0"/>
          <w:numId w:val="375"/>
        </w:numPr>
      </w:pPr>
      <w:r>
        <w:t>Limitations of one method associated with the presence of the other method</w:t>
      </w:r>
      <w:r w:rsidR="00AC5D39">
        <w:t>.</w:t>
      </w:r>
    </w:p>
    <w:p w14:paraId="1BB170D1" w14:textId="39A61979" w:rsidR="00EF306C" w:rsidRDefault="00EF306C" w:rsidP="00AC5D39">
      <w:pPr>
        <w:pStyle w:val="ListParagraph"/>
        <w:numPr>
          <w:ilvl w:val="0"/>
          <w:numId w:val="375"/>
        </w:numPr>
      </w:pPr>
      <w:r>
        <w:t>Insights gained from mixing or integrating methods</w:t>
      </w:r>
      <w:r w:rsidR="00AC5D39">
        <w:t>.</w:t>
      </w:r>
    </w:p>
    <w:p w14:paraId="0141C07F" w14:textId="77777777" w:rsidR="00EF306C" w:rsidRDefault="00EF306C" w:rsidP="00EF306C">
      <w:r>
        <w:t>By addressing these elements, researchers can ensure that their mixed methods studies are well-designed, transparently reported, and can be adequately evaluated by readers.</w:t>
      </w:r>
    </w:p>
    <w:p w14:paraId="70E73D90" w14:textId="3BD3BEC6" w:rsidR="00EF306C" w:rsidRDefault="00EF306C" w:rsidP="00EF306C">
      <w:r>
        <w:t>Another useful tool for assessing mixed methods research quality is the "Mixed Methods Appraisal Tool" (MMAT)</w:t>
      </w:r>
      <w:r w:rsidR="00F10AC3">
        <w:t xml:space="preserve"> </w:t>
      </w:r>
      <w:r w:rsidR="00F10AC3">
        <w:fldChar w:fldCharType="begin"/>
      </w:r>
      <w:r w:rsidR="007C07B4">
        <w:instrText xml:space="preserve"> ADDIN ZOTERO_ITEM CSL_CITATION {"citationID":"DBWxeIqU","properties":{"formattedCitation":"[182]","plainCitation":"[182]","noteIndex":0},"citationItems":[{"id":388,"uris":["http://zotero.org/users/5015692/items/KANX4IVV"],"itemData":{"id":388,"type":"article-journal","container-title":"Education for information","ISSN":"0167-8329","issue":"4","journalAbbreviation":"Education for information","note":"publisher: IOS Press","page":"285-291","title":"The Mixed Methods Appraisal Tool (MMAT) version 2018 for information professionals and researchers","volume":"34","author":[{"family":"Hong","given":"Quan Nha"},{"family":"Fàbregues","given":"Sergi"},{"family":"Bartlett","given":"Gillian"},{"family":"Boardman","given":"Felicity"},{"family":"Cargo","given":"Margaret"},{"family":"Dagenais","given":"Pierre"},{"family":"Gagnon","given":"Marie-Pierre"},{"family":"Griffiths","given":"Frances"},{"family":"Nicolau","given":"Belinda"},{"family":"O’Cathain","given":"Alicia"}],"issued":{"date-parts":[["2018"]]}}}],"schema":"https://github.com/citation-style-language/schema/raw/master/csl-citation.json"} </w:instrText>
      </w:r>
      <w:r w:rsidR="00F10AC3">
        <w:fldChar w:fldCharType="separate"/>
      </w:r>
      <w:r w:rsidR="007C07B4" w:rsidRPr="007C07B4">
        <w:t>[182]</w:t>
      </w:r>
      <w:r w:rsidR="00F10AC3">
        <w:fldChar w:fldCharType="end"/>
      </w:r>
      <w:r>
        <w:t>. The MMAT is a critical appraisal tool that provides criteria for evaluating the methodological quality of five different study designs: qualitative research, randomized controlled trials, non-randomized studies, quantitative descriptive studies, and mixed methods studies. For mixed methods studies, the MMAT assesses the following aspects:</w:t>
      </w:r>
    </w:p>
    <w:p w14:paraId="760A27AF" w14:textId="56552D49" w:rsidR="00EF306C" w:rsidRDefault="00EF306C" w:rsidP="00F10AC3">
      <w:pPr>
        <w:pStyle w:val="ListParagraph"/>
        <w:numPr>
          <w:ilvl w:val="0"/>
          <w:numId w:val="376"/>
        </w:numPr>
      </w:pPr>
      <w:r>
        <w:t>Clarity of the research question</w:t>
      </w:r>
      <w:r w:rsidR="00F10AC3">
        <w:t>.</w:t>
      </w:r>
    </w:p>
    <w:p w14:paraId="7EA160BA" w14:textId="1CB72DB3" w:rsidR="00EF306C" w:rsidRDefault="00EF306C" w:rsidP="00F10AC3">
      <w:pPr>
        <w:pStyle w:val="ListParagraph"/>
        <w:numPr>
          <w:ilvl w:val="0"/>
          <w:numId w:val="376"/>
        </w:numPr>
      </w:pPr>
      <w:r>
        <w:t>Justification for using a mixed methods design</w:t>
      </w:r>
      <w:r w:rsidR="00F10AC3">
        <w:t>.</w:t>
      </w:r>
    </w:p>
    <w:p w14:paraId="1008BF07" w14:textId="3A61003F" w:rsidR="00EF306C" w:rsidRDefault="00EF306C" w:rsidP="00F10AC3">
      <w:pPr>
        <w:pStyle w:val="ListParagraph"/>
        <w:numPr>
          <w:ilvl w:val="0"/>
          <w:numId w:val="376"/>
        </w:numPr>
      </w:pPr>
      <w:r>
        <w:t>Integration of qualitative and quantitative data or results</w:t>
      </w:r>
      <w:r w:rsidR="00F10AC3">
        <w:t>.</w:t>
      </w:r>
    </w:p>
    <w:p w14:paraId="3A9521F8" w14:textId="36535105" w:rsidR="00EF306C" w:rsidRDefault="00EF306C" w:rsidP="00F10AC3">
      <w:pPr>
        <w:pStyle w:val="ListParagraph"/>
        <w:numPr>
          <w:ilvl w:val="0"/>
          <w:numId w:val="376"/>
        </w:numPr>
      </w:pPr>
      <w:r>
        <w:t>Consideration of the limitations associated with the integration</w:t>
      </w:r>
      <w:r w:rsidR="00F10AC3">
        <w:t>.</w:t>
      </w:r>
    </w:p>
    <w:p w14:paraId="06450A4D" w14:textId="35580861" w:rsidR="00EF306C" w:rsidRDefault="00EF306C" w:rsidP="00F10AC3">
      <w:pPr>
        <w:pStyle w:val="ListParagraph"/>
        <w:numPr>
          <w:ilvl w:val="0"/>
          <w:numId w:val="376"/>
        </w:numPr>
      </w:pPr>
      <w:r>
        <w:t>Adequacy of the interpretation of the integrated results</w:t>
      </w:r>
      <w:r w:rsidR="00F10AC3">
        <w:t>.</w:t>
      </w:r>
    </w:p>
    <w:p w14:paraId="21A8F255" w14:textId="77777777" w:rsidR="00EF306C" w:rsidRDefault="00EF306C" w:rsidP="00EF306C">
      <w:r>
        <w:t>Using the MMAT, researchers can systematically evaluate the quality of mixed methods studies and identify areas for improvement in their own work.</w:t>
      </w:r>
    </w:p>
    <w:p w14:paraId="7381219C" w14:textId="77777777" w:rsidR="00EF306C" w:rsidRDefault="00EF306C" w:rsidP="00EF306C">
      <w:r>
        <w:t xml:space="preserve">When evaluating the quality of mixed methods research, it is important to consider the appropriateness of the chosen design for the research question. For example, a convergent parallel design, where qualitative and quantitative data are collected simultaneously and integrated during interpretation, may be suitable for research questions that aim to triangulate findings or develop a more comprehensive understanding of a phenomenon. On the other hand, an </w:t>
      </w:r>
      <w:r>
        <w:lastRenderedPageBreak/>
        <w:t>explanatory sequential design, where quantitative data is collected and analyzed first, followed by qualitative data collection and analysis to explain the quantitative results, may be more appropriate for research questions that seek to identify and understand unexpected or complex findings.</w:t>
      </w:r>
    </w:p>
    <w:p w14:paraId="034E0193" w14:textId="77777777" w:rsidR="00EF306C" w:rsidRDefault="00EF306C" w:rsidP="00EF306C">
      <w:r>
        <w:t>In addition to the appropriateness of the design, researchers should assess the rigor of data collection and analysis procedures for both the qualitative and quantitative components. This includes evaluating the sampling strategies, data collection methods, and analytical techniques used, as well as the measures taken to ensure the validity and reliability of the results.</w:t>
      </w:r>
    </w:p>
    <w:p w14:paraId="0E0A7168" w14:textId="77777777" w:rsidR="00EF306C" w:rsidRDefault="00EF306C" w:rsidP="00EF306C">
      <w:r>
        <w:t>Finally, the quality of mixed methods research depends on the effective integration of qualitative and quantitative findings. Researchers should carefully examine how the integration was performed, whether it occurred at the data, methods, or interpretation level, and whether the integrated results provide a coherent and insightful understanding of the research problem.</w:t>
      </w:r>
    </w:p>
    <w:p w14:paraId="0621B62B" w14:textId="30A80119" w:rsidR="00DB17AE" w:rsidRDefault="00EF306C" w:rsidP="00EF306C">
      <w:r>
        <w:t>In conclusion, evaluating the quality of mixed methods research is a multifaceted process that requires careful consideration of the study's design, methods, integration, and interpretation. By using established frameworks and guidelines, such as the GRAMMS criteria and the MMAT, researchers can critically appraise mixed methods studies and ensure that their own work meets the highest standards of methodological rigor and transparency.</w:t>
      </w:r>
    </w:p>
    <w:p w14:paraId="79E6B1C6" w14:textId="44BCEB0D" w:rsidR="00912F5A" w:rsidRDefault="00254084" w:rsidP="00342CEA">
      <w:pPr>
        <w:pStyle w:val="Heading3"/>
      </w:pPr>
      <w:bookmarkStart w:id="208" w:name="_Toc169156827"/>
      <w:r>
        <w:rPr>
          <w:noProof/>
        </w:rPr>
        <w:drawing>
          <wp:anchor distT="0" distB="0" distL="114300" distR="114300" simplePos="0" relativeHeight="251983956" behindDoc="0" locked="0" layoutInCell="1" allowOverlap="1" wp14:anchorId="1E92238C" wp14:editId="7E062A4E">
            <wp:simplePos x="0" y="0"/>
            <wp:positionH relativeFrom="column">
              <wp:align>right</wp:align>
            </wp:positionH>
            <wp:positionV relativeFrom="paragraph">
              <wp:posOffset>0</wp:posOffset>
            </wp:positionV>
            <wp:extent cx="914400" cy="914400"/>
            <wp:effectExtent l="19050" t="19050" r="19050" b="19050"/>
            <wp:wrapSquare wrapText="bothSides"/>
            <wp:docPr id="528068811"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2E4B97">
        <w:t>Summary of Chapter 15: Mixed Methods</w:t>
      </w:r>
      <w:bookmarkEnd w:id="208"/>
    </w:p>
    <w:p w14:paraId="741D2CFF" w14:textId="77777777" w:rsidR="00EA6EDA" w:rsidRDefault="00EA6EDA" w:rsidP="00EA6EDA">
      <w:r>
        <w:t>In this chapter, you've learned about the fundamentals of mixed methods research, a powerful approach that combines quantitative and qualitative techniques to provide a more comprehensive understanding of complex research problems. By studying this chapter, you should now have a solid grasp of the following key concepts:</w:t>
      </w:r>
    </w:p>
    <w:p w14:paraId="1C5AD472" w14:textId="2681DC36" w:rsidR="00EA6EDA" w:rsidRDefault="00EA6EDA" w:rsidP="00EA6EDA">
      <w:pPr>
        <w:pStyle w:val="ListParagraph"/>
        <w:numPr>
          <w:ilvl w:val="0"/>
          <w:numId w:val="377"/>
        </w:numPr>
      </w:pPr>
      <w:r>
        <w:t>The differences between quantitative, qualitative, and mixed methods research approaches.</w:t>
      </w:r>
    </w:p>
    <w:p w14:paraId="6394D61B" w14:textId="5EE9CDCB" w:rsidR="00EA6EDA" w:rsidRDefault="00EA6EDA" w:rsidP="00EA6EDA">
      <w:pPr>
        <w:pStyle w:val="ListParagraph"/>
        <w:numPr>
          <w:ilvl w:val="0"/>
          <w:numId w:val="377"/>
        </w:numPr>
      </w:pPr>
      <w:r>
        <w:t>Quantitative descriptive and inferential analysis techniques.</w:t>
      </w:r>
    </w:p>
    <w:p w14:paraId="5FE6A897" w14:textId="4A88DE34" w:rsidR="00EA6EDA" w:rsidRDefault="00EA6EDA" w:rsidP="00EA6EDA">
      <w:pPr>
        <w:pStyle w:val="ListParagraph"/>
        <w:numPr>
          <w:ilvl w:val="0"/>
          <w:numId w:val="377"/>
        </w:numPr>
      </w:pPr>
      <w:r>
        <w:t>Qualitative analysis principles and procedures, focusing on grounded theory.</w:t>
      </w:r>
    </w:p>
    <w:p w14:paraId="2EDEA071" w14:textId="7FC15B96" w:rsidR="00EA6EDA" w:rsidRDefault="00EA6EDA" w:rsidP="00EA6EDA">
      <w:pPr>
        <w:pStyle w:val="ListParagraph"/>
        <w:numPr>
          <w:ilvl w:val="0"/>
          <w:numId w:val="377"/>
        </w:numPr>
      </w:pPr>
      <w:r>
        <w:t>The historical tensions and critiques between quantitative and qualitative paradigms.</w:t>
      </w:r>
    </w:p>
    <w:p w14:paraId="2DBDE4FF" w14:textId="37E37C82" w:rsidR="00EA6EDA" w:rsidRDefault="00EA6EDA" w:rsidP="00EA6EDA">
      <w:pPr>
        <w:pStyle w:val="ListParagraph"/>
        <w:numPr>
          <w:ilvl w:val="0"/>
          <w:numId w:val="377"/>
        </w:numPr>
      </w:pPr>
      <w:r>
        <w:t>The emergence and key characteristics of mixed methods research.</w:t>
      </w:r>
    </w:p>
    <w:p w14:paraId="6906CB39" w14:textId="2D2C5A2C" w:rsidR="00EA6EDA" w:rsidRDefault="00EA6EDA" w:rsidP="00EA6EDA">
      <w:pPr>
        <w:pStyle w:val="ListParagraph"/>
        <w:numPr>
          <w:ilvl w:val="0"/>
          <w:numId w:val="377"/>
        </w:numPr>
      </w:pPr>
      <w:r>
        <w:t>The concept of triangulation and its role in enhancing research findings.</w:t>
      </w:r>
    </w:p>
    <w:p w14:paraId="44AF3993" w14:textId="198C26C0" w:rsidR="00EA6EDA" w:rsidRDefault="00EA6EDA" w:rsidP="00EA6EDA">
      <w:pPr>
        <w:pStyle w:val="ListParagraph"/>
        <w:numPr>
          <w:ilvl w:val="0"/>
          <w:numId w:val="377"/>
        </w:numPr>
      </w:pPr>
      <w:r>
        <w:t>The six-step process for designing and executing a mixed methods study.</w:t>
      </w:r>
    </w:p>
    <w:p w14:paraId="11409D83" w14:textId="77777777" w:rsidR="00EA6EDA" w:rsidRDefault="00EA6EDA" w:rsidP="00EA6EDA">
      <w:r>
        <w:t>Understanding these concepts is crucial for conducting successful research projects. Mixed methods research allows you to leverage the strengths of both quantitative and qualitative approaches, enabling you to address research questions more comprehensively and gain a nuanced understanding of the phenomena you're studying.</w:t>
      </w:r>
    </w:p>
    <w:p w14:paraId="276668F3" w14:textId="77777777" w:rsidR="00EA6EDA" w:rsidRDefault="00EA6EDA" w:rsidP="00EA6EDA">
      <w:r>
        <w:lastRenderedPageBreak/>
        <w:t>As you continue your journey in research, I encourage you to explore these concepts further and consider how you can apply mixed methods in your own research endeavors. By mastering the principles and techniques of mixed methods research, you'll be well-equipped to tackle complex research problems and contribute meaningful insights to your field of study.</w:t>
      </w:r>
    </w:p>
    <w:p w14:paraId="666F4D82" w14:textId="6C3943D9" w:rsidR="00342CEA" w:rsidRDefault="00EA6EDA" w:rsidP="00EA6EDA">
      <w:r>
        <w:t>Remember, the concepts presented in this chapter form a foundation for your growth as a researcher. Embrace the depth and complexity of mixed methods research, and don't hesitate to seek out additional resources and guidance as you continue to develop your skills. With dedication and practice, you'll become a proficient and insightful researcher, ready to make a significant impact in your chosen discipline.</w:t>
      </w:r>
    </w:p>
    <w:p w14:paraId="51E1AEBB" w14:textId="77777777" w:rsidR="00342CEA" w:rsidRDefault="00342CEA" w:rsidP="00342CEA"/>
    <w:p w14:paraId="44ADF420" w14:textId="77777777" w:rsidR="00342CEA" w:rsidRPr="00342CEA" w:rsidRDefault="00342CEA" w:rsidP="00342CEA"/>
    <w:p w14:paraId="2BE59E4E" w14:textId="50383295" w:rsidR="00342CEA" w:rsidRPr="00342CEA" w:rsidRDefault="00342CEA" w:rsidP="00342CEA">
      <w:pPr>
        <w:sectPr w:rsidR="00342CEA" w:rsidRPr="00342CEA" w:rsidSect="00FD08D0">
          <w:headerReference w:type="default" r:id="rId306"/>
          <w:pgSz w:w="12240" w:h="15840"/>
          <w:pgMar w:top="1440" w:right="1440" w:bottom="1440" w:left="1440" w:header="720" w:footer="720" w:gutter="0"/>
          <w:cols w:space="720"/>
          <w:docGrid w:linePitch="299"/>
        </w:sectPr>
      </w:pPr>
    </w:p>
    <w:p w14:paraId="5327DA3B" w14:textId="0E77189E" w:rsidR="00A626FE" w:rsidRPr="000E309B" w:rsidRDefault="00FA3D09" w:rsidP="00FA3D09">
      <w:pPr>
        <w:pStyle w:val="Heading1"/>
      </w:pPr>
      <w:bookmarkStart w:id="209" w:name="_Toc169156828"/>
      <w:r>
        <w:lastRenderedPageBreak/>
        <w:t>Reporting</w:t>
      </w:r>
      <w:bookmarkEnd w:id="209"/>
    </w:p>
    <w:p w14:paraId="71D62C52" w14:textId="7B13FDB1" w:rsidR="00912F5A" w:rsidRDefault="00D14B33" w:rsidP="000E309B">
      <w:pPr>
        <w:spacing w:line="360" w:lineRule="auto"/>
        <w:sectPr w:rsidR="00912F5A" w:rsidSect="00FD08D0">
          <w:pgSz w:w="12240" w:h="15840"/>
          <w:pgMar w:top="1440" w:right="1440" w:bottom="1440" w:left="1440" w:header="720" w:footer="720" w:gutter="0"/>
          <w:cols w:space="720"/>
          <w:vAlign w:val="center"/>
          <w:titlePg/>
          <w:docGrid w:linePitch="299"/>
        </w:sectPr>
      </w:pPr>
      <w:r w:rsidRPr="000E309B">
        <w:t xml:space="preserve">After a research project is completed, the investigator must report the </w:t>
      </w:r>
      <w:r w:rsidR="000C75D2">
        <w:t>project results</w:t>
      </w:r>
      <w:r w:rsidRPr="000E309B">
        <w:t>, often</w:t>
      </w:r>
      <w:r w:rsidR="001F3566">
        <w:t xml:space="preserve"> in</w:t>
      </w:r>
      <w:r w:rsidRPr="000E309B">
        <w:t xml:space="preserve"> </w:t>
      </w:r>
      <w:r w:rsidR="001F3566">
        <w:t>writing and orally</w:t>
      </w:r>
      <w:r w:rsidRPr="000E309B">
        <w:t>. This chapter concerns the reporting process.</w:t>
      </w:r>
    </w:p>
    <w:p w14:paraId="5327DA40" w14:textId="508E700C" w:rsidR="00A626FE" w:rsidRPr="000E309B" w:rsidRDefault="00082908" w:rsidP="00FA3D09">
      <w:pPr>
        <w:pStyle w:val="Heading2"/>
      </w:pPr>
      <w:bookmarkStart w:id="210" w:name="_Toc169156829"/>
      <w:r>
        <w:rPr>
          <w:noProof/>
        </w:rPr>
        <w:lastRenderedPageBreak/>
        <w:drawing>
          <wp:anchor distT="0" distB="0" distL="114300" distR="114300" simplePos="0" relativeHeight="251735124" behindDoc="0" locked="0" layoutInCell="1" allowOverlap="1" wp14:anchorId="3C2041A3" wp14:editId="2DE5F3C5">
            <wp:simplePos x="0" y="0"/>
            <wp:positionH relativeFrom="margin">
              <wp:align>right</wp:align>
            </wp:positionH>
            <wp:positionV relativeFrom="margin">
              <wp:posOffset>0</wp:posOffset>
            </wp:positionV>
            <wp:extent cx="1709928" cy="1709928"/>
            <wp:effectExtent l="0" t="0" r="5080" b="5080"/>
            <wp:wrapSquare wrapText="bothSides"/>
            <wp:docPr id="22755" name="Picture 2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5" name="Picture 22755"/>
                    <pic:cNvPicPr/>
                  </pic:nvPicPr>
                  <pic:blipFill>
                    <a:blip r:embed="rId307" cstate="print">
                      <a:extLst>
                        <a:ext uri="{BEBA8EAE-BF5A-486C-A8C5-ECC9F3942E4B}">
                          <a14:imgProps xmlns:a14="http://schemas.microsoft.com/office/drawing/2010/main">
                            <a14:imgLayer r:embed="rId30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709928" cy="1709928"/>
                    </a:xfrm>
                    <a:prstGeom prst="rect">
                      <a:avLst/>
                    </a:prstGeom>
                  </pic:spPr>
                </pic:pic>
              </a:graphicData>
            </a:graphic>
            <wp14:sizeRelH relativeFrom="page">
              <wp14:pctWidth>0</wp14:pctWidth>
            </wp14:sizeRelH>
            <wp14:sizeRelV relativeFrom="page">
              <wp14:pctHeight>0</wp14:pctHeight>
            </wp14:sizeRelV>
          </wp:anchor>
        </w:drawing>
      </w:r>
      <w:r w:rsidR="00671066">
        <w:t>1</w:t>
      </w:r>
      <w:r w:rsidR="002E4B97">
        <w:t>6</w:t>
      </w:r>
      <w:r w:rsidR="00671066">
        <w:t xml:space="preserve">: </w:t>
      </w:r>
      <w:r w:rsidR="00FA3D09" w:rsidRPr="000E309B">
        <w:t>Presenting Research</w:t>
      </w:r>
      <w:bookmarkEnd w:id="210"/>
    </w:p>
    <w:p w14:paraId="3B6272EB" w14:textId="77777777" w:rsidR="008C52C9" w:rsidRDefault="008C52C9" w:rsidP="008C52C9">
      <w:r>
        <w:t>Picture a maestro, baton in hand, guiding an orchestra through the intricate melodies of Beethoven's Ninth Symphony. The musicians pour their hearts into every note, their passion resonating through the concert hall. Now, imagine the same orchestra performing this masterpiece to an empty auditorium, their efforts unheard and unappreciated. This scenario is akin to a researcher dedicating months, if not years, to a study that delves deep into a specific area of interest, only to keep the findings hidden from the world.</w:t>
      </w:r>
    </w:p>
    <w:p w14:paraId="7AE29426" w14:textId="77777777" w:rsidR="008C52C9" w:rsidRDefault="008C52C9" w:rsidP="008C52C9">
      <w:r>
        <w:t>Just as music is meant to be shared, research is meant to be presented. Whether through written or oral means, sharing your findings is an essential part of the research process. From the informal poster session to the engaging round table discussion, and the captivating formal speech, there are countless ways to showcase your work and contribute to the collective knowledge of your field.</w:t>
      </w:r>
    </w:p>
    <w:p w14:paraId="5327DA45" w14:textId="63D8DA37" w:rsidR="00A626FE" w:rsidRDefault="008C52C9" w:rsidP="008C52C9">
      <w:r>
        <w:t>In this chapter, we will explore the various formats of research presentation and provide you with the tools and guidance needed to effectively communicate your findings. Whether you're a seasoned researcher or just starting your journey, mastering the art of presenting your work is crucial to making an impact in your field. So, let's dive in and discover how to make your research shine in the spotlight it deserves.</w:t>
      </w:r>
    </w:p>
    <w:p w14:paraId="19A65C7D" w14:textId="7E6416C5" w:rsidR="0000258A" w:rsidRDefault="0028485B" w:rsidP="008C52C9">
      <w:pPr>
        <w:pStyle w:val="IntenseQuote"/>
      </w:pPr>
      <w:r>
        <w:rPr>
          <w:noProof/>
        </w:rPr>
        <w:drawing>
          <wp:anchor distT="0" distB="0" distL="114300" distR="114300" simplePos="0" relativeHeight="251950164" behindDoc="0" locked="0" layoutInCell="1" allowOverlap="1" wp14:anchorId="60CA8C29" wp14:editId="0248FFB2">
            <wp:simplePos x="0" y="0"/>
            <wp:positionH relativeFrom="column">
              <wp:align>right</wp:align>
            </wp:positionH>
            <wp:positionV relativeFrom="paragraph">
              <wp:posOffset>0</wp:posOffset>
            </wp:positionV>
            <wp:extent cx="914400" cy="914400"/>
            <wp:effectExtent l="19050" t="19050" r="19050" b="19050"/>
            <wp:wrapSquare wrapText="bothSides"/>
            <wp:docPr id="768115078" name="Picture 1" descr="A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21880" name="Picture 1" descr="A drawing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8C52C9">
        <w:t>Objectives</w:t>
      </w:r>
    </w:p>
    <w:p w14:paraId="3F3A5AF4" w14:textId="77777777" w:rsidR="00D455F7" w:rsidRDefault="00D455F7" w:rsidP="00D455F7">
      <w:pPr>
        <w:pStyle w:val="Quote"/>
      </w:pPr>
      <w:r>
        <w:t>Identify the key considerations when deciding what research information to share and with whom, including assessing the interests and needs of different stakeholders, determining the appropriate level of detail for each audience, and maintaining transparency about the research process and potential biases.</w:t>
      </w:r>
    </w:p>
    <w:p w14:paraId="2EA4884B" w14:textId="77777777" w:rsidR="00D455F7" w:rsidRDefault="00D455F7" w:rsidP="00D455F7">
      <w:pPr>
        <w:pStyle w:val="Quote"/>
      </w:pPr>
      <w:r>
        <w:t>Compare and contrast the various formats for oral research presentations, such as formal talks, round table discussions, and poster presentations, and explain how to effectively tailor the content, structure, and delivery of the presentation to suit each format and engage the target audience.</w:t>
      </w:r>
    </w:p>
    <w:p w14:paraId="112B3635" w14:textId="77777777" w:rsidR="00D455F7" w:rsidRDefault="00D455F7" w:rsidP="00D455F7">
      <w:pPr>
        <w:pStyle w:val="Quote"/>
      </w:pPr>
      <w:r>
        <w:t>Describe best practices for creating and integrating visual aids into research presentations, including strategies for designing clear, concise, and visually appealing slides, charts, and other graphics that enhance the impact of the research findings and align with the expectations of the intended audience.</w:t>
      </w:r>
    </w:p>
    <w:p w14:paraId="30723316" w14:textId="77777777" w:rsidR="00D455F7" w:rsidRDefault="00D455F7" w:rsidP="00D455F7">
      <w:pPr>
        <w:pStyle w:val="Quote"/>
      </w:pPr>
      <w:r>
        <w:t xml:space="preserve">Outline the standard components of a formal written research report, such as the abstract, introduction, literature review, methodology, results, discussion, and </w:t>
      </w:r>
      <w:r>
        <w:lastRenderedPageBreak/>
        <w:t>conclusion, and discuss how to adapt the content, tone, and style of the report to suit different audiences and purposes, while maintaining accuracy, integrity, and professionalism.</w:t>
      </w:r>
    </w:p>
    <w:p w14:paraId="0D505863" w14:textId="39C2911B" w:rsidR="008C52C9" w:rsidRDefault="00D455F7" w:rsidP="00D455F7">
      <w:pPr>
        <w:pStyle w:val="Quote"/>
      </w:pPr>
      <w:r>
        <w:t>Develop a comprehensive plan for disseminating research findings to maximize their impact and reach, including identifying target audiences, selecting appropriate communication channels, tailoring messages to each group's interests and expertise, and evaluating the success of dissemination efforts using metrics such as citation analysis, altmetrics, and stakeholder feedback.</w:t>
      </w:r>
    </w:p>
    <w:p w14:paraId="5327DA47" w14:textId="560BB187" w:rsidR="00A626FE" w:rsidRPr="000E309B" w:rsidRDefault="003936F0" w:rsidP="003936F0">
      <w:pPr>
        <w:pStyle w:val="Heading3"/>
      </w:pPr>
      <w:bookmarkStart w:id="211" w:name="_Toc169156830"/>
      <w:r>
        <w:t>I</w:t>
      </w:r>
      <w:r w:rsidR="00D14B33" w:rsidRPr="000E309B">
        <w:t>ntroduction</w:t>
      </w:r>
      <w:bookmarkEnd w:id="211"/>
    </w:p>
    <w:p w14:paraId="3D6B9980" w14:textId="77777777" w:rsidR="008E1FEF" w:rsidRDefault="008E1FEF" w:rsidP="008E1FEF">
      <w:r>
        <w:t>Most researchers hope their work will be relevant and useful to others. In this sense, research is a public activity. While the work itself may be conducted privately, the knowledge gained should be shared with peers and other interested parties. Learning how to effectively share research is a critical part of the research process.</w:t>
      </w:r>
    </w:p>
    <w:p w14:paraId="05BEF6E7" w14:textId="77777777" w:rsidR="008E1FEF" w:rsidRDefault="008E1FEF" w:rsidP="00CF5125">
      <w:pPr>
        <w:pStyle w:val="Heading3"/>
      </w:pPr>
      <w:bookmarkStart w:id="212" w:name="_Toc169156831"/>
      <w:r>
        <w:t>What and With Whom to Share</w:t>
      </w:r>
      <w:bookmarkEnd w:id="212"/>
    </w:p>
    <w:p w14:paraId="0C80291B" w14:textId="77777777" w:rsidR="008E1FEF" w:rsidRDefault="008E1FEF" w:rsidP="008E1FEF">
      <w:r>
        <w:t>In preparing to share their work, researchers must decide what information to share, who to share it with, and what format(s) to use. This section addresses the "what" and "with whom" aspects, while later sections cover the various formats and channels for sharing research.</w:t>
      </w:r>
    </w:p>
    <w:p w14:paraId="7191E004" w14:textId="77777777" w:rsidR="008E1FEF" w:rsidRDefault="008E1FEF" w:rsidP="008E1FEF">
      <w:r>
        <w:t>Because research aims to answer important questions in business, economics, and other fields, it's crucial to share all aspects of a project - the successes, the challenges, and even the failures. Sharing the full picture helps others understand, build upon, and constructively critique the work. It also allows other researchers to replicate the study, which is important for verifying results and maintaining research ethics.</w:t>
      </w:r>
    </w:p>
    <w:p w14:paraId="7295A9B0" w14:textId="77777777" w:rsidR="008E1FEF" w:rsidRDefault="008E1FEF" w:rsidP="008E1FEF">
      <w:r>
        <w:t>To prepare for sharing results, researchers should ask themselves:</w:t>
      </w:r>
    </w:p>
    <w:p w14:paraId="5BB33596" w14:textId="77777777" w:rsidR="008E1FEF" w:rsidRDefault="008E1FEF" w:rsidP="007D10B2">
      <w:pPr>
        <w:pStyle w:val="ListParagraph"/>
        <w:numPr>
          <w:ilvl w:val="0"/>
          <w:numId w:val="378"/>
        </w:numPr>
      </w:pPr>
      <w:r>
        <w:t>What was the motivation for conducting this research?</w:t>
      </w:r>
    </w:p>
    <w:p w14:paraId="051BA7EB" w14:textId="77777777" w:rsidR="008E1FEF" w:rsidRDefault="008E1FEF" w:rsidP="007D10B2">
      <w:pPr>
        <w:pStyle w:val="ListParagraph"/>
        <w:numPr>
          <w:ilvl w:val="0"/>
          <w:numId w:val="378"/>
        </w:numPr>
      </w:pPr>
      <w:r>
        <w:t>What methods were used to carry out the study?</w:t>
      </w:r>
    </w:p>
    <w:p w14:paraId="11058F7B" w14:textId="77777777" w:rsidR="008E1FEF" w:rsidRDefault="008E1FEF" w:rsidP="007D10B2">
      <w:pPr>
        <w:pStyle w:val="ListParagraph"/>
        <w:numPr>
          <w:ilvl w:val="0"/>
          <w:numId w:val="378"/>
        </w:numPr>
      </w:pPr>
      <w:r>
        <w:t>Who was the research conducted for? Who are the major stakeholders?</w:t>
      </w:r>
    </w:p>
    <w:p w14:paraId="1D5E2280" w14:textId="77777777" w:rsidR="008E1FEF" w:rsidRDefault="008E1FEF" w:rsidP="007D10B2">
      <w:pPr>
        <w:pStyle w:val="ListParagraph"/>
        <w:numPr>
          <w:ilvl w:val="0"/>
          <w:numId w:val="378"/>
        </w:numPr>
      </w:pPr>
      <w:r>
        <w:t>Based on the results, what conclusions can reasonably be drawn?</w:t>
      </w:r>
    </w:p>
    <w:p w14:paraId="3F5E408C" w14:textId="77777777" w:rsidR="008E1FEF" w:rsidRDefault="008E1FEF" w:rsidP="007D10B2">
      <w:pPr>
        <w:pStyle w:val="ListParagraph"/>
        <w:numPr>
          <w:ilvl w:val="0"/>
          <w:numId w:val="378"/>
        </w:numPr>
      </w:pPr>
      <w:r>
        <w:t>Looking back, how could the research have been improved?</w:t>
      </w:r>
    </w:p>
    <w:p w14:paraId="1DDF0F9B" w14:textId="77777777" w:rsidR="008E1FEF" w:rsidRDefault="008E1FEF" w:rsidP="008E1FEF">
      <w:r>
        <w:t>Reflecting on these questions helps researchers be transparent about their interests, investments, and potential biases. Identifying stakeholders, such as funders, participants, and impacted communities, clarifies who has a vested interest in the outcome. Assessing the strengths and limitations of a project is also valuable for informing future research directions.</w:t>
      </w:r>
    </w:p>
    <w:p w14:paraId="221CD3DB" w14:textId="77777777" w:rsidR="008E1FEF" w:rsidRDefault="008E1FEF" w:rsidP="008E1FEF">
      <w:r>
        <w:t xml:space="preserve">While research findings themselves wouldn't be changed for different audiences, understanding who you are communicating to helps frame the information in the most relevant way. For instance, a study on spending habits of elderly pensioners would be presented quite differently to local </w:t>
      </w:r>
      <w:r>
        <w:lastRenderedPageBreak/>
        <w:t>business owners, a government committee on aging, the funding agency, and pensioners themselves.</w:t>
      </w:r>
    </w:p>
    <w:p w14:paraId="39EF04BE" w14:textId="77777777" w:rsidR="008E1FEF" w:rsidRDefault="008E1FEF" w:rsidP="008E1FEF">
      <w:r>
        <w:t>The core findings would be the same for all groups, but the level of detail and presentation style would be tailored to each audience. Academic colleagues and funders would receive the most detail on methods, data, analysis, and logistics. A community meeting, in contrast, would get a more concise, jargon-free summary focused on key takeaways.</w:t>
      </w:r>
    </w:p>
    <w:p w14:paraId="2E28758C" w14:textId="0AE9733A" w:rsidR="0054721E" w:rsidRDefault="008E1FEF" w:rsidP="008E1FEF">
      <w:r>
        <w:t>In sum, sharing research is how the knowledge gained can have a real-world impact. Taking time to strategize about what to share, with whom, and in what format is time well spent. When in doubt, err on the side of sharing more rather than less, and look for ways to make the information engaging and accessible to those who could benefit from it.</w:t>
      </w:r>
    </w:p>
    <w:p w14:paraId="5327DA5A" w14:textId="162AF25D" w:rsidR="00A626FE" w:rsidRPr="000E309B" w:rsidRDefault="00D1441E" w:rsidP="00376238">
      <w:pPr>
        <w:pStyle w:val="Heading3"/>
      </w:pPr>
      <w:bookmarkStart w:id="213" w:name="_Toc169156832"/>
      <w:r>
        <w:t>O</w:t>
      </w:r>
      <w:r w:rsidR="00D14B33" w:rsidRPr="000E309B">
        <w:t xml:space="preserve">ral </w:t>
      </w:r>
      <w:r>
        <w:t>P</w:t>
      </w:r>
      <w:r w:rsidR="00D14B33" w:rsidRPr="000E309B">
        <w:t>resentations</w:t>
      </w:r>
      <w:bookmarkEnd w:id="213"/>
    </w:p>
    <w:p w14:paraId="5327DA5B" w14:textId="345C7B28" w:rsidR="00A626FE" w:rsidRPr="000E309B" w:rsidRDefault="00D14B33" w:rsidP="00376238">
      <w:pPr>
        <w:pStyle w:val="Heading4"/>
      </w:pPr>
      <w:r w:rsidRPr="000E309B">
        <w:t>Settings</w:t>
      </w:r>
    </w:p>
    <w:p w14:paraId="2DB172C8" w14:textId="77777777" w:rsidR="007971E5" w:rsidRDefault="007971E5" w:rsidP="007971E5">
      <w:r>
        <w:t>Sharing research through oral presentations is a key part of the scholarly communication process. Researchers frequently present to peers at conferences, departmental meetings, and other professional gatherings. These talks offer valuable opportunities for feedback and help prepare researchers to formally document and publish their work. Common formats include formal talks, round-table discussions, and poster presentations.</w:t>
      </w:r>
    </w:p>
    <w:p w14:paraId="41098BD5" w14:textId="77777777" w:rsidR="007971E5" w:rsidRDefault="007971E5" w:rsidP="00767651">
      <w:pPr>
        <w:pStyle w:val="Heading4"/>
      </w:pPr>
      <w:r>
        <w:t>Formal Talks</w:t>
      </w:r>
    </w:p>
    <w:p w14:paraId="6E3B8677" w14:textId="77777777" w:rsidR="007971E5" w:rsidRDefault="007971E5" w:rsidP="007971E5">
      <w:r>
        <w:t>For a formal research talk, such as a conference presentation, it's crucial to get logistical details in advance:</w:t>
      </w:r>
    </w:p>
    <w:p w14:paraId="7F6B6428" w14:textId="77777777" w:rsidR="007971E5" w:rsidRDefault="007971E5" w:rsidP="00767651">
      <w:pPr>
        <w:pStyle w:val="ListParagraph"/>
        <w:numPr>
          <w:ilvl w:val="0"/>
          <w:numId w:val="379"/>
        </w:numPr>
      </w:pPr>
      <w:r>
        <w:t>Time limit for the presentation</w:t>
      </w:r>
    </w:p>
    <w:p w14:paraId="55EE532F" w14:textId="77777777" w:rsidR="007971E5" w:rsidRDefault="007971E5" w:rsidP="00767651">
      <w:pPr>
        <w:pStyle w:val="ListParagraph"/>
        <w:numPr>
          <w:ilvl w:val="0"/>
          <w:numId w:val="379"/>
        </w:numPr>
      </w:pPr>
      <w:r>
        <w:t>Expectations around audience Q&amp;A</w:t>
      </w:r>
    </w:p>
    <w:p w14:paraId="32FA0745" w14:textId="77777777" w:rsidR="007971E5" w:rsidRDefault="007971E5" w:rsidP="00767651">
      <w:pPr>
        <w:pStyle w:val="ListParagraph"/>
        <w:numPr>
          <w:ilvl w:val="0"/>
          <w:numId w:val="379"/>
        </w:numPr>
      </w:pPr>
      <w:r>
        <w:t>Required visual aids (e.g., PowerPoint slides)</w:t>
      </w:r>
    </w:p>
    <w:p w14:paraId="3CF5A9B3" w14:textId="1BAD3279" w:rsidR="007971E5" w:rsidRDefault="007971E5" w:rsidP="007971E5">
      <w:r>
        <w:t xml:space="preserve">Conference talks typically </w:t>
      </w:r>
      <w:r w:rsidR="00767651">
        <w:t>run for</w:t>
      </w:r>
      <w:r>
        <w:t xml:space="preserve"> 15-20 minutes. It's easy to lose track of time when passionately discussing one's work, so practicing and timing the talk beforehand is a must.</w:t>
      </w:r>
    </w:p>
    <w:p w14:paraId="2BC0DA9A" w14:textId="77777777" w:rsidR="007971E5" w:rsidRDefault="007971E5" w:rsidP="007971E5">
      <w:r>
        <w:t>A common mistake in research presentations is spending too much time setting up the problem and reviewing previous studies. While this background is necessary in a written report, talks need to focus on the current study's methods and findings. Reading the paper verbatim is another pitfall that quickly disengages the audience. Aim to highlight key points: the research question, approach, main results, and takeaways.</w:t>
      </w:r>
    </w:p>
    <w:p w14:paraId="29E0A071" w14:textId="77777777" w:rsidR="007971E5" w:rsidRDefault="007971E5" w:rsidP="00B354A1">
      <w:pPr>
        <w:pStyle w:val="Heading4"/>
      </w:pPr>
      <w:r>
        <w:t>Round Table Discussions</w:t>
      </w:r>
    </w:p>
    <w:p w14:paraId="73547C5E" w14:textId="17ACBF93" w:rsidR="007971E5" w:rsidRDefault="007971E5" w:rsidP="007971E5">
      <w:r>
        <w:t xml:space="preserve">Round tables are less formal talks that aim to stimulate conversation around a topic or set of related studies. Because multiple projects are usually discussed, each presentation is shorter to allow time for discussion. These dialogues can provide helpful feedback, especially for pilot studies or early-stage work. Researchers can road-test their arguments and get a preview of </w:t>
      </w:r>
      <w:r>
        <w:lastRenderedPageBreak/>
        <w:t>potential reviewer objections. Round tables are also great for networking with others doing similar work.</w:t>
      </w:r>
    </w:p>
    <w:p w14:paraId="669B9088" w14:textId="77777777" w:rsidR="007971E5" w:rsidRDefault="007971E5" w:rsidP="00B354A1">
      <w:pPr>
        <w:pStyle w:val="Heading4"/>
      </w:pPr>
      <w:r>
        <w:t>Poster Presentations</w:t>
      </w:r>
    </w:p>
    <w:p w14:paraId="41138264" w14:textId="77777777" w:rsidR="007971E5" w:rsidRDefault="007971E5" w:rsidP="007971E5">
      <w:r>
        <w:t>Posters visually represent a study through graphs, charts, images, and bullet points that tell the research "story" to viewers walking by. These are often displayed on tables, with the researcher standing nearby to elaborate and answer questions.</w:t>
      </w:r>
    </w:p>
    <w:p w14:paraId="13D48C92" w14:textId="77777777" w:rsidR="007971E5" w:rsidRDefault="007971E5" w:rsidP="007971E5">
      <w:r>
        <w:t>Rather than just pasting pages from the full report, posters should provide a streamlined, skimmable overview that draws people in for discussion. They don't need to include every detail, just the highlights. Like round tables, posters work well for early-stage studies and sparking conversations with interested colleagues.</w:t>
      </w:r>
    </w:p>
    <w:p w14:paraId="0C366EFD" w14:textId="77777777" w:rsidR="007971E5" w:rsidRDefault="007971E5" w:rsidP="000C381D">
      <w:pPr>
        <w:pStyle w:val="Heading4"/>
      </w:pPr>
      <w:r>
        <w:t>General Presentation Tips</w:t>
      </w:r>
    </w:p>
    <w:p w14:paraId="56F017F2" w14:textId="77777777" w:rsidR="007971E5" w:rsidRDefault="007971E5" w:rsidP="007971E5">
      <w:r>
        <w:t>Oral presentations often provoke anxiety, but a few key strategies can boost confidence and impact:</w:t>
      </w:r>
    </w:p>
    <w:p w14:paraId="76F3E5EE" w14:textId="56108B4B" w:rsidR="007971E5" w:rsidRDefault="007971E5" w:rsidP="000C381D">
      <w:pPr>
        <w:pStyle w:val="ListParagraph"/>
        <w:numPr>
          <w:ilvl w:val="0"/>
          <w:numId w:val="380"/>
        </w:numPr>
      </w:pPr>
      <w:r>
        <w:t xml:space="preserve">Don't aim for perfection. Minor stumbles are </w:t>
      </w:r>
      <w:r w:rsidR="000C381D">
        <w:t>human,</w:t>
      </w:r>
      <w:r>
        <w:t xml:space="preserve"> and the audience will be forgiving. Focus on incremental improvement over time.</w:t>
      </w:r>
    </w:p>
    <w:p w14:paraId="07044A79" w14:textId="77777777" w:rsidR="007971E5" w:rsidRDefault="007971E5" w:rsidP="000C381D">
      <w:pPr>
        <w:pStyle w:val="ListParagraph"/>
        <w:numPr>
          <w:ilvl w:val="0"/>
          <w:numId w:val="380"/>
        </w:numPr>
      </w:pPr>
      <w:r>
        <w:t>Prepare thoroughly. Knowing the material inside and out is the best antidote to nerves. Think of it as an in-depth conversation rather than a performance.</w:t>
      </w:r>
    </w:p>
    <w:p w14:paraId="6B1198F4" w14:textId="77777777" w:rsidR="007971E5" w:rsidRDefault="007971E5" w:rsidP="000C381D">
      <w:pPr>
        <w:pStyle w:val="ListParagraph"/>
        <w:numPr>
          <w:ilvl w:val="0"/>
          <w:numId w:val="380"/>
        </w:numPr>
      </w:pPr>
      <w:r>
        <w:t>Define key terms. Research is full of jargon and acronyms that may be confusing to the audience. Err on the side of defining terms to ensure everyone can follow along.</w:t>
      </w:r>
    </w:p>
    <w:p w14:paraId="49556928" w14:textId="77777777" w:rsidR="007971E5" w:rsidRDefault="007971E5" w:rsidP="000C381D">
      <w:pPr>
        <w:pStyle w:val="ListParagraph"/>
        <w:numPr>
          <w:ilvl w:val="0"/>
          <w:numId w:val="380"/>
        </w:numPr>
      </w:pPr>
      <w:r>
        <w:t>Consider audience background. Things like profession, goals, and culture can affect how the audience receives the message. Tailor the presentation to their perspective as much as possible.</w:t>
      </w:r>
    </w:p>
    <w:p w14:paraId="3C5D5A50" w14:textId="77777777" w:rsidR="000C381D" w:rsidRDefault="007971E5" w:rsidP="007971E5">
      <w:pPr>
        <w:pStyle w:val="ListParagraph"/>
        <w:numPr>
          <w:ilvl w:val="0"/>
          <w:numId w:val="380"/>
        </w:numPr>
      </w:pPr>
      <w:r>
        <w:t>Use clear, simple visuals. Visual aids should be visible from the back of the room, focused on one main idea per slide, and free of clutter. Proofread carefully and have non-tech backups like handouts.</w:t>
      </w:r>
    </w:p>
    <w:p w14:paraId="4443574E" w14:textId="38BCC1A3" w:rsidR="007971E5" w:rsidRDefault="007971E5" w:rsidP="007971E5">
      <w:pPr>
        <w:pStyle w:val="ListParagraph"/>
        <w:numPr>
          <w:ilvl w:val="0"/>
          <w:numId w:val="380"/>
        </w:numPr>
      </w:pPr>
      <w:r>
        <w:t>Check the room setup beforehand. Arrive early to test the equipment and get a feel for the space. Have a plan B in case of tech issues.</w:t>
      </w:r>
    </w:p>
    <w:p w14:paraId="774B0342" w14:textId="1AB6AC15" w:rsidR="00376238" w:rsidRDefault="007971E5" w:rsidP="007971E5">
      <w:r>
        <w:t xml:space="preserve">Developing strong presentation skills takes </w:t>
      </w:r>
      <w:r w:rsidR="000C381D">
        <w:t>practice but</w:t>
      </w:r>
      <w:r>
        <w:t xml:space="preserve"> is well worth the effort. Effective oral communication enables researchers to share their hard work, get constructive feedback, and make their findings engaging and accessible to others in the field.</w:t>
      </w:r>
    </w:p>
    <w:p w14:paraId="044F20F9" w14:textId="4D84CE67" w:rsidR="00E93702" w:rsidRDefault="009E3137" w:rsidP="009E3137">
      <w:pPr>
        <w:pStyle w:val="Heading4"/>
      </w:pPr>
      <w:r>
        <w:t>Visual Aids: Enhancing Your Presentation</w:t>
      </w:r>
    </w:p>
    <w:p w14:paraId="165D923E" w14:textId="77777777" w:rsidR="0072385D" w:rsidRDefault="0072385D" w:rsidP="0072385D">
      <w:r>
        <w:t>In the world of research presentations, visual aids are a powerful tool for engaging your audience and conveying complex information in a clear, accessible format. When used effectively, visual aids such as slides, charts, and graphs can enhance the impact of your message and make your findings more memorable. However, creating compelling visual support requires careful planning and attention to detail.</w:t>
      </w:r>
    </w:p>
    <w:p w14:paraId="49168D21" w14:textId="77777777" w:rsidR="0072385D" w:rsidRDefault="0072385D" w:rsidP="0072385D">
      <w:r>
        <w:lastRenderedPageBreak/>
        <w:t>To begin, consider the key points you want to communicate and how best to represent them visually. For example, if you're presenting data on consumer preferences, a well-designed bar chart or pie graph might be more effective than a table of numbers. Similarly, if you're discussing a complex process or system, a flowchart or diagram can help break it down into more digestible steps.</w:t>
      </w:r>
    </w:p>
    <w:p w14:paraId="4E17C745" w14:textId="77777777" w:rsidR="0072385D" w:rsidRDefault="0072385D" w:rsidP="0072385D">
      <w:r>
        <w:t>When creating slides or other visual aids, keep in mind the following best practices:</w:t>
      </w:r>
    </w:p>
    <w:p w14:paraId="39C2C265" w14:textId="77777777" w:rsidR="0072385D" w:rsidRDefault="0072385D" w:rsidP="0072385D">
      <w:pPr>
        <w:pStyle w:val="ListParagraph"/>
        <w:numPr>
          <w:ilvl w:val="0"/>
          <w:numId w:val="387"/>
        </w:numPr>
      </w:pPr>
      <w:r>
        <w:t>Keep it simple: Avoid cluttering your visuals with too much information or unnecessary decorations. Use a clean, straightforward design that focuses on the essential points.</w:t>
      </w:r>
    </w:p>
    <w:p w14:paraId="7B2EAFAE" w14:textId="77777777" w:rsidR="0072385D" w:rsidRDefault="0072385D" w:rsidP="0072385D">
      <w:pPr>
        <w:pStyle w:val="ListParagraph"/>
        <w:numPr>
          <w:ilvl w:val="0"/>
          <w:numId w:val="387"/>
        </w:numPr>
      </w:pPr>
      <w:r>
        <w:t>Use high-quality images: If incorporating photos or graphics, ensure they are high-resolution and professionally sourced. Pixelated or low-quality images can detract from the overall professionalism of your presentation.</w:t>
      </w:r>
    </w:p>
    <w:p w14:paraId="03239778" w14:textId="77777777" w:rsidR="0072385D" w:rsidRDefault="0072385D" w:rsidP="0072385D">
      <w:pPr>
        <w:pStyle w:val="ListParagraph"/>
        <w:numPr>
          <w:ilvl w:val="0"/>
          <w:numId w:val="387"/>
        </w:numPr>
      </w:pPr>
      <w:r>
        <w:t>Choose appropriate colors: Use a color scheme that is easy on the eyes and enhances readability. Avoid using too many colors or overly bright hues that can be distracting.</w:t>
      </w:r>
    </w:p>
    <w:p w14:paraId="6862544F" w14:textId="0296D3CC" w:rsidR="0072385D" w:rsidRDefault="0072385D" w:rsidP="0072385D">
      <w:pPr>
        <w:pStyle w:val="ListParagraph"/>
        <w:numPr>
          <w:ilvl w:val="0"/>
          <w:numId w:val="387"/>
        </w:numPr>
      </w:pPr>
      <w:r>
        <w:t>Ensure legibility: Use a font size and style that is easy to read from a distance. A general rule of thumb is to use at least 24-point font for body text and 36-point font for titles.</w:t>
      </w:r>
    </w:p>
    <w:p w14:paraId="5825F422" w14:textId="77777777" w:rsidR="0072385D" w:rsidRDefault="0072385D" w:rsidP="0072385D">
      <w:pPr>
        <w:pStyle w:val="ListParagraph"/>
        <w:numPr>
          <w:ilvl w:val="0"/>
          <w:numId w:val="387"/>
        </w:numPr>
      </w:pPr>
      <w:r>
        <w:t>Proofread: Just like your written work, visual aids should be carefully proofread for errors or inconsistencies. Double-check all text, numbers, and labels to ensure accuracy.</w:t>
      </w:r>
    </w:p>
    <w:p w14:paraId="64F0BF61" w14:textId="77777777" w:rsidR="0072385D" w:rsidRDefault="0072385D" w:rsidP="0072385D">
      <w:r>
        <w:t>When presenting with visual aids, it's essential to integrate them seamlessly into your talk. Avoid simply reading from your slides or charts; instead, use them as a jumping-off point for further discussion and elaboration. Make eye contact with your audience and use gestures or pointing to draw attention to key elements of your visuals.</w:t>
      </w:r>
    </w:p>
    <w:p w14:paraId="07B1916B" w14:textId="77777777" w:rsidR="0072385D" w:rsidRDefault="0072385D" w:rsidP="0072385D">
      <w:r>
        <w:t>It's also important to have a backup plan in case of technical difficulties. Bring printed copies of your slides or have them available online so you can still share them in case the projector or computer malfunctions.</w:t>
      </w:r>
    </w:p>
    <w:p w14:paraId="0AED185D" w14:textId="58D8723E" w:rsidR="0072385D" w:rsidRDefault="0072385D" w:rsidP="0072385D">
      <w:r>
        <w:t xml:space="preserve">Finally, consider your audience when designing and presenting visual aids. </w:t>
      </w:r>
      <w:r w:rsidR="00E77C2C">
        <w:t>D</w:t>
      </w:r>
      <w:r>
        <w:t xml:space="preserve">ifferent audiences may have different expectations and levels of familiarity with the subject matter. For example, a presentation for </w:t>
      </w:r>
      <w:r w:rsidR="00E77C2C">
        <w:t>the a</w:t>
      </w:r>
      <w:r>
        <w:t xml:space="preserve"> public audience may require simpler, more straightforward visuals than one for a group of expert researchers. Tailor your visual aids to your specific audience to ensure maximum impact and understanding.</w:t>
      </w:r>
    </w:p>
    <w:p w14:paraId="443E2540" w14:textId="6D071FD5" w:rsidR="009E3137" w:rsidRDefault="0072385D" w:rsidP="0072385D">
      <w:r>
        <w:t>In summary, visual aids are a valuable tool for enhancing research presentations, but they must be used thoughtfully and strategically. By following best practices for design and presentation, and considering the needs and expectations of your audience, you can create visual supports that reinforce your message and leave a lasting impression on your listeners.</w:t>
      </w:r>
    </w:p>
    <w:p w14:paraId="5327DA8B" w14:textId="0A8FC6C3" w:rsidR="00A626FE" w:rsidRPr="000E309B" w:rsidRDefault="00D1441E" w:rsidP="00D1441E">
      <w:pPr>
        <w:pStyle w:val="Heading3"/>
      </w:pPr>
      <w:bookmarkStart w:id="214" w:name="_Toc169156833"/>
      <w:r>
        <w:t>W</w:t>
      </w:r>
      <w:r w:rsidR="00D14B33" w:rsidRPr="000E309B">
        <w:t xml:space="preserve">ritten </w:t>
      </w:r>
      <w:r>
        <w:t>P</w:t>
      </w:r>
      <w:r w:rsidR="00D14B33" w:rsidRPr="000E309B">
        <w:t>resentations</w:t>
      </w:r>
      <w:bookmarkEnd w:id="214"/>
    </w:p>
    <w:p w14:paraId="212EC28F" w14:textId="77777777" w:rsidR="00D7345A" w:rsidRDefault="00D7345A" w:rsidP="00D7345A">
      <w:r>
        <w:t>Scholarly research reports tend to follow a standard format dictated by the publication journal. Most include the following core components:</w:t>
      </w:r>
    </w:p>
    <w:p w14:paraId="5C6A0774" w14:textId="792C6DF1" w:rsidR="00D7345A" w:rsidRDefault="00D7345A" w:rsidP="00D7345A">
      <w:pPr>
        <w:pStyle w:val="ListParagraph"/>
        <w:numPr>
          <w:ilvl w:val="0"/>
          <w:numId w:val="381"/>
        </w:numPr>
      </w:pPr>
      <w:r>
        <w:lastRenderedPageBreak/>
        <w:t>Abstract: A summary of the study's purpose, methods, findings, and implications.</w:t>
      </w:r>
    </w:p>
    <w:p w14:paraId="6AACCAE0" w14:textId="38829E07" w:rsidR="00D7345A" w:rsidRDefault="00D7345A" w:rsidP="00D7345A">
      <w:pPr>
        <w:pStyle w:val="ListParagraph"/>
        <w:numPr>
          <w:ilvl w:val="0"/>
          <w:numId w:val="381"/>
        </w:numPr>
      </w:pPr>
      <w:r>
        <w:t>Introduction: An overview of the research question and its significance.</w:t>
      </w:r>
    </w:p>
    <w:p w14:paraId="01EFD622" w14:textId="05F5468B" w:rsidR="00D7345A" w:rsidRDefault="00D7345A" w:rsidP="00D7345A">
      <w:pPr>
        <w:pStyle w:val="ListParagraph"/>
        <w:numPr>
          <w:ilvl w:val="0"/>
          <w:numId w:val="381"/>
        </w:numPr>
      </w:pPr>
      <w:r>
        <w:t>Literature Review: A synthesis of relevant previous studies that provide context.</w:t>
      </w:r>
    </w:p>
    <w:p w14:paraId="68F69943" w14:textId="2D9FE75D" w:rsidR="00D7345A" w:rsidRDefault="00D7345A" w:rsidP="00D7345A">
      <w:pPr>
        <w:pStyle w:val="ListParagraph"/>
        <w:numPr>
          <w:ilvl w:val="0"/>
          <w:numId w:val="381"/>
        </w:numPr>
      </w:pPr>
      <w:r>
        <w:t>Methodology: A detailed description of how the study was conducted.</w:t>
      </w:r>
    </w:p>
    <w:p w14:paraId="5762810C" w14:textId="6A7B9C58" w:rsidR="00D7345A" w:rsidRDefault="00D7345A" w:rsidP="00D7345A">
      <w:pPr>
        <w:pStyle w:val="ListParagraph"/>
        <w:numPr>
          <w:ilvl w:val="0"/>
          <w:numId w:val="381"/>
        </w:numPr>
      </w:pPr>
      <w:r>
        <w:t>Results: A clear, objective presentation of the study's findings.</w:t>
      </w:r>
    </w:p>
    <w:p w14:paraId="78FD94CE" w14:textId="2329D9B3" w:rsidR="00D7345A" w:rsidRDefault="00D7345A" w:rsidP="00D7345A">
      <w:pPr>
        <w:pStyle w:val="ListParagraph"/>
        <w:numPr>
          <w:ilvl w:val="0"/>
          <w:numId w:val="381"/>
        </w:numPr>
      </w:pPr>
      <w:r>
        <w:t>Discussion: An interpretation of the results and their implications for theory and practice.</w:t>
      </w:r>
    </w:p>
    <w:p w14:paraId="33428ECF" w14:textId="179179ED" w:rsidR="00D7345A" w:rsidRDefault="00D7345A" w:rsidP="00D7345A">
      <w:pPr>
        <w:pStyle w:val="ListParagraph"/>
        <w:numPr>
          <w:ilvl w:val="0"/>
          <w:numId w:val="381"/>
        </w:numPr>
      </w:pPr>
      <w:r>
        <w:t>Conclusion: A concise recap of key takeaways and future research directions.</w:t>
      </w:r>
    </w:p>
    <w:p w14:paraId="1B6D6B4D" w14:textId="42FF4107" w:rsidR="00D7345A" w:rsidRDefault="00D7345A" w:rsidP="00D7345A">
      <w:pPr>
        <w:pStyle w:val="ListParagraph"/>
        <w:numPr>
          <w:ilvl w:val="0"/>
          <w:numId w:val="381"/>
        </w:numPr>
      </w:pPr>
      <w:r>
        <w:t>References: A list of all sources cited in the report.</w:t>
      </w:r>
    </w:p>
    <w:p w14:paraId="4FBA231E" w14:textId="77777777" w:rsidR="00D7345A" w:rsidRDefault="00D7345A" w:rsidP="00D7345A">
      <w:r>
        <w:t>Visual elements like tables and figures are also commonly used to represent data or conceptual relationships. For undergraduate researchers, carefully reading published studies in your field is one of the best ways to learn the conventions of academic writing.</w:t>
      </w:r>
    </w:p>
    <w:p w14:paraId="253D9A70" w14:textId="3B6D9860" w:rsidR="00D7345A" w:rsidRDefault="00D7345A" w:rsidP="00D7345A">
      <w:r>
        <w:t xml:space="preserve">Reports written for public audiences differ in some ways from scholarly publications. Knowing your reader is crucial. Are you addressing policymakers? Industry professionals? The </w:t>
      </w:r>
      <w:r w:rsidR="00E32E29">
        <w:t>public</w:t>
      </w:r>
      <w:r>
        <w:t>? While the core content remains the same, the level of detail, assumed background knowledge, and use of technical jargon may vary.</w:t>
      </w:r>
    </w:p>
    <w:p w14:paraId="7682AD6C" w14:textId="77777777" w:rsidR="00D7345A" w:rsidRDefault="00D7345A" w:rsidP="00D7345A">
      <w:r>
        <w:t>Regardless of audience, research reports must always present evidence as clearly and objectively as possible. Take your role as a business scholar seriously and aim to situate your work within the broader field, giving credit to those who've come before you - even if your findings call their conclusions into question.</w:t>
      </w:r>
    </w:p>
    <w:p w14:paraId="62130D4C" w14:textId="77777777" w:rsidR="00D7345A" w:rsidRDefault="00D7345A" w:rsidP="00D7345A">
      <w:r>
        <w:t>Though you may never meet your readers in person, put yourself in their shoes. Anticipate the questions they would ask and aim to address them proactively in your writing. One helpful tip is to imagine explaining your study to an interested, intelligent friend and then capture that same level of clarity and enthusiasm on the page.</w:t>
      </w:r>
    </w:p>
    <w:p w14:paraId="51A4FEA5" w14:textId="77777777" w:rsidR="00D7345A" w:rsidRDefault="00D7345A" w:rsidP="00D7345A">
      <w:r>
        <w:t>When it comes to research writing, two major pitfalls to avoid are plagiarism and libel. Plagiarism, or passing off someone else's words or ideas as your own, is a cardinal sin in academia. It can end careers and derail academic pursuits. Always err on the side of citing your sources thoroughly and carefully paraphrasing to put ideas in your own words.</w:t>
      </w:r>
    </w:p>
    <w:p w14:paraId="79BCE7EB" w14:textId="77777777" w:rsidR="00D7345A" w:rsidRDefault="00D7345A" w:rsidP="00D7345A">
      <w:r>
        <w:t>Libel, the written form of defamation, is another serious offense. If a research report makes demonstrably false claims that damage someone's reputation, the author may be sued for libel. For public figures, the defamed party must prove malicious intent, but for private citizens, even unintentionally libelous statements are punishable. Fact-checking is critical to avoid these legal and ethical quagmires.</w:t>
      </w:r>
    </w:p>
    <w:p w14:paraId="2745EA3A" w14:textId="060F715C" w:rsidR="006E717C" w:rsidRDefault="00D7345A" w:rsidP="00D7345A">
      <w:r>
        <w:t xml:space="preserve">In sum, the hallmarks of strong research writing are accuracy, integrity, and awareness of one's audience and role within the larger scholarly conversation. By reading widely in your discipline and honing your ability to synthesize and communicate complex ideas, you can contribute to the </w:t>
      </w:r>
      <w:r>
        <w:lastRenderedPageBreak/>
        <w:t>advancement of business and economic knowledge - and do so in a way that is ethical and engaging.</w:t>
      </w:r>
    </w:p>
    <w:p w14:paraId="5327DA90" w14:textId="0CDBD958" w:rsidR="00A626FE" w:rsidRPr="000E309B" w:rsidRDefault="00D14B33" w:rsidP="00E91F11">
      <w:pPr>
        <w:pStyle w:val="Heading4"/>
      </w:pPr>
      <w:r w:rsidRPr="000E309B">
        <w:t>Writing Style</w:t>
      </w:r>
    </w:p>
    <w:p w14:paraId="1F031B3D" w14:textId="77777777" w:rsidR="005B6576" w:rsidRDefault="005B6576" w:rsidP="005B6576">
      <w:r>
        <w:t>In the world of business writing, there are three primary styles to master: colloquial, casual, and formal.</w:t>
      </w:r>
    </w:p>
    <w:p w14:paraId="7C7F88CD" w14:textId="77777777" w:rsidR="005B6576" w:rsidRDefault="005B6576" w:rsidP="005B6576">
      <w:r>
        <w:t>Colloquial style is informal and conversational, often incorporating colorful expressions, slang, and regional phrases. For example, the term for a carbonated beverage might be "soda," "pop," or "Coke," depending on the region. Colloquialisms can also include local sayings, like "dumb as a box of rocks." While this informal language can help create a folksy, relatable tone, it may confuse readers from other areas or backgrounds.</w:t>
      </w:r>
    </w:p>
    <w:p w14:paraId="56FC3D5B" w14:textId="77777777" w:rsidR="005B6576" w:rsidRDefault="005B6576" w:rsidP="005B6576">
      <w:r>
        <w:t>In a business context, colloquial writing is best reserved for products or services with a distinctly homey vibe - think a wood stove or an old-fashioned popcorn maker. Still, it's crucial to consider the audience. Will they understand the regional references? Could an overly informal tone come across as condescending? Strive to be conversational but never offensive.</w:t>
      </w:r>
    </w:p>
    <w:p w14:paraId="6A6AD8CD" w14:textId="77777777" w:rsidR="005B6576" w:rsidRDefault="005B6576" w:rsidP="005B6576">
      <w:r>
        <w:t>One step up in formality is casual writing. This style uses everyday words and a relaxed tone, much like a laid-back chat with friends or family. If colloquial writing is like wearing shorts and flip-flops, casual style is the equivalent of jeans and a t-shirt: comfortable but not sloppy.</w:t>
      </w:r>
    </w:p>
    <w:p w14:paraId="0D979B53" w14:textId="77777777" w:rsidR="005B6576" w:rsidRDefault="005B6576" w:rsidP="005B6576">
      <w:r>
        <w:t>In most business writing, however, casual language is too informal. Instead, aim for a respectful, professional tone that represents both you and your organization well.</w:t>
      </w:r>
    </w:p>
    <w:p w14:paraId="708552E7" w14:textId="77777777" w:rsidR="005B6576" w:rsidRDefault="005B6576" w:rsidP="005B6576">
      <w:r>
        <w:t>That brings us to formal writing style. Formal language is professional, guided by set roles and protocol. It is characterized by:</w:t>
      </w:r>
    </w:p>
    <w:p w14:paraId="7F6E316C" w14:textId="0A347440" w:rsidR="005B6576" w:rsidRDefault="005B6576" w:rsidP="00CA18AF">
      <w:pPr>
        <w:pStyle w:val="ListParagraph"/>
        <w:numPr>
          <w:ilvl w:val="0"/>
          <w:numId w:val="382"/>
        </w:numPr>
      </w:pPr>
      <w:r>
        <w:t>Elevated vocabulary, featuring multi-syllable words and field-specific terminology</w:t>
      </w:r>
      <w:r w:rsidR="00CA18AF">
        <w:t>.</w:t>
      </w:r>
    </w:p>
    <w:p w14:paraId="416B09D9" w14:textId="195C6177" w:rsidR="005B6576" w:rsidRDefault="005B6576" w:rsidP="00CA18AF">
      <w:pPr>
        <w:pStyle w:val="ListParagraph"/>
        <w:numPr>
          <w:ilvl w:val="0"/>
          <w:numId w:val="382"/>
        </w:numPr>
      </w:pPr>
      <w:r>
        <w:t>Sophisticated syntax, with longer, more complex sentence structures</w:t>
      </w:r>
      <w:r w:rsidR="00CA18AF">
        <w:t>.</w:t>
      </w:r>
    </w:p>
    <w:p w14:paraId="4265AF5C" w14:textId="0813DE23" w:rsidR="005B6576" w:rsidRDefault="005B6576" w:rsidP="00CA18AF">
      <w:pPr>
        <w:pStyle w:val="ListParagraph"/>
        <w:numPr>
          <w:ilvl w:val="0"/>
          <w:numId w:val="382"/>
        </w:numPr>
      </w:pPr>
      <w:r>
        <w:t>Adherence to proper grammar and punctuation</w:t>
      </w:r>
      <w:r w:rsidR="00CA18AF">
        <w:t>.</w:t>
      </w:r>
    </w:p>
    <w:p w14:paraId="52053AFB" w14:textId="7D3D9843" w:rsidR="005B6576" w:rsidRDefault="005B6576" w:rsidP="00CA18AF">
      <w:pPr>
        <w:pStyle w:val="ListParagraph"/>
        <w:numPr>
          <w:ilvl w:val="0"/>
          <w:numId w:val="382"/>
        </w:numPr>
      </w:pPr>
      <w:r>
        <w:t>A dignified, almost ceremonial tone that emphasizes the prestige of the organization</w:t>
      </w:r>
      <w:r w:rsidR="00CA18AF">
        <w:t>.</w:t>
      </w:r>
    </w:p>
    <w:p w14:paraId="2DB491DE" w14:textId="77777777" w:rsidR="005B6576" w:rsidRDefault="005B6576" w:rsidP="005B6576">
      <w:r>
        <w:t>Formal writing is the standard for official business documents like proposals, reports, and important correspondence. These require careful planning and polish to convey competence and gravitas.</w:t>
      </w:r>
    </w:p>
    <w:p w14:paraId="2FAC5FAF" w14:textId="77777777" w:rsidR="005B6576" w:rsidRDefault="005B6576" w:rsidP="005B6576">
      <w:r>
        <w:t>However, the level of formality may vary based on the medium. A quick email update to your boss will be more conversational than a printed sales letter to a hundred prospective clients. The key is to match the style to the situation.</w:t>
      </w:r>
    </w:p>
    <w:p w14:paraId="55BCF324" w14:textId="77777777" w:rsidR="005B6576" w:rsidRDefault="005B6576" w:rsidP="005B6576">
      <w:r>
        <w:t>For instance, a marketing email might breezily announce, "The W300 stapler is our best yet - it's a breeze to use and sure to boost your productivity!" But a formal product launch could proclaim, "Introducing the Widget 300, our premium stapler engineered for optimal efficiency and ergonomics. With the Widget 300 by your side, you're equipped for success."</w:t>
      </w:r>
    </w:p>
    <w:p w14:paraId="26BC2147" w14:textId="43E8EF7E" w:rsidR="00197928" w:rsidRDefault="005B6576" w:rsidP="005B6576">
      <w:r>
        <w:lastRenderedPageBreak/>
        <w:t>In summary, colloquial writing is informal and regional, casual language is relaxed and friendly, and formal style is polished and professional. By mastering these three registers, you can adapt your business writing to suit any audience or purpose - and always make a strong, credible impression.</w:t>
      </w:r>
    </w:p>
    <w:p w14:paraId="5327DA9B" w14:textId="7D8F5960" w:rsidR="00A626FE" w:rsidRPr="000E309B" w:rsidRDefault="00C423B8" w:rsidP="00E91F11">
      <w:pPr>
        <w:pStyle w:val="Heading4"/>
      </w:pPr>
      <w:r w:rsidRPr="00C423B8">
        <w:t>The Standard Structure of Formal Research Reports</w:t>
      </w:r>
    </w:p>
    <w:p w14:paraId="6BCB181C" w14:textId="77777777" w:rsidR="00C423B8" w:rsidRDefault="00C423B8" w:rsidP="00C423B8">
      <w:r>
        <w:t>A formal research report typically follows a well-established format that has evolved over time. This format ensures that all essential information is included and presented in a logical order. Here's a breakdown of the key components of a formal research report:</w:t>
      </w:r>
    </w:p>
    <w:p w14:paraId="758A5DEF" w14:textId="77777777" w:rsidR="00C423B8" w:rsidRDefault="00C423B8" w:rsidP="00E13775">
      <w:pPr>
        <w:pStyle w:val="ListParagraph"/>
        <w:numPr>
          <w:ilvl w:val="0"/>
          <w:numId w:val="383"/>
        </w:numPr>
      </w:pPr>
      <w:r>
        <w:t>Title Page: Includes the report's title (a concise description of the research findings), the names of all researchers involved, and the sponsoring institution.</w:t>
      </w:r>
    </w:p>
    <w:p w14:paraId="0D1BFBE1" w14:textId="77777777" w:rsidR="00C423B8" w:rsidRDefault="00C423B8" w:rsidP="00E13775">
      <w:pPr>
        <w:pStyle w:val="ListParagraph"/>
        <w:numPr>
          <w:ilvl w:val="0"/>
          <w:numId w:val="383"/>
        </w:numPr>
      </w:pPr>
      <w:r>
        <w:t>Abstract: A brief synopsis (usually around 250 words) of the research problem, hypotheses, population and sample, research design, and significant results. This is often the most challenging part to write and is usually completed last.</w:t>
      </w:r>
    </w:p>
    <w:p w14:paraId="1699A77A" w14:textId="77777777" w:rsidR="00C423B8" w:rsidRDefault="00C423B8" w:rsidP="00E13775">
      <w:pPr>
        <w:pStyle w:val="ListParagraph"/>
        <w:numPr>
          <w:ilvl w:val="0"/>
          <w:numId w:val="383"/>
        </w:numPr>
      </w:pPr>
      <w:r>
        <w:t>Table of Contents (optional): Included if required by the publisher, especially for longer reports.</w:t>
      </w:r>
    </w:p>
    <w:p w14:paraId="55981D8D" w14:textId="77777777" w:rsidR="00C423B8" w:rsidRDefault="00C423B8" w:rsidP="00E13775">
      <w:pPr>
        <w:pStyle w:val="ListParagraph"/>
        <w:numPr>
          <w:ilvl w:val="0"/>
          <w:numId w:val="383"/>
        </w:numPr>
      </w:pPr>
      <w:r>
        <w:t>Introduction: Provides a short description of the research project, its process, anticipated results, and hypotheses. Brief details of the methods and results are often included.</w:t>
      </w:r>
    </w:p>
    <w:p w14:paraId="25255B22" w14:textId="77777777" w:rsidR="00C423B8" w:rsidRDefault="00C423B8" w:rsidP="00E13775">
      <w:pPr>
        <w:pStyle w:val="ListParagraph"/>
        <w:numPr>
          <w:ilvl w:val="0"/>
          <w:numId w:val="383"/>
        </w:numPr>
      </w:pPr>
      <w:r>
        <w:t>Literature Review: A comprehensive survey of existing related research, positioning the current project within the context of prior work. This section can be structured chronologically or thematically.</w:t>
      </w:r>
    </w:p>
    <w:p w14:paraId="3DF46761" w14:textId="77777777" w:rsidR="00C423B8" w:rsidRDefault="00C423B8" w:rsidP="00E13775">
      <w:pPr>
        <w:pStyle w:val="ListParagraph"/>
        <w:numPr>
          <w:ilvl w:val="0"/>
          <w:numId w:val="383"/>
        </w:numPr>
      </w:pPr>
      <w:r>
        <w:t>Methodology: A thorough description of the research methods, including:</w:t>
      </w:r>
    </w:p>
    <w:p w14:paraId="71265823" w14:textId="63A52D19" w:rsidR="00C423B8" w:rsidRDefault="00C423B8" w:rsidP="00E13775">
      <w:pPr>
        <w:pStyle w:val="ListParagraph"/>
        <w:numPr>
          <w:ilvl w:val="1"/>
          <w:numId w:val="383"/>
        </w:numPr>
      </w:pPr>
      <w:r>
        <w:t>Population of interest, sampling frame, sample selection method, and sample details</w:t>
      </w:r>
      <w:r w:rsidR="00E13775">
        <w:t>.</w:t>
      </w:r>
    </w:p>
    <w:p w14:paraId="67101B1E" w14:textId="52C002DB" w:rsidR="00C423B8" w:rsidRDefault="00C423B8" w:rsidP="00E13775">
      <w:pPr>
        <w:pStyle w:val="ListParagraph"/>
        <w:numPr>
          <w:ilvl w:val="1"/>
          <w:numId w:val="383"/>
        </w:numPr>
      </w:pPr>
      <w:r>
        <w:t>Study constructs and their operationalization</w:t>
      </w:r>
      <w:r w:rsidR="00E13775">
        <w:t>.</w:t>
      </w:r>
    </w:p>
    <w:p w14:paraId="6FED3705" w14:textId="2B3A5F2E" w:rsidR="00C423B8" w:rsidRDefault="00C423B8" w:rsidP="00E13775">
      <w:pPr>
        <w:pStyle w:val="ListParagraph"/>
        <w:numPr>
          <w:ilvl w:val="1"/>
          <w:numId w:val="383"/>
        </w:numPr>
      </w:pPr>
      <w:r>
        <w:t>Instruments used and example items (full instruments in appendices)</w:t>
      </w:r>
      <w:r w:rsidR="00E13775">
        <w:t>.</w:t>
      </w:r>
    </w:p>
    <w:p w14:paraId="7A64B4F2" w14:textId="79623675" w:rsidR="00C423B8" w:rsidRDefault="00C423B8" w:rsidP="00E13775">
      <w:pPr>
        <w:pStyle w:val="ListParagraph"/>
        <w:numPr>
          <w:ilvl w:val="1"/>
          <w:numId w:val="383"/>
        </w:numPr>
      </w:pPr>
      <w:r>
        <w:t>Research design (experimental, survey, qualitative, etc.)</w:t>
      </w:r>
      <w:r w:rsidR="00E13775">
        <w:t>.</w:t>
      </w:r>
    </w:p>
    <w:p w14:paraId="047EAB1E" w14:textId="47D02309" w:rsidR="00C423B8" w:rsidRDefault="00C423B8" w:rsidP="00E13775">
      <w:pPr>
        <w:pStyle w:val="ListParagraph"/>
        <w:numPr>
          <w:ilvl w:val="1"/>
          <w:numId w:val="383"/>
        </w:numPr>
      </w:pPr>
      <w:r>
        <w:t>Procedure for designing, executing, and analyzing the project</w:t>
      </w:r>
      <w:r w:rsidR="00E13775">
        <w:t>.</w:t>
      </w:r>
    </w:p>
    <w:p w14:paraId="0A77537A" w14:textId="16DCE5EA" w:rsidR="00C423B8" w:rsidRDefault="00C423B8" w:rsidP="00E13775">
      <w:pPr>
        <w:pStyle w:val="ListParagraph"/>
        <w:numPr>
          <w:ilvl w:val="1"/>
          <w:numId w:val="383"/>
        </w:numPr>
      </w:pPr>
      <w:r>
        <w:t>Data gathered and analysis methods</w:t>
      </w:r>
      <w:r w:rsidR="00E13775">
        <w:t>.</w:t>
      </w:r>
    </w:p>
    <w:p w14:paraId="488DB51F" w14:textId="77777777" w:rsidR="00581285" w:rsidRDefault="00C423B8" w:rsidP="00581285">
      <w:pPr>
        <w:pStyle w:val="ListParagraph"/>
        <w:numPr>
          <w:ilvl w:val="1"/>
          <w:numId w:val="383"/>
        </w:numPr>
      </w:pPr>
      <w:r>
        <w:t>Reliability, validity, and generalizability of the study</w:t>
      </w:r>
      <w:r w:rsidR="00E13775">
        <w:t>.</w:t>
      </w:r>
    </w:p>
    <w:p w14:paraId="4AEAE630" w14:textId="2A8CBB87" w:rsidR="00C423B8" w:rsidRDefault="00581285" w:rsidP="00581285">
      <w:pPr>
        <w:pStyle w:val="ListParagraph"/>
        <w:numPr>
          <w:ilvl w:val="1"/>
          <w:numId w:val="383"/>
        </w:numPr>
      </w:pPr>
      <w:r>
        <w:t>Note: t</w:t>
      </w:r>
      <w:r w:rsidR="00C423B8">
        <w:t>his section should be detailed enough for replication by other researchers.</w:t>
      </w:r>
    </w:p>
    <w:p w14:paraId="308D9827" w14:textId="77777777" w:rsidR="00C423B8" w:rsidRDefault="00C423B8" w:rsidP="00E13775">
      <w:pPr>
        <w:pStyle w:val="ListParagraph"/>
        <w:numPr>
          <w:ilvl w:val="0"/>
          <w:numId w:val="383"/>
        </w:numPr>
      </w:pPr>
      <w:r>
        <w:t>Results: Presents the research findings, saving their interpretation for the discussion section.</w:t>
      </w:r>
    </w:p>
    <w:p w14:paraId="48041C43" w14:textId="77777777" w:rsidR="00C423B8" w:rsidRDefault="00C423B8" w:rsidP="00E13775">
      <w:pPr>
        <w:pStyle w:val="ListParagraph"/>
        <w:numPr>
          <w:ilvl w:val="0"/>
          <w:numId w:val="383"/>
        </w:numPr>
      </w:pPr>
      <w:r>
        <w:t>Discussion: Interprets the results, discusses the project's relevance and fit with existing research, addresses weaknesses, and offers suggestions for improvement.</w:t>
      </w:r>
    </w:p>
    <w:p w14:paraId="4D8D6421" w14:textId="77777777" w:rsidR="00C423B8" w:rsidRDefault="00C423B8" w:rsidP="00E13775">
      <w:pPr>
        <w:pStyle w:val="ListParagraph"/>
        <w:numPr>
          <w:ilvl w:val="0"/>
          <w:numId w:val="383"/>
        </w:numPr>
      </w:pPr>
      <w:r>
        <w:t>Conclusion: Summarizes the entire research project, including significant findings, and suggests future research directions.</w:t>
      </w:r>
    </w:p>
    <w:p w14:paraId="75DC6DDC" w14:textId="77777777" w:rsidR="00C423B8" w:rsidRDefault="00C423B8" w:rsidP="00E13775">
      <w:pPr>
        <w:pStyle w:val="ListParagraph"/>
        <w:numPr>
          <w:ilvl w:val="0"/>
          <w:numId w:val="383"/>
        </w:numPr>
      </w:pPr>
      <w:r>
        <w:t>Appendices (optional): Includes additional materials, such as full instruments or detailed data, if needed.</w:t>
      </w:r>
    </w:p>
    <w:p w14:paraId="65A99B2F" w14:textId="77777777" w:rsidR="00C423B8" w:rsidRDefault="00C423B8" w:rsidP="00E13775">
      <w:pPr>
        <w:pStyle w:val="ListParagraph"/>
        <w:numPr>
          <w:ilvl w:val="0"/>
          <w:numId w:val="383"/>
        </w:numPr>
      </w:pPr>
      <w:r>
        <w:t>Bibliography: Provides full citations for all references used in the report, allowing readers to locate original research sources.</w:t>
      </w:r>
    </w:p>
    <w:p w14:paraId="45A07B55" w14:textId="14A1C0C2" w:rsidR="00705686" w:rsidRDefault="00C423B8" w:rsidP="00C423B8">
      <w:r>
        <w:lastRenderedPageBreak/>
        <w:t>While there may be variations in format depending on the publisher or university, this general structure serves as a comprehensive guide for most formal research reports.</w:t>
      </w:r>
    </w:p>
    <w:p w14:paraId="5327DAB2" w14:textId="4BFABA6A" w:rsidR="00A626FE" w:rsidRPr="000E309B" w:rsidRDefault="00804ED5" w:rsidP="00B1647C">
      <w:pPr>
        <w:pStyle w:val="Heading3"/>
      </w:pPr>
      <w:bookmarkStart w:id="215" w:name="_Toc169156834"/>
      <w:r w:rsidRPr="00804ED5">
        <w:t>Effectively Disseminating Research Findings: A Guide for Scholars</w:t>
      </w:r>
      <w:bookmarkEnd w:id="215"/>
    </w:p>
    <w:p w14:paraId="44D2B256" w14:textId="77777777" w:rsidR="00804ED5" w:rsidRDefault="00804ED5" w:rsidP="00804ED5">
      <w:r>
        <w:t>Conducting high-quality research is only half the battle; ensuring that findings reach the right audiences is equally crucial. Effective dissemination requires careful planning, consideration of target audiences, and tailored communication strategies. As the saying goes, "just because you built it, doesn't mean they will come."</w:t>
      </w:r>
    </w:p>
    <w:p w14:paraId="2AAB5E2A" w14:textId="77777777" w:rsidR="00804ED5" w:rsidRDefault="00804ED5" w:rsidP="00804ED5">
      <w:r>
        <w:t>To begin, identify who might benefit from or be interested in your research. This could include:</w:t>
      </w:r>
    </w:p>
    <w:p w14:paraId="6CE0AD7F" w14:textId="77482CED" w:rsidR="00804ED5" w:rsidRDefault="00804ED5" w:rsidP="00031DF5">
      <w:pPr>
        <w:pStyle w:val="ListParagraph"/>
        <w:numPr>
          <w:ilvl w:val="0"/>
          <w:numId w:val="384"/>
        </w:numPr>
      </w:pPr>
      <w:r>
        <w:t>Research participants</w:t>
      </w:r>
      <w:r w:rsidR="00031DF5">
        <w:t>.</w:t>
      </w:r>
    </w:p>
    <w:p w14:paraId="026CD5A8" w14:textId="26F07F07" w:rsidR="00804ED5" w:rsidRDefault="00804ED5" w:rsidP="00031DF5">
      <w:pPr>
        <w:pStyle w:val="ListParagraph"/>
        <w:numPr>
          <w:ilvl w:val="0"/>
          <w:numId w:val="384"/>
        </w:numPr>
      </w:pPr>
      <w:r>
        <w:t>Other scholars in your field</w:t>
      </w:r>
      <w:r w:rsidR="00031DF5">
        <w:t>.</w:t>
      </w:r>
    </w:p>
    <w:p w14:paraId="244D2C87" w14:textId="7345FDFD" w:rsidR="00804ED5" w:rsidRDefault="00804ED5" w:rsidP="00031DF5">
      <w:pPr>
        <w:pStyle w:val="ListParagraph"/>
        <w:numPr>
          <w:ilvl w:val="0"/>
          <w:numId w:val="384"/>
        </w:numPr>
      </w:pPr>
      <w:r>
        <w:t>Policymakers</w:t>
      </w:r>
      <w:r w:rsidR="00031DF5">
        <w:t>.</w:t>
      </w:r>
    </w:p>
    <w:p w14:paraId="3FB20E1D" w14:textId="5F2DD9EE" w:rsidR="00804ED5" w:rsidRDefault="00804ED5" w:rsidP="00031DF5">
      <w:pPr>
        <w:pStyle w:val="ListParagraph"/>
        <w:numPr>
          <w:ilvl w:val="0"/>
          <w:numId w:val="384"/>
        </w:numPr>
      </w:pPr>
      <w:r>
        <w:t>Organizations working in related areas</w:t>
      </w:r>
      <w:r w:rsidR="00031DF5">
        <w:t>.</w:t>
      </w:r>
    </w:p>
    <w:p w14:paraId="2CD43B90" w14:textId="2C5C1B70" w:rsidR="00804ED5" w:rsidRDefault="00804ED5" w:rsidP="00031DF5">
      <w:pPr>
        <w:pStyle w:val="ListParagraph"/>
        <w:numPr>
          <w:ilvl w:val="0"/>
          <w:numId w:val="384"/>
        </w:numPr>
      </w:pPr>
      <w:r>
        <w:t>The public</w:t>
      </w:r>
      <w:r w:rsidR="00031DF5">
        <w:t>.</w:t>
      </w:r>
    </w:p>
    <w:p w14:paraId="64FDD2A9" w14:textId="50994319" w:rsidR="00804ED5" w:rsidRDefault="00804ED5" w:rsidP="00804ED5">
      <w:r>
        <w:t>Once you've identified your target audiences, determine where they are located and how best to reach them.</w:t>
      </w:r>
      <w:r w:rsidR="00031DF5">
        <w:t xml:space="preserve"> </w:t>
      </w:r>
      <w:r>
        <w:t>For example:</w:t>
      </w:r>
    </w:p>
    <w:p w14:paraId="020412CE" w14:textId="7CE6C265" w:rsidR="00804ED5" w:rsidRDefault="00804ED5" w:rsidP="00031DF5">
      <w:pPr>
        <w:pStyle w:val="ListParagraph"/>
        <w:numPr>
          <w:ilvl w:val="0"/>
          <w:numId w:val="385"/>
        </w:numPr>
      </w:pPr>
      <w:r>
        <w:t>Research participants are already known to you</w:t>
      </w:r>
      <w:r w:rsidR="00031DF5">
        <w:t>.</w:t>
      </w:r>
    </w:p>
    <w:p w14:paraId="7152290C" w14:textId="3BBCAA02" w:rsidR="00804ED5" w:rsidRDefault="00804ED5" w:rsidP="00031DF5">
      <w:pPr>
        <w:pStyle w:val="ListParagraph"/>
        <w:numPr>
          <w:ilvl w:val="0"/>
          <w:numId w:val="385"/>
        </w:numPr>
      </w:pPr>
      <w:r>
        <w:t>Scholars can be found at conferences, through professional organizations, and via academic journals</w:t>
      </w:r>
      <w:r w:rsidR="00031DF5">
        <w:t>.</w:t>
      </w:r>
    </w:p>
    <w:p w14:paraId="77FDA4C0" w14:textId="4FD2D861" w:rsidR="00804ED5" w:rsidRDefault="00804ED5" w:rsidP="00031DF5">
      <w:pPr>
        <w:pStyle w:val="ListParagraph"/>
        <w:numPr>
          <w:ilvl w:val="0"/>
          <w:numId w:val="385"/>
        </w:numPr>
      </w:pPr>
      <w:r>
        <w:t>Policymakers include state and federal representatives, who should be accessible to constituents</w:t>
      </w:r>
      <w:r w:rsidR="00031DF5">
        <w:t>.</w:t>
      </w:r>
    </w:p>
    <w:p w14:paraId="58A6402D" w14:textId="66C3F048" w:rsidR="00804ED5" w:rsidRDefault="00804ED5" w:rsidP="00031DF5">
      <w:pPr>
        <w:pStyle w:val="ListParagraph"/>
        <w:numPr>
          <w:ilvl w:val="0"/>
          <w:numId w:val="385"/>
        </w:numPr>
      </w:pPr>
      <w:r>
        <w:t>Related organizations can be identified through web searches</w:t>
      </w:r>
      <w:r w:rsidR="00031DF5">
        <w:t>.</w:t>
      </w:r>
    </w:p>
    <w:p w14:paraId="7CF8E3DF" w14:textId="5E1C62A2" w:rsidR="00804ED5" w:rsidRDefault="00804ED5" w:rsidP="00031DF5">
      <w:pPr>
        <w:pStyle w:val="ListParagraph"/>
        <w:numPr>
          <w:ilvl w:val="0"/>
          <w:numId w:val="385"/>
        </w:numPr>
      </w:pPr>
      <w:r>
        <w:t>The public can be reached via letters to the editor, blog posts, or social media</w:t>
      </w:r>
      <w:r w:rsidR="00031DF5">
        <w:t>.</w:t>
      </w:r>
    </w:p>
    <w:p w14:paraId="734AE6EF" w14:textId="77777777" w:rsidR="00804ED5" w:rsidRDefault="00804ED5" w:rsidP="00804ED5">
      <w:r>
        <w:t>When reaching out to each audience, consider their norms and preferences. Scholarly journals provide submission guidelines for researchers, while newspapers have their own requirements for editorials. To contact policymakers, start by calling their office or checking their website for guidance.</w:t>
      </w:r>
    </w:p>
    <w:p w14:paraId="220593FD" w14:textId="77777777" w:rsidR="00804ED5" w:rsidRDefault="00804ED5" w:rsidP="00804ED5">
      <w:r>
        <w:t>It's also essential to evaluate the potential impact and significance of your findings. Which audiences are most likely to benefit from or act upon your research? Prioritize dissemination efforts accordingly, and tailor your messages to each group's interests and level of expertise.</w:t>
      </w:r>
    </w:p>
    <w:p w14:paraId="024F2926" w14:textId="77777777" w:rsidR="00804ED5" w:rsidRDefault="00804ED5" w:rsidP="00804ED5">
      <w:r>
        <w:t>Remember, as a scholar, you have a duty to share findings that could benefit others. By developing a thoughtful dissemination plan, you can ensure that your research has the greatest possible impact, both within academia and beyond.</w:t>
      </w:r>
    </w:p>
    <w:p w14:paraId="020B7689" w14:textId="77777777" w:rsidR="00804ED5" w:rsidRDefault="00804ED5" w:rsidP="00804ED5">
      <w:r>
        <w:t>Dissemination Checklist:</w:t>
      </w:r>
    </w:p>
    <w:p w14:paraId="00A39095" w14:textId="7607B6EA" w:rsidR="00804ED5" w:rsidRDefault="00804ED5" w:rsidP="0019137B">
      <w:pPr>
        <w:pStyle w:val="ListParagraph"/>
        <w:numPr>
          <w:ilvl w:val="0"/>
          <w:numId w:val="386"/>
        </w:numPr>
      </w:pPr>
      <w:r>
        <w:t>Identify target audiences</w:t>
      </w:r>
      <w:r w:rsidR="0019137B">
        <w:t>.</w:t>
      </w:r>
    </w:p>
    <w:p w14:paraId="1DEE4F6E" w14:textId="21012B9E" w:rsidR="00804ED5" w:rsidRDefault="00804ED5" w:rsidP="0019137B">
      <w:pPr>
        <w:pStyle w:val="ListParagraph"/>
        <w:numPr>
          <w:ilvl w:val="0"/>
          <w:numId w:val="386"/>
        </w:numPr>
      </w:pPr>
      <w:r>
        <w:lastRenderedPageBreak/>
        <w:t>Locate where those audiences can be found</w:t>
      </w:r>
      <w:r w:rsidR="0019137B">
        <w:t>.</w:t>
      </w:r>
    </w:p>
    <w:p w14:paraId="5A69F918" w14:textId="44F30292" w:rsidR="00804ED5" w:rsidRDefault="00804ED5" w:rsidP="0019137B">
      <w:pPr>
        <w:pStyle w:val="ListParagraph"/>
        <w:numPr>
          <w:ilvl w:val="0"/>
          <w:numId w:val="386"/>
        </w:numPr>
      </w:pPr>
      <w:r>
        <w:t>Determine the best communication channels for each audience</w:t>
      </w:r>
      <w:r w:rsidR="0019137B">
        <w:t>.</w:t>
      </w:r>
    </w:p>
    <w:p w14:paraId="2E85ECC4" w14:textId="39B68164" w:rsidR="00804ED5" w:rsidRDefault="00804ED5" w:rsidP="0019137B">
      <w:pPr>
        <w:pStyle w:val="ListParagraph"/>
        <w:numPr>
          <w:ilvl w:val="0"/>
          <w:numId w:val="386"/>
        </w:numPr>
      </w:pPr>
      <w:r>
        <w:t>Evaluate the potential impact and significance of your findings</w:t>
      </w:r>
      <w:r w:rsidR="0019137B">
        <w:t>.</w:t>
      </w:r>
    </w:p>
    <w:p w14:paraId="62D8F1AB" w14:textId="298EB7D0" w:rsidR="00804ED5" w:rsidRDefault="00804ED5" w:rsidP="0019137B">
      <w:pPr>
        <w:pStyle w:val="ListParagraph"/>
        <w:numPr>
          <w:ilvl w:val="0"/>
          <w:numId w:val="386"/>
        </w:numPr>
      </w:pPr>
      <w:r>
        <w:t>Prioritize audiences based on likely interest and impact</w:t>
      </w:r>
      <w:r w:rsidR="0019137B">
        <w:t>.</w:t>
      </w:r>
    </w:p>
    <w:p w14:paraId="37BC1E7D" w14:textId="632E8246" w:rsidR="00804ED5" w:rsidRDefault="00804ED5" w:rsidP="0019137B">
      <w:pPr>
        <w:pStyle w:val="ListParagraph"/>
        <w:numPr>
          <w:ilvl w:val="0"/>
          <w:numId w:val="386"/>
        </w:numPr>
      </w:pPr>
      <w:r>
        <w:t>Tailor your messages to each audience's norms, interests, and expertise</w:t>
      </w:r>
      <w:r w:rsidR="0019137B">
        <w:t>.</w:t>
      </w:r>
    </w:p>
    <w:p w14:paraId="46EA746E" w14:textId="0A489DDC" w:rsidR="00804ED5" w:rsidRDefault="00804ED5" w:rsidP="0019137B">
      <w:pPr>
        <w:pStyle w:val="ListParagraph"/>
        <w:numPr>
          <w:ilvl w:val="0"/>
          <w:numId w:val="386"/>
        </w:numPr>
      </w:pPr>
      <w:r>
        <w:t>Follow relevant submission guidelines or best practices for each communication channel</w:t>
      </w:r>
      <w:r w:rsidR="0019137B">
        <w:t>.</w:t>
      </w:r>
    </w:p>
    <w:p w14:paraId="2EE36751" w14:textId="1EDCC004" w:rsidR="00092A27" w:rsidRDefault="00804ED5" w:rsidP="0019137B">
      <w:pPr>
        <w:pStyle w:val="ListParagraph"/>
        <w:numPr>
          <w:ilvl w:val="0"/>
          <w:numId w:val="386"/>
        </w:numPr>
      </w:pPr>
      <w:r>
        <w:t>Share your findings widely and engage with interested parties to maximize the impact of your research.</w:t>
      </w:r>
    </w:p>
    <w:p w14:paraId="28C3B4B4" w14:textId="77777777" w:rsidR="00905156" w:rsidRPr="00905156" w:rsidRDefault="00905156" w:rsidP="00905156">
      <w:pPr>
        <w:pStyle w:val="Heading3"/>
      </w:pPr>
      <w:bookmarkStart w:id="216" w:name="_Toc169156835"/>
      <w:r w:rsidRPr="00905156">
        <w:t>Measuring and Evaluating Research Impact</w:t>
      </w:r>
      <w:bookmarkEnd w:id="216"/>
    </w:p>
    <w:p w14:paraId="128BD574" w14:textId="77777777" w:rsidR="00FA0BA6" w:rsidRDefault="00FA0BA6" w:rsidP="00FA0BA6">
      <w:r>
        <w:t>Disseminating research findings is a critical step in the scholarly process, but it's equally important to assess the impact of your work after it's been shared. Measuring and evaluating research impact can help you understand the reach and influence of your findings, demonstrate the value of your contributions, and identify opportunities for further exploration or collaboration.</w:t>
      </w:r>
    </w:p>
    <w:p w14:paraId="247D4E96" w14:textId="21820F8C" w:rsidR="00FA0BA6" w:rsidRDefault="00FA0BA6" w:rsidP="00FA0BA6">
      <w:r>
        <w:t>There are several methods for assessing research impact, each with its own strengths and limitations. One common approach is citation analysis, which involves tracking how often your work is cited by other researchers. Tools like Google Scholar, Web of Science, and Scopus can help you identify citations to your publications and calculate metrics such as your h-index, which reflects both the quantity and quality of your scholarly output</w:t>
      </w:r>
      <w:r w:rsidR="002E2684">
        <w:t xml:space="preserve"> </w:t>
      </w:r>
      <w:r w:rsidR="002E2684">
        <w:fldChar w:fldCharType="begin"/>
      </w:r>
      <w:r w:rsidR="007C07B4">
        <w:instrText xml:space="preserve"> ADDIN ZOTERO_ITEM CSL_CITATION {"citationID":"GCdgOLiJ","properties":{"formattedCitation":"[183]","plainCitation":"[183]","noteIndex":0},"citationItems":[{"id":389,"uris":["http://zotero.org/users/5015692/items/W3QLXCNL"],"itemData":{"id":389,"type":"article-journal","container-title":"Proceedings of the National academy of Sciences","ISSN":"0027-8424","issue":"46","journalAbbreviation":"Proceedings of the National academy of Sciences","note":"publisher: National Acad Sciences","page":"16569-16572","title":"An index to quantify an individual's scientific research output","volume":"102","author":[{"family":"Hirsch","given":"Jorge E"}],"issued":{"date-parts":[["2005"]]}}}],"schema":"https://github.com/citation-style-language/schema/raw/master/csl-citation.json"} </w:instrText>
      </w:r>
      <w:r w:rsidR="002E2684">
        <w:fldChar w:fldCharType="separate"/>
      </w:r>
      <w:r w:rsidR="007C07B4" w:rsidRPr="007C07B4">
        <w:t>[183]</w:t>
      </w:r>
      <w:r w:rsidR="002E2684">
        <w:fldChar w:fldCharType="end"/>
      </w:r>
      <w:r>
        <w:t>.</w:t>
      </w:r>
    </w:p>
    <w:p w14:paraId="10201366" w14:textId="2F6DA4B3" w:rsidR="00FA0BA6" w:rsidRDefault="00FA0BA6" w:rsidP="00FA0BA6">
      <w:r>
        <w:t>Another increasingly popular method is altmetrics, which focuses on the online attention and engagement surrounding your research. Altmetrics can include mentions on social media, news outlets, blogs, and other web-based platforms. Tools like Altmetric and PlumX can help you track these mentions and provide insights into the broader impact of your work beyond traditional academic channels</w:t>
      </w:r>
      <w:r w:rsidR="00283AF1">
        <w:t xml:space="preserve"> </w:t>
      </w:r>
      <w:r w:rsidR="00283AF1">
        <w:fldChar w:fldCharType="begin"/>
      </w:r>
      <w:r w:rsidR="007C07B4">
        <w:instrText xml:space="preserve"> ADDIN ZOTERO_ITEM CSL_CITATION {"citationID":"sswyWAZ2","properties":{"formattedCitation":"[184]","plainCitation":"[184]","noteIndex":0},"citationItems":[{"id":390,"uris":["http://zotero.org/users/5015692/items/MQ44WV3Y"],"itemData":{"id":390,"type":"article-journal","title":"Altmetrics","author":[{"family":"Priem","given":"Jason"}],"issued":{"date-parts":[["2014"]]}}}],"schema":"https://github.com/citation-style-language/schema/raw/master/csl-citation.json"} </w:instrText>
      </w:r>
      <w:r w:rsidR="00283AF1">
        <w:fldChar w:fldCharType="separate"/>
      </w:r>
      <w:r w:rsidR="007C07B4" w:rsidRPr="007C07B4">
        <w:t>[184]</w:t>
      </w:r>
      <w:r w:rsidR="00283AF1">
        <w:fldChar w:fldCharType="end"/>
      </w:r>
      <w:r>
        <w:t>.</w:t>
      </w:r>
    </w:p>
    <w:p w14:paraId="21EF12CD" w14:textId="77777777" w:rsidR="00FA0BA6" w:rsidRDefault="00FA0BA6" w:rsidP="00FA0BA6">
      <w:r>
        <w:t>It's also important to seek feedback from stakeholders who may have been influenced by your research. This can include policymakers, practitioners, or members of the public who have used your findings to inform their decisions or actions. Conducting surveys, interviews, or focus groups can provide valuable qualitative data on the real-world impact of your work.</w:t>
      </w:r>
    </w:p>
    <w:p w14:paraId="029851C2" w14:textId="77777777" w:rsidR="00FA0BA6" w:rsidRDefault="00FA0BA6" w:rsidP="00FA0BA6">
      <w:r>
        <w:t>When evaluating research impact, it's essential to consider the context and goals of your work. Different disciplines and research areas may have different norms and expectations for impact, and what counts as a significant contribution can vary widely. It's also important to recognize that impact can take many forms and may not always be immediately apparent. Some research may have a slow but steady influence over time, while other findings may have a more immediate and visible impact.</w:t>
      </w:r>
    </w:p>
    <w:p w14:paraId="19A18513" w14:textId="77777777" w:rsidR="00FA0BA6" w:rsidRDefault="00FA0BA6" w:rsidP="00FA0BA6">
      <w:r>
        <w:t xml:space="preserve">To maximize the impact of your research, consider developing a dissemination plan that includes multiple strategies for sharing your findings with relevant audiences. This can include publishing in academic journals, presenting at conferences, issuing press releases, and engaging with stakeholders through social media or other channels. By proactively seeking out opportunities to </w:t>
      </w:r>
      <w:r>
        <w:lastRenderedPageBreak/>
        <w:t>share your work and engaging with those who may benefit from it, you can increase the likelihood of making a meaningful impact.</w:t>
      </w:r>
    </w:p>
    <w:p w14:paraId="5BD5DE04" w14:textId="77777777" w:rsidR="00FA0BA6" w:rsidRDefault="00FA0BA6" w:rsidP="00FA0BA6">
      <w:r>
        <w:t>Finally, it's important to remember that measuring and evaluating research impact is an ongoing process. As your work continues to be shared and cited, its influence may grow and evolve over time. By regularly monitoring your impact metrics and seeking feedback from stakeholders, you can gain a more comprehensive understanding of the value and significance of your contributions to your field and beyond.</w:t>
      </w:r>
    </w:p>
    <w:p w14:paraId="20E42FD4" w14:textId="12D221E9" w:rsidR="007A101E" w:rsidRDefault="00FA0BA6" w:rsidP="00FA0BA6">
      <w:r>
        <w:t>In summary, measuring and evaluating research impact is a crucial step in the scholarly process that can help you demonstrate the value of your work, identify opportunities for further exploration, and maximize the influence of your findings. By using a range of methods and considering the context and goals of your research, you can gain a more complete picture of the impact you're making and continue to push the boundaries of knowledge in your field.</w:t>
      </w:r>
    </w:p>
    <w:p w14:paraId="5327DABB" w14:textId="7011BBDF" w:rsidR="00A626FE" w:rsidRDefault="00254084" w:rsidP="00E1570B">
      <w:pPr>
        <w:pStyle w:val="Heading3"/>
      </w:pPr>
      <w:bookmarkStart w:id="217" w:name="_Toc169156836"/>
      <w:r>
        <w:rPr>
          <w:noProof/>
        </w:rPr>
        <w:drawing>
          <wp:anchor distT="0" distB="0" distL="114300" distR="114300" simplePos="0" relativeHeight="251986004" behindDoc="0" locked="0" layoutInCell="1" allowOverlap="1" wp14:anchorId="7361569D" wp14:editId="12FFE523">
            <wp:simplePos x="0" y="0"/>
            <wp:positionH relativeFrom="column">
              <wp:align>right</wp:align>
            </wp:positionH>
            <wp:positionV relativeFrom="paragraph">
              <wp:posOffset>0</wp:posOffset>
            </wp:positionV>
            <wp:extent cx="914400" cy="914400"/>
            <wp:effectExtent l="19050" t="19050" r="19050" b="19050"/>
            <wp:wrapSquare wrapText="bothSides"/>
            <wp:docPr id="470598313" name="Picture 2"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2873" name="Picture 2" descr="A black and white drawing of an open book&#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a:ln>
                      <a:solidFill>
                        <a:schemeClr val="tx1"/>
                      </a:solidFill>
                    </a:ln>
                  </pic:spPr>
                </pic:pic>
              </a:graphicData>
            </a:graphic>
          </wp:anchor>
        </w:drawing>
      </w:r>
      <w:r w:rsidR="006D2EA9">
        <w:t>Summary of Chapter 1</w:t>
      </w:r>
      <w:r w:rsidR="002E4B97">
        <w:t>6</w:t>
      </w:r>
      <w:r w:rsidR="006D2EA9">
        <w:t>: Presenting Research</w:t>
      </w:r>
      <w:bookmarkEnd w:id="217"/>
    </w:p>
    <w:p w14:paraId="75598479" w14:textId="77777777" w:rsidR="00D25AC9" w:rsidRDefault="00D25AC9" w:rsidP="00D25AC9">
      <w:r>
        <w:t>In this chapter, you've learned about the crucial role of presenting and sharing research findings effectively. Just as an orchestra's performance is meant to be heard and appreciated, your research is meant to be shared with others who can benefit from your discoveries. By mastering the art of research presentation, you can make a meaningful impact in your field and contribute to the collective knowledge of your discipline.</w:t>
      </w:r>
    </w:p>
    <w:p w14:paraId="4922808A" w14:textId="77777777" w:rsidR="00D25AC9" w:rsidRDefault="00D25AC9" w:rsidP="00D25AC9">
      <w:r>
        <w:t>The key concepts covered in this chapter include:</w:t>
      </w:r>
    </w:p>
    <w:p w14:paraId="554E49A3" w14:textId="77777777" w:rsidR="00D25AC9" w:rsidRDefault="00D25AC9" w:rsidP="00865BA6">
      <w:pPr>
        <w:pStyle w:val="ListParagraph"/>
        <w:numPr>
          <w:ilvl w:val="0"/>
          <w:numId w:val="388"/>
        </w:numPr>
      </w:pPr>
      <w:r>
        <w:t>Deciding what information to share and with whom, considering the interests of various stakeholders and tailoring your message accordingly.</w:t>
      </w:r>
    </w:p>
    <w:p w14:paraId="376BCF6D" w14:textId="77777777" w:rsidR="00D25AC9" w:rsidRDefault="00D25AC9" w:rsidP="00865BA6">
      <w:pPr>
        <w:pStyle w:val="ListParagraph"/>
        <w:numPr>
          <w:ilvl w:val="0"/>
          <w:numId w:val="388"/>
        </w:numPr>
      </w:pPr>
      <w:r>
        <w:t>Exploring different formats for oral presentations, such as formal talks, round table discussions, and poster presentations, and adapting your content and delivery to suit each context.</w:t>
      </w:r>
    </w:p>
    <w:p w14:paraId="3E0160F0" w14:textId="77777777" w:rsidR="00D25AC9" w:rsidRDefault="00D25AC9" w:rsidP="00865BA6">
      <w:pPr>
        <w:pStyle w:val="ListParagraph"/>
        <w:numPr>
          <w:ilvl w:val="0"/>
          <w:numId w:val="388"/>
        </w:numPr>
      </w:pPr>
      <w:r>
        <w:t>Utilizing visual aids effectively to enhance your presentations, ensuring clarity, simplicity, and visual appeal.</w:t>
      </w:r>
    </w:p>
    <w:p w14:paraId="55F0B6F2" w14:textId="77777777" w:rsidR="00D25AC9" w:rsidRDefault="00D25AC9" w:rsidP="00865BA6">
      <w:pPr>
        <w:pStyle w:val="ListParagraph"/>
        <w:numPr>
          <w:ilvl w:val="0"/>
          <w:numId w:val="388"/>
        </w:numPr>
      </w:pPr>
      <w:r>
        <w:t>Understanding the standard structure and components of formal written research reports, while adjusting your writing style and tone to accommodate different audiences.</w:t>
      </w:r>
    </w:p>
    <w:p w14:paraId="0EA74100" w14:textId="77777777" w:rsidR="00D25AC9" w:rsidRDefault="00D25AC9" w:rsidP="00865BA6">
      <w:pPr>
        <w:pStyle w:val="ListParagraph"/>
        <w:numPr>
          <w:ilvl w:val="0"/>
          <w:numId w:val="388"/>
        </w:numPr>
      </w:pPr>
      <w:r>
        <w:t>Developing a strategic plan for disseminating your research findings to maximize their impact and reach, using various communication channels and metrics to evaluate success.</w:t>
      </w:r>
    </w:p>
    <w:p w14:paraId="417563BC" w14:textId="7ED5D6E8" w:rsidR="00D25AC9" w:rsidRDefault="00D25AC9" w:rsidP="00D25AC9">
      <w:r>
        <w:t xml:space="preserve">By applying these concepts, you can ensure that your research projects are not only </w:t>
      </w:r>
      <w:r w:rsidR="00865BA6">
        <w:t>well conducted</w:t>
      </w:r>
      <w:r>
        <w:t xml:space="preserve"> but also effectively communicated to the right audiences. This, in turn, can lead to greater recognition for your work, increased opportunities for collaboration and funding, and ultimately, a more significant contribution to your field of study.</w:t>
      </w:r>
    </w:p>
    <w:p w14:paraId="247E7DC8" w14:textId="79111C8F" w:rsidR="006D2EA9" w:rsidRDefault="00D25AC9" w:rsidP="00D25AC9">
      <w:r>
        <w:lastRenderedPageBreak/>
        <w:t>As you continue your journey as a researcher, I encourage you to explore these concepts further and seek opportunities to put them into practice. Attend conferences, participate in round table discussions, and engage with other researchers to learn from their experiences and share your own insights. Remember, the more you invest in developing your presentation skills, the greater the impact your research will have on the world around you.</w:t>
      </w:r>
    </w:p>
    <w:p w14:paraId="20ED78F5" w14:textId="77777777" w:rsidR="00945824" w:rsidRPr="006D2EA9" w:rsidRDefault="00945824" w:rsidP="006D2EA9"/>
    <w:p w14:paraId="240608CD" w14:textId="77777777" w:rsidR="004F7FA8" w:rsidRDefault="004F7FA8" w:rsidP="00927AD4">
      <w:pPr>
        <w:sectPr w:rsidR="004F7FA8" w:rsidSect="00FD08D0">
          <w:headerReference w:type="default" r:id="rId309"/>
          <w:headerReference w:type="first" r:id="rId310"/>
          <w:pgSz w:w="12240" w:h="15840" w:code="1"/>
          <w:pgMar w:top="1440" w:right="1440" w:bottom="1440" w:left="1440" w:header="720" w:footer="720" w:gutter="0"/>
          <w:cols w:space="720"/>
          <w:docGrid w:linePitch="299"/>
        </w:sectPr>
      </w:pPr>
    </w:p>
    <w:p w14:paraId="28069300" w14:textId="77777777" w:rsidR="00D86348" w:rsidRPr="000E309B" w:rsidRDefault="00D86348" w:rsidP="006F2396">
      <w:pPr>
        <w:pStyle w:val="Heading1"/>
      </w:pPr>
      <w:bookmarkStart w:id="218" w:name="_Toc169156837"/>
      <w:r>
        <w:lastRenderedPageBreak/>
        <w:t>Glossary</w:t>
      </w:r>
      <w:bookmarkEnd w:id="218"/>
    </w:p>
    <w:p w14:paraId="1F42245E" w14:textId="7F3800C0" w:rsidR="00D86348" w:rsidRDefault="00D86348" w:rsidP="000E591B">
      <w:pPr>
        <w:ind w:left="720" w:hanging="720"/>
      </w:pPr>
      <w:r w:rsidRPr="00505F38">
        <w:rPr>
          <w:b/>
          <w:bCs/>
        </w:rPr>
        <w:t>Action Research</w:t>
      </w:r>
      <w:r>
        <w:t xml:space="preserve">. A research method where actions are taken during the research project </w:t>
      </w:r>
      <w:r w:rsidR="002855AF">
        <w:t>to correct</w:t>
      </w:r>
      <w:r>
        <w:t xml:space="preserve"> problems rather than developing a theory. Action research is commonly found in education</w:t>
      </w:r>
      <w:r w:rsidR="002855AF">
        <w:t>. A</w:t>
      </w:r>
      <w:r>
        <w:t xml:space="preserve"> teacher may "try</w:t>
      </w:r>
      <w:r w:rsidR="002855AF">
        <w:t xml:space="preserve"> </w:t>
      </w:r>
      <w:r>
        <w:t xml:space="preserve">out" some new teaching method </w:t>
      </w:r>
      <w:r w:rsidR="002855AF">
        <w:t>to improve</w:t>
      </w:r>
      <w:r>
        <w:t xml:space="preserve"> a lesson rather than developing a theory or publishing a peer-reviewed paper.</w:t>
      </w:r>
    </w:p>
    <w:p w14:paraId="4779FAEC" w14:textId="297268A4" w:rsidR="00D86348" w:rsidRDefault="00D86348" w:rsidP="00286379">
      <w:pPr>
        <w:ind w:left="720" w:hanging="720"/>
      </w:pPr>
      <w:r w:rsidRPr="00505F38">
        <w:rPr>
          <w:b/>
          <w:bCs/>
        </w:rPr>
        <w:t>ANCOVA</w:t>
      </w:r>
      <w:r>
        <w:t xml:space="preserve">. The "Analysis of Covariance" is used to test the effect of a categorical variable on a continuous, independent variable. The categorical variable is often a treatment in an experimental design; for example, perhaps product packaging </w:t>
      </w:r>
      <w:r w:rsidR="00DE708C">
        <w:t xml:space="preserve">color </w:t>
      </w:r>
      <w:r>
        <w:t>(categorical) is changed</w:t>
      </w:r>
      <w:r w:rsidR="00F722F6">
        <w:t>. T</w:t>
      </w:r>
      <w:r>
        <w:t xml:space="preserve">he </w:t>
      </w:r>
      <w:r w:rsidR="006F2396">
        <w:t>number</w:t>
      </w:r>
      <w:r>
        <w:t xml:space="preserve"> of sales (continuous) is analyzed to see if </w:t>
      </w:r>
      <w:r w:rsidR="00F722F6">
        <w:t xml:space="preserve">the </w:t>
      </w:r>
      <w:r>
        <w:t xml:space="preserve">color </w:t>
      </w:r>
      <w:r w:rsidR="00F722F6">
        <w:t>affects</w:t>
      </w:r>
      <w:r>
        <w:t xml:space="preserve"> the sales.</w:t>
      </w:r>
    </w:p>
    <w:p w14:paraId="2D9C023B" w14:textId="686644D1" w:rsidR="00D86348" w:rsidRDefault="00D86348" w:rsidP="00286379">
      <w:pPr>
        <w:ind w:left="720" w:hanging="720"/>
      </w:pPr>
      <w:r w:rsidRPr="00505F38">
        <w:rPr>
          <w:b/>
          <w:bCs/>
        </w:rPr>
        <w:t>ANOVA</w:t>
      </w:r>
      <w:r>
        <w:t xml:space="preserve">. A test </w:t>
      </w:r>
      <w:r w:rsidR="00100CBA">
        <w:t xml:space="preserve">that is </w:t>
      </w:r>
      <w:r>
        <w:t xml:space="preserve">used to analyze the difference in three or more groups of </w:t>
      </w:r>
      <w:r w:rsidR="00100CBA">
        <w:t>normally distributed samples</w:t>
      </w:r>
      <w:r>
        <w:t>. See T-Test.</w:t>
      </w:r>
    </w:p>
    <w:p w14:paraId="550E6ABF" w14:textId="19ADB19D" w:rsidR="00D86348" w:rsidRDefault="00D86348" w:rsidP="00286379">
      <w:pPr>
        <w:ind w:left="720" w:hanging="720"/>
      </w:pPr>
      <w:r w:rsidRPr="00505F38">
        <w:rPr>
          <w:b/>
          <w:bCs/>
        </w:rPr>
        <w:t>Applied Research</w:t>
      </w:r>
      <w:r>
        <w:t xml:space="preserve">. Research that is intended to be applied to a situation rather than further the knowledge of some topic. For example, if a researcher completes a project designed to increase </w:t>
      </w:r>
      <w:r w:rsidR="00100CBA">
        <w:t>bottled water sales in a small town,</w:t>
      </w:r>
      <w:r>
        <w:t xml:space="preserve"> </w:t>
      </w:r>
      <w:r w:rsidR="00A406A2">
        <w:t xml:space="preserve">it </w:t>
      </w:r>
      <w:r>
        <w:t>would be applied research. See Basic Research.</w:t>
      </w:r>
    </w:p>
    <w:p w14:paraId="1428B65D" w14:textId="436E20C1" w:rsidR="00CB281D" w:rsidRPr="00CB281D" w:rsidRDefault="00CB281D" w:rsidP="00286379">
      <w:pPr>
        <w:ind w:left="720" w:hanging="720"/>
      </w:pPr>
      <w:r>
        <w:rPr>
          <w:b/>
          <w:bCs/>
        </w:rPr>
        <w:t>Assumption.</w:t>
      </w:r>
      <w:r>
        <w:t xml:space="preserve"> </w:t>
      </w:r>
      <w:r w:rsidR="008A5C00" w:rsidRPr="008A5C00">
        <w:t>The boundary conditions that define the limits within which a theory is expected to apply, representing the "who, when, and where" of a theory.</w:t>
      </w:r>
    </w:p>
    <w:p w14:paraId="2F931DBB" w14:textId="1B491F47" w:rsidR="00AD2F2F" w:rsidRPr="00AD2F2F" w:rsidRDefault="00AD2F2F" w:rsidP="00286379">
      <w:pPr>
        <w:ind w:left="720" w:hanging="720"/>
      </w:pPr>
      <w:r>
        <w:rPr>
          <w:b/>
          <w:bCs/>
        </w:rPr>
        <w:t>Autonomy.</w:t>
      </w:r>
      <w:r>
        <w:t xml:space="preserve"> </w:t>
      </w:r>
      <w:r w:rsidR="00785A0E" w:rsidRPr="00785A0E">
        <w:t>The principle that individuals have the right to make their own informed decisions without coercion or undue influence.</w:t>
      </w:r>
    </w:p>
    <w:p w14:paraId="1AD8AEC1" w14:textId="6C4B009D" w:rsidR="00812642" w:rsidRPr="00812642" w:rsidRDefault="00812642" w:rsidP="00286379">
      <w:pPr>
        <w:ind w:left="720" w:hanging="720"/>
      </w:pPr>
      <w:r w:rsidRPr="00812642">
        <w:rPr>
          <w:b/>
          <w:bCs/>
        </w:rPr>
        <w:t xml:space="preserve">Axial </w:t>
      </w:r>
      <w:r>
        <w:rPr>
          <w:b/>
          <w:bCs/>
        </w:rPr>
        <w:t>C</w:t>
      </w:r>
      <w:r w:rsidRPr="00812642">
        <w:rPr>
          <w:b/>
          <w:bCs/>
        </w:rPr>
        <w:t>oding.</w:t>
      </w:r>
      <w:r w:rsidRPr="00812642">
        <w:t xml:space="preserve"> A qualitative data analysis technique in grounded theory that involves grouping related concepts into categories and exploring their properties, dimensions, and interrelationships.</w:t>
      </w:r>
    </w:p>
    <w:p w14:paraId="25220F02" w14:textId="6C2321E8" w:rsidR="00D86348" w:rsidRDefault="00D86348" w:rsidP="00286379">
      <w:pPr>
        <w:ind w:left="720" w:hanging="720"/>
      </w:pPr>
      <w:r w:rsidRPr="00505F38">
        <w:rPr>
          <w:b/>
          <w:bCs/>
        </w:rPr>
        <w:t>Basic Research</w:t>
      </w:r>
      <w:r>
        <w:t xml:space="preserve">. Research </w:t>
      </w:r>
      <w:r w:rsidR="00FE154F">
        <w:t xml:space="preserve">that is </w:t>
      </w:r>
      <w:r>
        <w:t>intended to further the knowledge of some topic rather than appl</w:t>
      </w:r>
      <w:r w:rsidR="00FE154F">
        <w:t>y</w:t>
      </w:r>
      <w:r>
        <w:t xml:space="preserve"> to a specific situation. For example, if a researcher completes a project designed to refine some aspect of the Law of Supply and Demand</w:t>
      </w:r>
      <w:r w:rsidR="00076032">
        <w:t>,</w:t>
      </w:r>
      <w:r>
        <w:t xml:space="preserve"> it would be considered basic research. See Applied Research.</w:t>
      </w:r>
    </w:p>
    <w:p w14:paraId="74044C82" w14:textId="34954228" w:rsidR="00785A0E" w:rsidRPr="00785A0E" w:rsidRDefault="00785A0E" w:rsidP="00286379">
      <w:pPr>
        <w:ind w:left="720" w:hanging="720"/>
      </w:pPr>
      <w:r>
        <w:rPr>
          <w:b/>
          <w:bCs/>
        </w:rPr>
        <w:t>Beneficence.</w:t>
      </w:r>
      <w:r>
        <w:t xml:space="preserve"> </w:t>
      </w:r>
      <w:r w:rsidR="0075102D" w:rsidRPr="0075102D">
        <w:t>The ethical principle that research should aim to do good and provide benefits to participants or society.</w:t>
      </w:r>
    </w:p>
    <w:p w14:paraId="26A68F9A" w14:textId="5F41A282" w:rsidR="00D86348" w:rsidRDefault="00D86348" w:rsidP="00286379">
      <w:pPr>
        <w:ind w:left="720" w:hanging="720"/>
      </w:pPr>
      <w:r w:rsidRPr="00505F38">
        <w:rPr>
          <w:b/>
          <w:bCs/>
        </w:rPr>
        <w:t>Bias</w:t>
      </w:r>
      <w:r>
        <w:t>. An undesired over- or under-estimate of the value of a population's parameter. Bias has many potential sources, including sampling error, measurement error, and missing data. On a survey question, bias tends to elicit a particular response which would skew the data collected.</w:t>
      </w:r>
    </w:p>
    <w:p w14:paraId="5EDFD28C" w14:textId="06D16FE3" w:rsidR="00D86348" w:rsidRDefault="00D86348" w:rsidP="00286379">
      <w:pPr>
        <w:ind w:left="720" w:hanging="720"/>
      </w:pPr>
      <w:r w:rsidRPr="00505F38">
        <w:rPr>
          <w:b/>
          <w:bCs/>
        </w:rPr>
        <w:t>Binary</w:t>
      </w:r>
      <w:r w:rsidR="00407D04">
        <w:rPr>
          <w:b/>
          <w:bCs/>
        </w:rPr>
        <w:t xml:space="preserve"> Scale</w:t>
      </w:r>
      <w:r>
        <w:t xml:space="preserve">. A scale used to measure nominal data </w:t>
      </w:r>
      <w:r w:rsidR="00076032">
        <w:t>with</w:t>
      </w:r>
      <w:r>
        <w:t xml:space="preserve"> only two values</w:t>
      </w:r>
      <w:r w:rsidR="00B751DF">
        <w:t>:</w:t>
      </w:r>
      <w:r>
        <w:t xml:space="preserve"> true/false or yes/no.</w:t>
      </w:r>
    </w:p>
    <w:p w14:paraId="4B9D2943" w14:textId="77777777" w:rsidR="00D86348" w:rsidRDefault="00D86348" w:rsidP="00286379">
      <w:pPr>
        <w:ind w:left="720" w:hanging="720"/>
      </w:pPr>
      <w:r w:rsidRPr="00505F38">
        <w:rPr>
          <w:b/>
          <w:bCs/>
        </w:rPr>
        <w:lastRenderedPageBreak/>
        <w:t>Bivariate</w:t>
      </w:r>
      <w:r>
        <w:t>. A type of analysis involving two variables. Examples of bivariate analysis include finding a correlation and regression. See Univariate.</w:t>
      </w:r>
    </w:p>
    <w:p w14:paraId="6744D876" w14:textId="53E23EC8" w:rsidR="00D86348" w:rsidRDefault="00D86348" w:rsidP="00286379">
      <w:pPr>
        <w:ind w:left="720" w:hanging="720"/>
      </w:pPr>
      <w:r w:rsidRPr="00505F38">
        <w:rPr>
          <w:b/>
          <w:bCs/>
        </w:rPr>
        <w:t>Boundary Condition</w:t>
      </w:r>
      <w:r>
        <w:t>. The assumptions about the "who, when, and where" in theory. Boundary conditions govern how a theory can be applied or not applied.</w:t>
      </w:r>
    </w:p>
    <w:p w14:paraId="2AF3446F" w14:textId="76E40700" w:rsidR="006D1CB4" w:rsidRPr="006D1CB4" w:rsidRDefault="006D1CB4" w:rsidP="00286379">
      <w:pPr>
        <w:ind w:left="720" w:hanging="720"/>
      </w:pPr>
      <w:r w:rsidRPr="006D1CB4">
        <w:rPr>
          <w:b/>
          <w:bCs/>
        </w:rPr>
        <w:t xml:space="preserve">Case </w:t>
      </w:r>
      <w:r>
        <w:rPr>
          <w:b/>
          <w:bCs/>
        </w:rPr>
        <w:t>R</w:t>
      </w:r>
      <w:r w:rsidRPr="006D1CB4">
        <w:rPr>
          <w:b/>
          <w:bCs/>
        </w:rPr>
        <w:t>esearch.</w:t>
      </w:r>
      <w:r w:rsidRPr="006D1CB4">
        <w:t xml:space="preserve"> An in-depth study of a phenomenon in its real-world context, gathering rich data from various sources to generate detailed, context-specific insights and build or test theories.</w:t>
      </w:r>
    </w:p>
    <w:p w14:paraId="57312100" w14:textId="57246994" w:rsidR="00D86348" w:rsidRDefault="00D86348" w:rsidP="00286379">
      <w:pPr>
        <w:ind w:left="720" w:hanging="720"/>
      </w:pPr>
      <w:r w:rsidRPr="00505F38">
        <w:rPr>
          <w:b/>
          <w:bCs/>
        </w:rPr>
        <w:t>Chi-Square</w:t>
      </w:r>
      <w:r>
        <w:t xml:space="preserve">. The chi-square test is used to determine </w:t>
      </w:r>
      <w:r w:rsidR="007D2B1C">
        <w:t>the</w:t>
      </w:r>
      <w:r>
        <w:t xml:space="preserve"> difference between the actual and expected result of a non-parametric (usually nominal) variable in a research project.</w:t>
      </w:r>
    </w:p>
    <w:p w14:paraId="0CA9A1BA" w14:textId="6E620001" w:rsidR="00C85ECD" w:rsidRPr="006A430E" w:rsidRDefault="006A430E" w:rsidP="00286379">
      <w:pPr>
        <w:ind w:left="720" w:hanging="720"/>
      </w:pPr>
      <w:r w:rsidRPr="006A430E">
        <w:rPr>
          <w:b/>
          <w:bCs/>
        </w:rPr>
        <w:t xml:space="preserve">Citation </w:t>
      </w:r>
      <w:r>
        <w:rPr>
          <w:b/>
          <w:bCs/>
        </w:rPr>
        <w:t>A</w:t>
      </w:r>
      <w:r w:rsidRPr="006A430E">
        <w:rPr>
          <w:b/>
          <w:bCs/>
        </w:rPr>
        <w:t>nalysis.</w:t>
      </w:r>
      <w:r w:rsidRPr="006A430E">
        <w:t xml:space="preserve"> The process of tracking how often a research work is cited by other researchers to assess its impact and influence in the field.</w:t>
      </w:r>
    </w:p>
    <w:p w14:paraId="52989384" w14:textId="1AD8DD2C" w:rsidR="002110ED" w:rsidRPr="00E720F8" w:rsidRDefault="00E720F8" w:rsidP="00286379">
      <w:pPr>
        <w:ind w:left="720" w:hanging="720"/>
      </w:pPr>
      <w:r w:rsidRPr="00E720F8">
        <w:rPr>
          <w:b/>
          <w:bCs/>
        </w:rPr>
        <w:t>Cluster sampling.</w:t>
      </w:r>
      <w:r w:rsidRPr="00E720F8">
        <w:t xml:space="preserve"> A probability sampling method where the population is divided into groups (clusters), a random sample of clusters is selected, and all members within chosen clusters are included in the sample.</w:t>
      </w:r>
    </w:p>
    <w:p w14:paraId="65A6B35F" w14:textId="71675910" w:rsidR="00816019" w:rsidRPr="00607568" w:rsidRDefault="00607568" w:rsidP="00286379">
      <w:pPr>
        <w:ind w:left="720" w:hanging="720"/>
      </w:pPr>
      <w:r w:rsidRPr="00607568">
        <w:rPr>
          <w:b/>
          <w:bCs/>
        </w:rPr>
        <w:t>Coding.</w:t>
      </w:r>
      <w:r w:rsidRPr="00607568">
        <w:t xml:space="preserve"> The process of assigning labels or categories to qualitative data in order to identify patterns, themes, and insights.</w:t>
      </w:r>
    </w:p>
    <w:p w14:paraId="3CDDFB9D" w14:textId="5F5F49FF" w:rsidR="003B34BD" w:rsidRPr="00B41B95" w:rsidRDefault="00B41B95" w:rsidP="00286379">
      <w:pPr>
        <w:ind w:left="720" w:hanging="720"/>
      </w:pPr>
      <w:r w:rsidRPr="00B41B95">
        <w:rPr>
          <w:b/>
          <w:bCs/>
        </w:rPr>
        <w:t>Cohort.</w:t>
      </w:r>
      <w:r w:rsidRPr="00B41B95">
        <w:t xml:space="preserve"> A group of individuals who share a common characteristic or experience within a defined time, often used in research to track changes over time.</w:t>
      </w:r>
    </w:p>
    <w:p w14:paraId="7AC5B732" w14:textId="61A2C7F5" w:rsidR="008E3A22" w:rsidRPr="008D1120" w:rsidRDefault="008D1120" w:rsidP="00286379">
      <w:pPr>
        <w:ind w:left="720" w:hanging="720"/>
      </w:pPr>
      <w:r w:rsidRPr="008D1120">
        <w:rPr>
          <w:b/>
          <w:bCs/>
        </w:rPr>
        <w:t>Conceptualization.</w:t>
      </w:r>
      <w:r w:rsidRPr="008D1120">
        <w:t xml:space="preserve"> The process of clearly defining and specifying the meaning of key concepts and variables in a research study.</w:t>
      </w:r>
    </w:p>
    <w:p w14:paraId="12CBD9B0" w14:textId="67AD348B" w:rsidR="00D86348" w:rsidRDefault="00D86348" w:rsidP="00286379">
      <w:pPr>
        <w:ind w:left="720" w:hanging="720"/>
      </w:pPr>
      <w:r w:rsidRPr="00505F38">
        <w:rPr>
          <w:b/>
          <w:bCs/>
        </w:rPr>
        <w:t>Concurrent Validity</w:t>
      </w:r>
      <w:r>
        <w:t xml:space="preserve">. The degree that a measure relates to an outcome that is presumed to </w:t>
      </w:r>
      <w:r w:rsidR="00EB2BF1">
        <w:t>co-occur</w:t>
      </w:r>
      <w:r>
        <w:t xml:space="preserve">. For example, </w:t>
      </w:r>
      <w:r w:rsidR="00AB3D26">
        <w:t>a new employee attitude test results</w:t>
      </w:r>
      <w:r>
        <w:t xml:space="preserve"> would be the same as an older test if those tests have high concurrent validity. See Predictive Validity.</w:t>
      </w:r>
    </w:p>
    <w:p w14:paraId="1737EBB3" w14:textId="3F85F416" w:rsidR="008E4518" w:rsidRPr="00892AE4" w:rsidRDefault="00892AE4" w:rsidP="00286379">
      <w:pPr>
        <w:ind w:left="720" w:hanging="720"/>
      </w:pPr>
      <w:r w:rsidRPr="00892AE4">
        <w:rPr>
          <w:b/>
          <w:bCs/>
        </w:rPr>
        <w:t xml:space="preserve">Confidence </w:t>
      </w:r>
      <w:r>
        <w:rPr>
          <w:b/>
          <w:bCs/>
        </w:rPr>
        <w:t>I</w:t>
      </w:r>
      <w:r w:rsidRPr="00892AE4">
        <w:rPr>
          <w:b/>
          <w:bCs/>
        </w:rPr>
        <w:t>nterval.</w:t>
      </w:r>
      <w:r w:rsidRPr="00892AE4">
        <w:t xml:space="preserve"> A range of values that is likely to contain the true population parameter with a specified level of confidence, usually 95%.</w:t>
      </w:r>
    </w:p>
    <w:p w14:paraId="73D7B03C" w14:textId="5D6F7066" w:rsidR="0075102D" w:rsidRDefault="0075102D" w:rsidP="00286379">
      <w:pPr>
        <w:ind w:left="720" w:hanging="720"/>
        <w:rPr>
          <w:b/>
          <w:bCs/>
        </w:rPr>
      </w:pPr>
      <w:r w:rsidRPr="0075102D">
        <w:rPr>
          <w:b/>
          <w:bCs/>
        </w:rPr>
        <w:t>Confidentiality</w:t>
      </w:r>
      <w:r>
        <w:rPr>
          <w:b/>
          <w:bCs/>
        </w:rPr>
        <w:t>.</w:t>
      </w:r>
      <w:r w:rsidRPr="0075102D">
        <w:t xml:space="preserve"> The practice of keeping information shared by research participants private and not disclosing it to unauthorized parties.</w:t>
      </w:r>
    </w:p>
    <w:p w14:paraId="503C59AF" w14:textId="7FEF2FCE" w:rsidR="008D1120" w:rsidRPr="008D1120" w:rsidRDefault="008D1120" w:rsidP="00286379">
      <w:pPr>
        <w:ind w:left="720" w:hanging="720"/>
      </w:pPr>
      <w:r w:rsidRPr="008D1120">
        <w:rPr>
          <w:b/>
          <w:bCs/>
        </w:rPr>
        <w:t>Confounding variables.</w:t>
      </w:r>
      <w:r w:rsidRPr="008D1120">
        <w:t xml:space="preserve"> Additional factors that may unexpectedly influence the relationship between the independent and dependent variables, potentially affecting the results if </w:t>
      </w:r>
      <w:r w:rsidR="003B2443">
        <w:t>ignored</w:t>
      </w:r>
      <w:r w:rsidRPr="008D1120">
        <w:t>.</w:t>
      </w:r>
    </w:p>
    <w:p w14:paraId="316B02DD" w14:textId="4F321AD6" w:rsidR="00D86348" w:rsidRDefault="00D86348" w:rsidP="00286379">
      <w:pPr>
        <w:ind w:left="720" w:hanging="720"/>
      </w:pPr>
      <w:r w:rsidRPr="00505F38">
        <w:rPr>
          <w:b/>
          <w:bCs/>
        </w:rPr>
        <w:t>Construct</w:t>
      </w:r>
      <w:r w:rsidR="00EB2BF1">
        <w:rPr>
          <w:b/>
          <w:bCs/>
        </w:rPr>
        <w:t xml:space="preserve">. </w:t>
      </w:r>
      <w:r w:rsidR="00EB2BF1" w:rsidRPr="00EB2BF1">
        <w:t>T</w:t>
      </w:r>
      <w:r w:rsidRPr="00EB2BF1">
        <w:t>he</w:t>
      </w:r>
      <w:r>
        <w:t xml:space="preserve"> characteristic of a person or organization to be assessed. </w:t>
      </w:r>
      <w:r w:rsidR="00520B86">
        <w:t>Typic</w:t>
      </w:r>
      <w:r>
        <w:t>ally, a construct is not directly measurable</w:t>
      </w:r>
      <w:r w:rsidR="00520B86">
        <w:t>,</w:t>
      </w:r>
      <w:r>
        <w:t xml:space="preserve"> so various indirect indicators must be used. Examples of </w:t>
      </w:r>
      <w:r>
        <w:lastRenderedPageBreak/>
        <w:t>constructs include employee attitude, happiness, or self-esteem. Usually, researchers operationalize a concept by defining it in measurable terms, and that becomes a construct.</w:t>
      </w:r>
    </w:p>
    <w:p w14:paraId="7159AE86" w14:textId="4FBA4D7D" w:rsidR="00D86348" w:rsidRDefault="00D86348" w:rsidP="00286379">
      <w:pPr>
        <w:ind w:left="720" w:hanging="720"/>
      </w:pPr>
      <w:r w:rsidRPr="00505F38">
        <w:rPr>
          <w:b/>
          <w:bCs/>
        </w:rPr>
        <w:t>Construct Validity</w:t>
      </w:r>
      <w:r>
        <w:t xml:space="preserve">. The degree to which a test measures what it claims to measure. For example, if a research project purports to investigate </w:t>
      </w:r>
      <w:r w:rsidR="00AB3D26">
        <w:t>one</w:t>
      </w:r>
      <w:r>
        <w:t xml:space="preserve"> aspect of </w:t>
      </w:r>
      <w:r w:rsidR="00AB3D26">
        <w:t xml:space="preserve">the </w:t>
      </w:r>
      <w:r>
        <w:t>local farmers' market, does the project research that aspect? Construct validity is sometimes thought to be the overarching type of validity since research projects that do not address the construct of interest can have no other validity. See Validity.</w:t>
      </w:r>
    </w:p>
    <w:p w14:paraId="18894D82" w14:textId="09DC418F" w:rsidR="00D86348" w:rsidRDefault="00D86348" w:rsidP="00286379">
      <w:pPr>
        <w:ind w:left="720" w:hanging="720"/>
      </w:pPr>
      <w:r w:rsidRPr="00505F38">
        <w:rPr>
          <w:b/>
          <w:bCs/>
        </w:rPr>
        <w:t>Constructivism</w:t>
      </w:r>
      <w:r>
        <w:t xml:space="preserve">. A philosophical stance that reality is a construct of the human mind and is, therefore, subjective. </w:t>
      </w:r>
      <w:r w:rsidR="00181935">
        <w:t>Typic</w:t>
      </w:r>
      <w:r>
        <w:t>ally, qualitative research methods are used by researchers who are constructivists.</w:t>
      </w:r>
    </w:p>
    <w:p w14:paraId="666F2D65" w14:textId="260E684B" w:rsidR="00D86348" w:rsidRDefault="00D86348" w:rsidP="00286379">
      <w:pPr>
        <w:ind w:left="720" w:hanging="720"/>
      </w:pPr>
      <w:r w:rsidRPr="00505F38">
        <w:rPr>
          <w:b/>
          <w:bCs/>
        </w:rPr>
        <w:t>Content Validity</w:t>
      </w:r>
      <w:r>
        <w:t xml:space="preserve">. A determination of whether a measure correctly assesses the construct's content. For example, if a research project is attempting to determine </w:t>
      </w:r>
      <w:r w:rsidR="009C199D">
        <w:t>what</w:t>
      </w:r>
      <w:r>
        <w:t xml:space="preserve"> driv</w:t>
      </w:r>
      <w:r w:rsidR="009C199D">
        <w:t>es</w:t>
      </w:r>
      <w:r>
        <w:t xml:space="preserve"> sales </w:t>
      </w:r>
      <w:r w:rsidR="00000F89">
        <w:t>but</w:t>
      </w:r>
      <w:r>
        <w:t xml:space="preserve"> only measure</w:t>
      </w:r>
      <w:r w:rsidR="009C199D">
        <w:t>s</w:t>
      </w:r>
      <w:r>
        <w:t xml:space="preserve"> the price of the merchandise being sold </w:t>
      </w:r>
      <w:r w:rsidR="00000F89">
        <w:t>and</w:t>
      </w:r>
      <w:r>
        <w:t xml:space="preserve"> ignor</w:t>
      </w:r>
      <w:r w:rsidR="000F5A10">
        <w:t>es</w:t>
      </w:r>
      <w:r>
        <w:t xml:space="preserve"> factors like advertising</w:t>
      </w:r>
      <w:r w:rsidR="000F5A10">
        <w:t xml:space="preserve"> and</w:t>
      </w:r>
      <w:r>
        <w:t xml:space="preserve"> competition would call into question the content validity of the study. See Validity.</w:t>
      </w:r>
    </w:p>
    <w:p w14:paraId="522D6C3C" w14:textId="393B933C" w:rsidR="00D86348" w:rsidRDefault="00D86348" w:rsidP="00286379">
      <w:pPr>
        <w:ind w:left="720" w:hanging="720"/>
      </w:pPr>
      <w:r w:rsidRPr="00505F38">
        <w:rPr>
          <w:b/>
          <w:bCs/>
        </w:rPr>
        <w:t>Continuous Data</w:t>
      </w:r>
      <w:r>
        <w:t xml:space="preserve">. Continuous data are quantitative data that can represent any measured value, including fractions and decimals. In mathematics terms, continuous data are members of the </w:t>
      </w:r>
      <w:r w:rsidR="00CD55B5">
        <w:t>R</w:t>
      </w:r>
      <w:r>
        <w:t xml:space="preserve">eal </w:t>
      </w:r>
      <w:r w:rsidR="00CD55B5">
        <w:t>N</w:t>
      </w:r>
      <w:r>
        <w:t xml:space="preserve">umber </w:t>
      </w:r>
      <w:r w:rsidR="00CD55B5">
        <w:t>S</w:t>
      </w:r>
      <w:r>
        <w:t>ystem. See Quantitative Data.</w:t>
      </w:r>
    </w:p>
    <w:p w14:paraId="4D03642E" w14:textId="047F1BEA" w:rsidR="008A5C00" w:rsidRPr="008A5C00" w:rsidRDefault="008A5C00" w:rsidP="00286379">
      <w:pPr>
        <w:ind w:left="720" w:hanging="720"/>
      </w:pPr>
      <w:r>
        <w:rPr>
          <w:b/>
          <w:bCs/>
        </w:rPr>
        <w:t>Control Variable.</w:t>
      </w:r>
      <w:r>
        <w:t xml:space="preserve"> </w:t>
      </w:r>
      <w:r w:rsidR="00F74745" w:rsidRPr="00F74745">
        <w:t>A variable that is not directly relevant to the study but must be controlled to minimize its impact on the research findings.</w:t>
      </w:r>
    </w:p>
    <w:p w14:paraId="339E0CE5" w14:textId="72EB6EB7" w:rsidR="00D86348" w:rsidRDefault="00D86348" w:rsidP="00286379">
      <w:pPr>
        <w:ind w:left="720" w:hanging="720"/>
      </w:pPr>
      <w:r w:rsidRPr="00505F38">
        <w:rPr>
          <w:b/>
          <w:bCs/>
        </w:rPr>
        <w:t>CPI</w:t>
      </w:r>
      <w:r>
        <w:t>. Consumer Price Index.</w:t>
      </w:r>
    </w:p>
    <w:p w14:paraId="51617186" w14:textId="25706A6C" w:rsidR="00D86348" w:rsidRDefault="00D86348" w:rsidP="00286379">
      <w:pPr>
        <w:ind w:left="720" w:hanging="720"/>
      </w:pPr>
      <w:r w:rsidRPr="00505F38">
        <w:rPr>
          <w:b/>
          <w:bCs/>
        </w:rPr>
        <w:t>Covariate</w:t>
      </w:r>
      <w:r>
        <w:t>. A covariate is a variable that is potentially predictive of the outcome of other variables in an experimental design. Covariates may be of interest due to their predictive nature</w:t>
      </w:r>
      <w:r w:rsidR="00CD55B5">
        <w:t>,</w:t>
      </w:r>
      <w:r>
        <w:t xml:space="preserve"> or they may be confounding variables that need to be controlled.</w:t>
      </w:r>
    </w:p>
    <w:p w14:paraId="224D14B2" w14:textId="52E2C25A" w:rsidR="00D86348" w:rsidRDefault="00D86348" w:rsidP="00286379">
      <w:pPr>
        <w:ind w:left="720" w:hanging="720"/>
      </w:pPr>
      <w:r w:rsidRPr="00505F38">
        <w:rPr>
          <w:b/>
          <w:bCs/>
        </w:rPr>
        <w:t>Convergent Validity</w:t>
      </w:r>
      <w:r>
        <w:t>. The closeness that two measures relate to</w:t>
      </w:r>
      <w:r w:rsidR="00EC527B">
        <w:t>, or</w:t>
      </w:r>
      <w:r>
        <w:t xml:space="preserve"> "converge on</w:t>
      </w:r>
      <w:r w:rsidR="00EC527B">
        <w:t>,</w:t>
      </w:r>
      <w:r>
        <w:t xml:space="preserve">" a single construct. For example, if a research project measures the </w:t>
      </w:r>
      <w:r w:rsidR="00EC527B">
        <w:t>number</w:t>
      </w:r>
      <w:r>
        <w:t xml:space="preserve"> of sales of carbonated drinks, fruit juices, and bottled water in a store</w:t>
      </w:r>
      <w:r w:rsidR="00EC527B">
        <w:t>,</w:t>
      </w:r>
      <w:r>
        <w:t xml:space="preserve"> it would be expected that those would converge on a construct of "drink sales." See Discriminant Validity.</w:t>
      </w:r>
    </w:p>
    <w:p w14:paraId="56F48770" w14:textId="1894F837" w:rsidR="00FF4F55" w:rsidRPr="003B423D" w:rsidRDefault="003B423D" w:rsidP="00286379">
      <w:pPr>
        <w:ind w:left="720" w:hanging="720"/>
      </w:pPr>
      <w:r w:rsidRPr="003B423D">
        <w:rPr>
          <w:b/>
          <w:bCs/>
        </w:rPr>
        <w:t xml:space="preserve">Covert </w:t>
      </w:r>
      <w:r>
        <w:rPr>
          <w:b/>
          <w:bCs/>
        </w:rPr>
        <w:t>R</w:t>
      </w:r>
      <w:r w:rsidRPr="003B423D">
        <w:rPr>
          <w:b/>
          <w:bCs/>
        </w:rPr>
        <w:t>esearch.</w:t>
      </w:r>
      <w:r w:rsidRPr="003B423D">
        <w:t xml:space="preserve"> A research approach where the researcher does not disclose their purpose or identity to participants, in contrast to overt research where the researcher is transparent about their role and intentions.</w:t>
      </w:r>
    </w:p>
    <w:p w14:paraId="021FC38A" w14:textId="2CA527CC" w:rsidR="00D86348" w:rsidRDefault="00D86348" w:rsidP="00286379">
      <w:pPr>
        <w:ind w:left="720" w:hanging="720"/>
      </w:pPr>
      <w:r w:rsidRPr="00505F38">
        <w:rPr>
          <w:b/>
          <w:bCs/>
        </w:rPr>
        <w:t>Correlation</w:t>
      </w:r>
      <w:r>
        <w:t xml:space="preserve">. A correlation is a relationship between two variables. Correlations are </w:t>
      </w:r>
      <w:r w:rsidR="00EC527B">
        <w:t>typic</w:t>
      </w:r>
      <w:r>
        <w:t xml:space="preserve">ally defined statistically as a value between -1.00 and +1.00. Correlations should not be confused with causation but only indicate that two variables seem to vary together. </w:t>
      </w:r>
    </w:p>
    <w:p w14:paraId="179D3491" w14:textId="77777777" w:rsidR="00D86348" w:rsidRDefault="00D86348" w:rsidP="00286379">
      <w:pPr>
        <w:ind w:left="720" w:hanging="720"/>
      </w:pPr>
      <w:r w:rsidRPr="00505F38">
        <w:rPr>
          <w:b/>
          <w:bCs/>
        </w:rPr>
        <w:t>Criterion Validity</w:t>
      </w:r>
      <w:r>
        <w:t>. The degree to which a measure is related to an outcome. See Validity.</w:t>
      </w:r>
    </w:p>
    <w:p w14:paraId="04F65155" w14:textId="57FDAD9C" w:rsidR="00D86348" w:rsidRDefault="00D86348" w:rsidP="00286379">
      <w:pPr>
        <w:ind w:left="720" w:hanging="720"/>
      </w:pPr>
      <w:r w:rsidRPr="00505F38">
        <w:rPr>
          <w:b/>
          <w:bCs/>
        </w:rPr>
        <w:lastRenderedPageBreak/>
        <w:t>Cross-Sectional</w:t>
      </w:r>
      <w:r>
        <w:t xml:space="preserve">. A type of research that is conducted </w:t>
      </w:r>
      <w:r w:rsidR="005F3783">
        <w:t>at</w:t>
      </w:r>
      <w:r>
        <w:t xml:space="preserve"> a single point in time that crosses multiple analytical units. This </w:t>
      </w:r>
      <w:r w:rsidR="005F3783">
        <w:t xml:space="preserve">type of study </w:t>
      </w:r>
      <w:r>
        <w:t xml:space="preserve">is most often a survey but could be </w:t>
      </w:r>
      <w:r w:rsidR="00795662">
        <w:t xml:space="preserve">used </w:t>
      </w:r>
      <w:r w:rsidR="00101629">
        <w:t>by</w:t>
      </w:r>
      <w:r>
        <w:t xml:space="preserve"> other research methods. For example, a survey of several different small business owners in a single city would be cross-sectional. See Longitudinal.</w:t>
      </w:r>
    </w:p>
    <w:p w14:paraId="789AEC43" w14:textId="1917CB5F" w:rsidR="00D86348" w:rsidRDefault="00D86348" w:rsidP="00286379">
      <w:pPr>
        <w:ind w:left="720" w:hanging="720"/>
      </w:pPr>
      <w:r w:rsidRPr="003A1B60">
        <w:rPr>
          <w:b/>
          <w:bCs/>
        </w:rPr>
        <w:t>Database</w:t>
      </w:r>
      <w:r>
        <w:t xml:space="preserve">. A database is a collection of data that is organized </w:t>
      </w:r>
      <w:r w:rsidR="008A77D3">
        <w:t>to</w:t>
      </w:r>
      <w:r>
        <w:t xml:space="preserve"> be easily managed. While the internal structure can be complex, it is typically represented as tables with data in rows and columns, like a spread sheet.</w:t>
      </w:r>
    </w:p>
    <w:p w14:paraId="6A66C3FE" w14:textId="0CAB32F4" w:rsidR="00D86348" w:rsidRDefault="00D86348" w:rsidP="00286379">
      <w:pPr>
        <w:ind w:left="720" w:hanging="720"/>
      </w:pPr>
      <w:r w:rsidRPr="003A1B60">
        <w:rPr>
          <w:b/>
          <w:bCs/>
        </w:rPr>
        <w:t>Deductive Research</w:t>
      </w:r>
      <w:r>
        <w:t>. A research methodology that works from a general theory to specific observations. This</w:t>
      </w:r>
      <w:r w:rsidR="008A77D3">
        <w:t xml:space="preserve"> type of research</w:t>
      </w:r>
      <w:r>
        <w:t xml:space="preserve"> is sometimes called "theory-testing</w:t>
      </w:r>
      <w:r w:rsidR="008A77D3">
        <w:t>.</w:t>
      </w:r>
      <w:r>
        <w:t>"</w:t>
      </w:r>
    </w:p>
    <w:p w14:paraId="0379D8A5" w14:textId="1BB11FE2" w:rsidR="00D86348" w:rsidRDefault="00D86348" w:rsidP="00286379">
      <w:pPr>
        <w:ind w:left="720" w:hanging="720"/>
      </w:pPr>
      <w:r w:rsidRPr="003A1B60">
        <w:rPr>
          <w:b/>
          <w:bCs/>
        </w:rPr>
        <w:t>Dependent Variable</w:t>
      </w:r>
      <w:r>
        <w:t>. Dependent variables are the outcomes for an observation. For example, if a medical researcher conducts an experiment where a drug is administered</w:t>
      </w:r>
      <w:r w:rsidR="00FB2DA0">
        <w:t>,</w:t>
      </w:r>
      <w:r>
        <w:t xml:space="preserve"> and then the patient's blood pressure is measured, the blood pressure reading is the dependent variable; that is, the blood pressure depends on the drug being administered. See Independent Variable.</w:t>
      </w:r>
    </w:p>
    <w:p w14:paraId="7478DE99" w14:textId="77777777" w:rsidR="00D86348" w:rsidRDefault="00D86348" w:rsidP="00286379">
      <w:pPr>
        <w:ind w:left="720" w:hanging="720"/>
      </w:pPr>
      <w:r w:rsidRPr="003A1B60">
        <w:rPr>
          <w:b/>
          <w:bCs/>
        </w:rPr>
        <w:t>Descriptive Research</w:t>
      </w:r>
      <w:r>
        <w:t>. Research that is designed to describe observed phenomena. The goal is to improve understanding rather than explore new ideas. See Exploratory Research.</w:t>
      </w:r>
    </w:p>
    <w:p w14:paraId="431BD9BA" w14:textId="6C5C877C" w:rsidR="0050104B" w:rsidRPr="0050104B" w:rsidRDefault="0050104B" w:rsidP="00286379">
      <w:pPr>
        <w:ind w:left="720" w:hanging="720"/>
      </w:pPr>
      <w:r w:rsidRPr="0050104B">
        <w:rPr>
          <w:b/>
          <w:bCs/>
        </w:rPr>
        <w:t>Dichotomous.</w:t>
      </w:r>
      <w:r w:rsidRPr="0050104B">
        <w:t xml:space="preserve"> A type of data or response that has only two possible categories or values, such as yes/no or true/false.</w:t>
      </w:r>
    </w:p>
    <w:p w14:paraId="5C00774F" w14:textId="3FFF603D" w:rsidR="00D86348" w:rsidRDefault="00D86348" w:rsidP="00286379">
      <w:pPr>
        <w:ind w:left="720" w:hanging="720"/>
      </w:pPr>
      <w:r w:rsidRPr="003A1B60">
        <w:rPr>
          <w:b/>
          <w:bCs/>
        </w:rPr>
        <w:t>Discrete Data</w:t>
      </w:r>
      <w:r>
        <w:t>. Discrete data are a type of quantitative data that can be counted with integers. See Quantitative Data.</w:t>
      </w:r>
    </w:p>
    <w:p w14:paraId="18EE08EA" w14:textId="3D53C15D" w:rsidR="00D86348" w:rsidRDefault="00D86348" w:rsidP="00286379">
      <w:pPr>
        <w:ind w:left="720" w:hanging="720"/>
      </w:pPr>
      <w:r w:rsidRPr="003A1B60">
        <w:rPr>
          <w:b/>
          <w:bCs/>
        </w:rPr>
        <w:t>Discriminant Validity</w:t>
      </w:r>
      <w:r>
        <w:t xml:space="preserve">. The degree that a measure does </w:t>
      </w:r>
      <w:r w:rsidRPr="00565AC0">
        <w:rPr>
          <w:i/>
          <w:iCs/>
        </w:rPr>
        <w:t>not</w:t>
      </w:r>
      <w:r>
        <w:t xml:space="preserve"> measure,</w:t>
      </w:r>
      <w:r w:rsidR="00565AC0">
        <w:t xml:space="preserve"> or</w:t>
      </w:r>
      <w:r>
        <w:t xml:space="preserve"> "discriminates between," one of two competing constructs. For example, a measure of the sale of toiletries in a department store would not be related to the construct of "drink sales." See Convergent Validity.</w:t>
      </w:r>
    </w:p>
    <w:p w14:paraId="650F968F" w14:textId="4E02128A" w:rsidR="006A430E" w:rsidRPr="00F24156" w:rsidRDefault="00F24156" w:rsidP="00286379">
      <w:pPr>
        <w:ind w:left="720" w:hanging="720"/>
      </w:pPr>
      <w:r w:rsidRPr="00F24156">
        <w:rPr>
          <w:b/>
          <w:bCs/>
        </w:rPr>
        <w:t>Dissemination.</w:t>
      </w:r>
      <w:r w:rsidRPr="00F24156">
        <w:t xml:space="preserve"> The act of sharing research findings with relevant audiences through various channels, such as publications, presentations, and media outreach.</w:t>
      </w:r>
    </w:p>
    <w:p w14:paraId="750066E0" w14:textId="40A7164E" w:rsidR="00B175F7" w:rsidRPr="001F5CE6" w:rsidRDefault="00B175F7" w:rsidP="00286379">
      <w:pPr>
        <w:ind w:left="720" w:hanging="720"/>
      </w:pPr>
      <w:r>
        <w:rPr>
          <w:b/>
          <w:bCs/>
        </w:rPr>
        <w:t>Empirical Research.</w:t>
      </w:r>
      <w:r w:rsidRPr="001F5CE6">
        <w:t xml:space="preserve"> </w:t>
      </w:r>
      <w:r w:rsidR="001F5CE6" w:rsidRPr="001F5CE6">
        <w:t xml:space="preserve">Research </w:t>
      </w:r>
      <w:r w:rsidR="00BE2A2E">
        <w:t>based on</w:t>
      </w:r>
      <w:r w:rsidR="00771D8B">
        <w:t xml:space="preserve"> </w:t>
      </w:r>
      <w:r w:rsidR="001F5CE6" w:rsidRPr="001F5CE6">
        <w:t>observation and measurement of phenomena, used to test theories against evidence.</w:t>
      </w:r>
    </w:p>
    <w:p w14:paraId="7ED8AC1B" w14:textId="71521519" w:rsidR="00D86348" w:rsidRDefault="00D86348" w:rsidP="00286379">
      <w:pPr>
        <w:ind w:left="720" w:hanging="720"/>
      </w:pPr>
      <w:r w:rsidRPr="003A1B60">
        <w:rPr>
          <w:b/>
          <w:bCs/>
        </w:rPr>
        <w:t>Epistemology</w:t>
      </w:r>
      <w:r>
        <w:t>. A branch of philosophy that is concerned with the sources of knowledge.</w:t>
      </w:r>
    </w:p>
    <w:p w14:paraId="02F921B1" w14:textId="622D33E2" w:rsidR="003E46B3" w:rsidRPr="00E45760" w:rsidRDefault="00E45760" w:rsidP="00286379">
      <w:pPr>
        <w:ind w:left="720" w:hanging="720"/>
      </w:pPr>
      <w:r w:rsidRPr="00E45760">
        <w:rPr>
          <w:b/>
          <w:bCs/>
        </w:rPr>
        <w:t>Ethics</w:t>
      </w:r>
      <w:r>
        <w:rPr>
          <w:b/>
          <w:bCs/>
        </w:rPr>
        <w:t>.</w:t>
      </w:r>
      <w:r w:rsidRPr="00E45760">
        <w:t xml:space="preserve"> Moral principles that govern the conduct of individuals or groups, particularly in research contexts.</w:t>
      </w:r>
    </w:p>
    <w:p w14:paraId="594F835D" w14:textId="72AD71F1" w:rsidR="00D86348" w:rsidRDefault="00D86348" w:rsidP="00286379">
      <w:pPr>
        <w:ind w:left="720" w:hanging="720"/>
      </w:pPr>
      <w:r w:rsidRPr="00CC75C2">
        <w:rPr>
          <w:b/>
          <w:bCs/>
        </w:rPr>
        <w:t>Ethnography</w:t>
      </w:r>
      <w:r>
        <w:t xml:space="preserve">. A research method where culture is </w:t>
      </w:r>
      <w:r w:rsidR="00F74745">
        <w:t>studied</w:t>
      </w:r>
      <w:r>
        <w:t xml:space="preserve">. Typically, researchers "join" a culture and observe social interactions from within. </w:t>
      </w:r>
      <w:r w:rsidR="00565AC0">
        <w:t>For</w:t>
      </w:r>
      <w:r>
        <w:t xml:space="preserve"> example, a researcher who lives in a </w:t>
      </w:r>
      <w:r>
        <w:lastRenderedPageBreak/>
        <w:t>commune for several years and then writes about social interactions observed is conducting ethnographic research.</w:t>
      </w:r>
    </w:p>
    <w:p w14:paraId="5A6F74DB" w14:textId="77777777" w:rsidR="00D86348" w:rsidRDefault="00D86348" w:rsidP="00286379">
      <w:pPr>
        <w:ind w:left="720" w:hanging="720"/>
      </w:pPr>
      <w:r w:rsidRPr="00CC75C2">
        <w:rPr>
          <w:b/>
          <w:bCs/>
        </w:rPr>
        <w:t>Excess Kurtosis</w:t>
      </w:r>
      <w:r>
        <w:t>. Excess kurtosis is a measure of the "tailedness" of a normal distribution. Greater excess kurtosis values indicate longer "tails" (and a "sharper" appearance) on the graph of the distribution.</w:t>
      </w:r>
    </w:p>
    <w:p w14:paraId="0995EACA" w14:textId="7DE517D0" w:rsidR="00D72AA1" w:rsidRPr="001A313F" w:rsidRDefault="001A313F" w:rsidP="00286379">
      <w:pPr>
        <w:ind w:left="720" w:hanging="720"/>
      </w:pPr>
      <w:r w:rsidRPr="001A313F">
        <w:rPr>
          <w:b/>
          <w:bCs/>
        </w:rPr>
        <w:t>Exegesis.</w:t>
      </w:r>
      <w:r w:rsidRPr="001A313F">
        <w:t xml:space="preserve"> The critical explanation or interpretation of a text, especially a religious text, to understand its meaning and significance.</w:t>
      </w:r>
    </w:p>
    <w:p w14:paraId="404CA809" w14:textId="2D03E5DC" w:rsidR="0050104B" w:rsidRPr="00CC3390" w:rsidRDefault="00CC3390" w:rsidP="00286379">
      <w:pPr>
        <w:ind w:left="720" w:hanging="720"/>
      </w:pPr>
      <w:r w:rsidRPr="00CC3390">
        <w:rPr>
          <w:b/>
          <w:bCs/>
        </w:rPr>
        <w:t>Exhaustive.</w:t>
      </w:r>
      <w:r w:rsidRPr="00CC3390">
        <w:t xml:space="preserve"> A property of a set of response options in which every possible answer is covered by one of the provided choices.</w:t>
      </w:r>
    </w:p>
    <w:p w14:paraId="00E2C8E2" w14:textId="34C68E44" w:rsidR="00D86348" w:rsidRDefault="00D86348" w:rsidP="00286379">
      <w:pPr>
        <w:ind w:left="720" w:hanging="720"/>
      </w:pPr>
      <w:r w:rsidRPr="00CC75C2">
        <w:rPr>
          <w:b/>
          <w:bCs/>
        </w:rPr>
        <w:t>Explanatory Power</w:t>
      </w:r>
      <w:r>
        <w:t>. A theory or hypothesis has explanatory power if it accurately predicts phenomena. Th</w:t>
      </w:r>
      <w:r w:rsidR="00D315B8">
        <w:t xml:space="preserve">e </w:t>
      </w:r>
      <w:r w:rsidR="0015372D">
        <w:t>strength</w:t>
      </w:r>
      <w:r w:rsidR="00D315B8">
        <w:t xml:space="preserve"> of </w:t>
      </w:r>
      <w:r w:rsidR="0015372D">
        <w:t>the predi</w:t>
      </w:r>
      <w:r w:rsidR="00B751DF">
        <w:t>c</w:t>
      </w:r>
      <w:r w:rsidR="0015372D">
        <w:t>tion</w:t>
      </w:r>
      <w:r>
        <w:t xml:space="preserve"> can be statistically measured in quantitative research projects by calculating variance in regression analysis.</w:t>
      </w:r>
    </w:p>
    <w:p w14:paraId="174138FB" w14:textId="458CF546" w:rsidR="00D86348" w:rsidRDefault="00D86348" w:rsidP="00286379">
      <w:pPr>
        <w:ind w:left="720" w:hanging="720"/>
      </w:pPr>
      <w:r w:rsidRPr="00CC75C2">
        <w:rPr>
          <w:b/>
          <w:bCs/>
        </w:rPr>
        <w:t>Explanatory Research</w:t>
      </w:r>
      <w:r>
        <w:t>. Research that is designed to explain observed phenomena or proces</w:t>
      </w:r>
      <w:r w:rsidR="0015372D">
        <w:t>se</w:t>
      </w:r>
      <w:r>
        <w:t>s. See Exploratory Research.</w:t>
      </w:r>
    </w:p>
    <w:p w14:paraId="3C33B579" w14:textId="4BAA557F" w:rsidR="00D86348" w:rsidRDefault="00D86348" w:rsidP="00286379">
      <w:pPr>
        <w:ind w:left="720" w:hanging="720"/>
      </w:pPr>
      <w:r w:rsidRPr="00CC75C2">
        <w:rPr>
          <w:b/>
          <w:bCs/>
        </w:rPr>
        <w:t>Exploratory Research</w:t>
      </w:r>
      <w:r>
        <w:t>. Research that explores data to find new ideas.</w:t>
      </w:r>
    </w:p>
    <w:p w14:paraId="26C5C274" w14:textId="5371905A" w:rsidR="00D86348" w:rsidRDefault="00D86348" w:rsidP="00286379">
      <w:pPr>
        <w:ind w:left="720" w:hanging="720"/>
      </w:pPr>
      <w:r w:rsidRPr="00CC75C2">
        <w:rPr>
          <w:b/>
          <w:bCs/>
        </w:rPr>
        <w:t>External Validity</w:t>
      </w:r>
      <w:r>
        <w:t xml:space="preserve">. The degree to which a research project's results can be applied outside the context of the study. For example, if </w:t>
      </w:r>
      <w:r w:rsidR="0015372D">
        <w:t xml:space="preserve">a research project that studied manufacturing firms in the </w:t>
      </w:r>
      <w:r w:rsidR="00937CA4">
        <w:t>Midwest</w:t>
      </w:r>
      <w:r w:rsidR="0015372D">
        <w:t xml:space="preserve"> could be applied to firms in the </w:t>
      </w:r>
      <w:r w:rsidR="00937CA4">
        <w:t>S</w:t>
      </w:r>
      <w:r w:rsidR="0015372D">
        <w:t>outh,</w:t>
      </w:r>
      <w:r>
        <w:t xml:space="preserve"> that study would have high external validity. See Validity.</w:t>
      </w:r>
    </w:p>
    <w:p w14:paraId="0BC1B60F" w14:textId="259FDD36" w:rsidR="00D86348" w:rsidRDefault="00D86348" w:rsidP="00286379">
      <w:pPr>
        <w:ind w:left="720" w:hanging="720"/>
      </w:pPr>
      <w:r w:rsidRPr="00CC75C2">
        <w:rPr>
          <w:b/>
          <w:bCs/>
        </w:rPr>
        <w:t>Face Validity</w:t>
      </w:r>
      <w:r>
        <w:t xml:space="preserve">. A determination of whether an indicator is a reasonable measure of an underlying construct "on its face." For example, is the amount of money spent on live theater tickets a measure </w:t>
      </w:r>
      <w:r w:rsidR="00B62E1C">
        <w:t xml:space="preserve">of </w:t>
      </w:r>
      <w:r>
        <w:t>social class? See Validity.</w:t>
      </w:r>
    </w:p>
    <w:p w14:paraId="21720FBA" w14:textId="3BF3CC7D" w:rsidR="00D86348" w:rsidRDefault="00D86348" w:rsidP="00286379">
      <w:pPr>
        <w:ind w:left="720" w:hanging="720"/>
      </w:pPr>
      <w:r w:rsidRPr="00CC75C2">
        <w:rPr>
          <w:b/>
          <w:bCs/>
        </w:rPr>
        <w:t>Factorial Design</w:t>
      </w:r>
      <w:r>
        <w:t xml:space="preserve">. An experimental design where several factors are studied to determine which has the </w:t>
      </w:r>
      <w:r w:rsidR="00B62E1C">
        <w:t>most significan</w:t>
      </w:r>
      <w:r>
        <w:t xml:space="preserve">t influence </w:t>
      </w:r>
      <w:r w:rsidR="007014D3">
        <w:t>on</w:t>
      </w:r>
      <w:r w:rsidR="00F74745">
        <w:t xml:space="preserve"> </w:t>
      </w:r>
      <w:r w:rsidR="007014D3">
        <w:t>the subject</w:t>
      </w:r>
      <w:r>
        <w:t>. For example, the sales of a product could be analyzed as a factor of time of day, location of the store, price, and other factors.</w:t>
      </w:r>
    </w:p>
    <w:p w14:paraId="2FD227D7" w14:textId="023ADB8E" w:rsidR="00D86348" w:rsidRDefault="00D86348" w:rsidP="00286379">
      <w:pPr>
        <w:ind w:left="720" w:hanging="720"/>
      </w:pPr>
      <w:r w:rsidRPr="00CC75C2">
        <w:rPr>
          <w:b/>
          <w:bCs/>
        </w:rPr>
        <w:t>Falsifiability</w:t>
      </w:r>
      <w:r>
        <w:t xml:space="preserve">. </w:t>
      </w:r>
      <w:r w:rsidR="00CE5BEC">
        <w:t xml:space="preserve">A </w:t>
      </w:r>
      <w:r>
        <w:t>theory or hypothesis must be disprovable; that is, there must be a way to prove it wrong using evidence.</w:t>
      </w:r>
    </w:p>
    <w:p w14:paraId="2C4F31B5" w14:textId="09DC42AB" w:rsidR="00D86348" w:rsidRDefault="00D86348" w:rsidP="00286379">
      <w:pPr>
        <w:ind w:left="720" w:hanging="720"/>
      </w:pPr>
      <w:r w:rsidRPr="00CC75C2">
        <w:rPr>
          <w:b/>
          <w:bCs/>
        </w:rPr>
        <w:t>Functionalism</w:t>
      </w:r>
      <w:r>
        <w:t xml:space="preserve">. A belief in the practical application of a theory. Functionalism is more concerned with how a theory can be used in the real world than </w:t>
      </w:r>
      <w:r w:rsidR="00E95D4B">
        <w:t>research</w:t>
      </w:r>
      <w:r>
        <w:t xml:space="preserve"> </w:t>
      </w:r>
      <w:r w:rsidR="002A070D">
        <w:t>to increase</w:t>
      </w:r>
      <w:r>
        <w:t xml:space="preserve"> understanding. </w:t>
      </w:r>
    </w:p>
    <w:p w14:paraId="5A947CD3" w14:textId="717AE604" w:rsidR="00E720F8" w:rsidRPr="00E720F8" w:rsidRDefault="00E720F8" w:rsidP="00286379">
      <w:pPr>
        <w:ind w:left="720" w:hanging="720"/>
      </w:pPr>
      <w:r w:rsidRPr="00E720F8">
        <w:rPr>
          <w:b/>
          <w:bCs/>
        </w:rPr>
        <w:t>Generalizability.</w:t>
      </w:r>
      <w:r w:rsidRPr="00E720F8">
        <w:t xml:space="preserve"> The extent to which the findings from a sample can be applied to the larger population from which the sample was drawn.</w:t>
      </w:r>
    </w:p>
    <w:p w14:paraId="7532B4FB" w14:textId="49B5B2AD" w:rsidR="00D86348" w:rsidRDefault="00D86348" w:rsidP="00286379">
      <w:pPr>
        <w:ind w:left="720" w:hanging="720"/>
      </w:pPr>
      <w:r w:rsidRPr="00CC75C2">
        <w:rPr>
          <w:b/>
          <w:bCs/>
        </w:rPr>
        <w:lastRenderedPageBreak/>
        <w:t>Grounded Theory</w:t>
      </w:r>
      <w:r>
        <w:t xml:space="preserve">. A theory based on observation rather than experimentation. Thus, the </w:t>
      </w:r>
      <w:r w:rsidR="00637970">
        <w:t>theory's strength</w:t>
      </w:r>
      <w:r>
        <w:t xml:space="preserve"> </w:t>
      </w:r>
      <w:r w:rsidR="002A070D">
        <w:t>depends on the researcher's skill</w:t>
      </w:r>
      <w:r>
        <w:t xml:space="preserve"> and may not be repeatable by a different researcher or at a different time.</w:t>
      </w:r>
    </w:p>
    <w:p w14:paraId="35560548" w14:textId="4D11A746" w:rsidR="00D86348" w:rsidRDefault="00D86348" w:rsidP="00286379">
      <w:pPr>
        <w:ind w:left="720" w:hanging="720"/>
      </w:pPr>
      <w:r w:rsidRPr="00CC75C2">
        <w:rPr>
          <w:b/>
          <w:bCs/>
        </w:rPr>
        <w:t>Guttman</w:t>
      </w:r>
      <w:r>
        <w:t xml:space="preserve">. The Guttman scale uses a series of questions </w:t>
      </w:r>
      <w:r w:rsidR="004A643D">
        <w:t>with</w:t>
      </w:r>
      <w:r>
        <w:t xml:space="preserve"> increasing intensity to determine how strongly respondents believe some proposition. </w:t>
      </w:r>
    </w:p>
    <w:p w14:paraId="233DA730" w14:textId="7DC94917" w:rsidR="00F24156" w:rsidRPr="00F24156" w:rsidRDefault="00F24156" w:rsidP="00286379">
      <w:pPr>
        <w:ind w:left="720" w:hanging="720"/>
      </w:pPr>
      <w:r w:rsidRPr="00F24156">
        <w:rPr>
          <w:b/>
          <w:bCs/>
        </w:rPr>
        <w:t>H-</w:t>
      </w:r>
      <w:r>
        <w:rPr>
          <w:b/>
          <w:bCs/>
        </w:rPr>
        <w:t>I</w:t>
      </w:r>
      <w:r w:rsidRPr="00F24156">
        <w:rPr>
          <w:b/>
          <w:bCs/>
        </w:rPr>
        <w:t>ndex.</w:t>
      </w:r>
      <w:r w:rsidRPr="00F24156">
        <w:t xml:space="preserve"> A metric that reflects both the productivity and impact of a researcher's published work by considering the number of publications and the number of citations each publication has received.</w:t>
      </w:r>
    </w:p>
    <w:p w14:paraId="40157DFD" w14:textId="408E0409" w:rsidR="00D86348" w:rsidRDefault="00D86348" w:rsidP="00286379">
      <w:pPr>
        <w:ind w:left="720" w:hanging="720"/>
      </w:pPr>
      <w:r w:rsidRPr="00CC75C2">
        <w:rPr>
          <w:b/>
          <w:bCs/>
        </w:rPr>
        <w:t>Hawthorne</w:t>
      </w:r>
      <w:r>
        <w:t xml:space="preserve">. </w:t>
      </w:r>
      <w:r w:rsidR="00EB75BF">
        <w:t>This</w:t>
      </w:r>
      <w:r>
        <w:t xml:space="preserve"> effect </w:t>
      </w:r>
      <w:r w:rsidR="00EB75BF">
        <w:t xml:space="preserve">was </w:t>
      </w:r>
      <w:r>
        <w:t>described in the 1950s when Henry A. Landsberger observed workers in the Hawthorne Works electric company. He noticed that when workers thought they were being observed</w:t>
      </w:r>
      <w:r w:rsidR="000E0391">
        <w:t>,</w:t>
      </w:r>
      <w:r>
        <w:t xml:space="preserve"> they tended to work harder and perform better. Thus, the </w:t>
      </w:r>
      <w:r w:rsidR="000E0391">
        <w:t>H</w:t>
      </w:r>
      <w:r>
        <w:t xml:space="preserve">awthorne effect </w:t>
      </w:r>
      <w:r w:rsidR="004F39F3">
        <w:t>alters</w:t>
      </w:r>
      <w:r>
        <w:t xml:space="preserve"> peoples' behavior when they think they are being observed.</w:t>
      </w:r>
    </w:p>
    <w:p w14:paraId="138F1CCB" w14:textId="632EFE59" w:rsidR="00D86348" w:rsidRDefault="00D86348" w:rsidP="00286379">
      <w:pPr>
        <w:ind w:left="720" w:hanging="720"/>
      </w:pPr>
      <w:r w:rsidRPr="00CC75C2">
        <w:rPr>
          <w:b/>
          <w:bCs/>
        </w:rPr>
        <w:t>Hermeneutics</w:t>
      </w:r>
      <w:r>
        <w:t>. The study of the meth</w:t>
      </w:r>
      <w:r w:rsidR="00EB75BF">
        <w:t>o</w:t>
      </w:r>
      <w:r>
        <w:t>dology of interpreting texts. This</w:t>
      </w:r>
      <w:r w:rsidR="00EB75BF">
        <w:t xml:space="preserve"> method</w:t>
      </w:r>
      <w:r>
        <w:t xml:space="preserve"> was </w:t>
      </w:r>
      <w:r w:rsidR="00EB75BF">
        <w:t>initi</w:t>
      </w:r>
      <w:r>
        <w:t>ally applied to Biblical studies but now includes most humanities like law, history, and philosophy.</w:t>
      </w:r>
    </w:p>
    <w:p w14:paraId="74504EF7" w14:textId="2B991A4F" w:rsidR="00D86348" w:rsidRDefault="00D86348" w:rsidP="00286379">
      <w:pPr>
        <w:ind w:left="720" w:hanging="720"/>
      </w:pPr>
      <w:r w:rsidRPr="00CC75C2">
        <w:rPr>
          <w:b/>
          <w:bCs/>
        </w:rPr>
        <w:t>Hypothesis</w:t>
      </w:r>
      <w:r>
        <w:t xml:space="preserve">. A proposed explanation for an observed phenomenon. Often, a hypothesis that may be based on incomplete information is the starting point for further investigation. </w:t>
      </w:r>
      <w:r w:rsidR="003E3A1E">
        <w:t>For</w:t>
      </w:r>
      <w:r>
        <w:t xml:space="preserve"> example, if a merchant notices that eye-level shelves tend to need restocking more frequently</w:t>
      </w:r>
      <w:r w:rsidR="003E3A1E">
        <w:t>,</w:t>
      </w:r>
      <w:r>
        <w:t xml:space="preserve"> a hypothesis may be proposed that shoppers purchase goods from eye-level shelves first. The plural form is hypotheses.</w:t>
      </w:r>
    </w:p>
    <w:p w14:paraId="47F254EA" w14:textId="75565265" w:rsidR="00D86348" w:rsidRDefault="00D86348" w:rsidP="00286379">
      <w:pPr>
        <w:ind w:left="720" w:hanging="720"/>
      </w:pPr>
      <w:r w:rsidRPr="00CC75C2">
        <w:rPr>
          <w:b/>
          <w:bCs/>
        </w:rPr>
        <w:t>Idiographic</w:t>
      </w:r>
      <w:r>
        <w:t xml:space="preserve">. An </w:t>
      </w:r>
      <w:r w:rsidR="00BA1FAA">
        <w:t>observed phenomenon</w:t>
      </w:r>
      <w:r>
        <w:t xml:space="preserve"> explains only a single case and </w:t>
      </w:r>
      <w:r w:rsidR="00BA1FAA">
        <w:t>does not apply</w:t>
      </w:r>
      <w:r>
        <w:t xml:space="preserve"> to a </w:t>
      </w:r>
      <w:r w:rsidR="00BA1FAA">
        <w:t>broa</w:t>
      </w:r>
      <w:r>
        <w:t>der population. See Nomothetic.</w:t>
      </w:r>
    </w:p>
    <w:p w14:paraId="36B06029" w14:textId="776670C0" w:rsidR="00D86348" w:rsidRDefault="00D86348" w:rsidP="00286379">
      <w:pPr>
        <w:ind w:left="720" w:hanging="720"/>
      </w:pPr>
      <w:r w:rsidRPr="00CC75C2">
        <w:rPr>
          <w:b/>
          <w:bCs/>
        </w:rPr>
        <w:t>Independent Variable</w:t>
      </w:r>
      <w:r>
        <w:t>. Independent variables are those that create an observed effect. For example, if a farmer conducts an experiment where different types of fertilizer are applied to two fields to see which is more effective</w:t>
      </w:r>
      <w:r w:rsidR="008A1DFE">
        <w:t>,</w:t>
      </w:r>
      <w:r>
        <w:t xml:space="preserve"> then the type of fertilizer is the independent variable; that is, the type of fertilizer </w:t>
      </w:r>
      <w:r w:rsidR="00D02C53">
        <w:t>creates</w:t>
      </w:r>
      <w:r>
        <w:t xml:space="preserve"> the observed effect. See Dependent Variable.</w:t>
      </w:r>
    </w:p>
    <w:p w14:paraId="2765E5DB" w14:textId="583598B7" w:rsidR="00D86348" w:rsidRDefault="00D86348" w:rsidP="00286379">
      <w:pPr>
        <w:ind w:left="720" w:hanging="720"/>
      </w:pPr>
      <w:r w:rsidRPr="00CC75C2">
        <w:rPr>
          <w:b/>
          <w:bCs/>
        </w:rPr>
        <w:t>Inductive Research</w:t>
      </w:r>
      <w:r>
        <w:t>. A research methodology that works from specific observations to a general theory. This</w:t>
      </w:r>
      <w:r w:rsidR="00D02C53">
        <w:t xml:space="preserve"> type of research</w:t>
      </w:r>
      <w:r>
        <w:t xml:space="preserve"> is sometimes called "theory-building</w:t>
      </w:r>
      <w:r w:rsidR="00D02C53">
        <w:t>.</w:t>
      </w:r>
      <w:r>
        <w:t>"</w:t>
      </w:r>
    </w:p>
    <w:p w14:paraId="36CCE2EE" w14:textId="46A5E440" w:rsidR="00A15E12" w:rsidRPr="00A15E12" w:rsidRDefault="00A15E12" w:rsidP="00286379">
      <w:pPr>
        <w:ind w:left="720" w:hanging="720"/>
      </w:pPr>
      <w:r w:rsidRPr="00A15E12">
        <w:rPr>
          <w:b/>
          <w:bCs/>
        </w:rPr>
        <w:t xml:space="preserve">Inferential </w:t>
      </w:r>
      <w:r>
        <w:rPr>
          <w:b/>
          <w:bCs/>
        </w:rPr>
        <w:t>S</w:t>
      </w:r>
      <w:r w:rsidRPr="00A15E12">
        <w:rPr>
          <w:b/>
          <w:bCs/>
        </w:rPr>
        <w:t>tatistics.</w:t>
      </w:r>
      <w:r w:rsidRPr="00A15E12">
        <w:t xml:space="preserve"> A branch of statistics that uses sample data to make generalizations, predictions, or decisions about a larger population, often through hypothesis testing and probability theory.</w:t>
      </w:r>
    </w:p>
    <w:p w14:paraId="6D0CC2FC" w14:textId="2720F7BD" w:rsidR="00E45760" w:rsidRPr="00E45760" w:rsidRDefault="00E45760" w:rsidP="00286379">
      <w:pPr>
        <w:ind w:left="720" w:hanging="720"/>
      </w:pPr>
      <w:r w:rsidRPr="00E45760">
        <w:rPr>
          <w:b/>
          <w:bCs/>
        </w:rPr>
        <w:t>Informed consent</w:t>
      </w:r>
      <w:r>
        <w:rPr>
          <w:b/>
          <w:bCs/>
        </w:rPr>
        <w:t>.</w:t>
      </w:r>
      <w:r w:rsidRPr="00E45760">
        <w:t xml:space="preserve"> The process by which research participants voluntarily agree to take part in a study after being fully informed about its nature, risks, and benefits.</w:t>
      </w:r>
    </w:p>
    <w:p w14:paraId="167ABAF1" w14:textId="0E935011" w:rsidR="006E493D" w:rsidRPr="003115A4" w:rsidRDefault="003115A4" w:rsidP="00286379">
      <w:pPr>
        <w:ind w:left="720" w:hanging="720"/>
      </w:pPr>
      <w:r w:rsidRPr="003115A4">
        <w:rPr>
          <w:b/>
          <w:bCs/>
        </w:rPr>
        <w:lastRenderedPageBreak/>
        <w:t xml:space="preserve">Interaction </w:t>
      </w:r>
      <w:r>
        <w:rPr>
          <w:b/>
          <w:bCs/>
        </w:rPr>
        <w:t>E</w:t>
      </w:r>
      <w:r w:rsidRPr="003115A4">
        <w:rPr>
          <w:b/>
          <w:bCs/>
        </w:rPr>
        <w:t>ffect.</w:t>
      </w:r>
      <w:r w:rsidRPr="003115A4">
        <w:t xml:space="preserve"> The combined effect of two or more independent variables on the dependent variable, where the impact of one variable depends on the level of the other variable(s).</w:t>
      </w:r>
    </w:p>
    <w:p w14:paraId="0B2FB7B0" w14:textId="64AE86EA" w:rsidR="00D86348" w:rsidRDefault="00D86348" w:rsidP="00286379">
      <w:pPr>
        <w:ind w:left="720" w:hanging="720"/>
      </w:pPr>
      <w:r w:rsidRPr="00CC75C2">
        <w:rPr>
          <w:b/>
          <w:bCs/>
        </w:rPr>
        <w:t>Internal Validity</w:t>
      </w:r>
      <w:r>
        <w:t xml:space="preserve">. The degree to which a research project avoids confounding multiple variables within the study. A project with high internal validity facilitates selecting one explanation over an alternate since </w:t>
      </w:r>
      <w:r w:rsidR="004F39F3">
        <w:t>confounding variables are</w:t>
      </w:r>
      <w:r>
        <w:t xml:space="preserve"> controlled. See Validity.</w:t>
      </w:r>
    </w:p>
    <w:p w14:paraId="40A68619" w14:textId="2F5EA908" w:rsidR="00D86348" w:rsidRDefault="00D86348" w:rsidP="00286379">
      <w:pPr>
        <w:ind w:left="720" w:hanging="720"/>
      </w:pPr>
      <w:r w:rsidRPr="00CC75C2">
        <w:rPr>
          <w:b/>
          <w:bCs/>
        </w:rPr>
        <w:t>Interpretive Research</w:t>
      </w:r>
      <w:r>
        <w:t xml:space="preserve">. Interpretive research explores an observed phenomenon within its social context to discern </w:t>
      </w:r>
      <w:r w:rsidR="00A33B86">
        <w:t>people's ascribed meaning</w:t>
      </w:r>
      <w:r>
        <w:t>. This type of research is firmly grounded in constructivism</w:t>
      </w:r>
      <w:r w:rsidR="00A33B86">
        <w:t>,</w:t>
      </w:r>
      <w:r>
        <w:t xml:space="preserve"> where it is believed that reality is shaped by perception rather than a knowable "truth." </w:t>
      </w:r>
    </w:p>
    <w:p w14:paraId="4F733889" w14:textId="77777777" w:rsidR="00D86348" w:rsidRDefault="00D86348" w:rsidP="00286379">
      <w:pPr>
        <w:ind w:left="720" w:hanging="720"/>
      </w:pPr>
      <w:r w:rsidRPr="00CC75C2">
        <w:rPr>
          <w:b/>
          <w:bCs/>
        </w:rPr>
        <w:t>Interpretivism</w:t>
      </w:r>
      <w:r>
        <w:t xml:space="preserve">. A research method that relies on observation and techniques like interviews to understand phenomena. </w:t>
      </w:r>
    </w:p>
    <w:p w14:paraId="124CB63D" w14:textId="6B1DD17F" w:rsidR="00D86348" w:rsidRDefault="00D86348" w:rsidP="00286379">
      <w:pPr>
        <w:ind w:left="720" w:hanging="720"/>
      </w:pPr>
      <w:r w:rsidRPr="00CC75C2">
        <w:rPr>
          <w:b/>
          <w:bCs/>
        </w:rPr>
        <w:t>Interval Data</w:t>
      </w:r>
      <w:r>
        <w:t xml:space="preserve">. Interval data are a type of quantitative data measured along a scale where each point is an equal distance from the </w:t>
      </w:r>
      <w:r w:rsidR="0093287A">
        <w:t>last</w:t>
      </w:r>
      <w:r>
        <w:t xml:space="preserve">. It is possible to compare the distance between two points on an interval scale; for example, the difference between 90 and 100 degrees is the same as the difference between 40 and 50 degrees. However, since an interval scale does not have a zero point, </w:t>
      </w:r>
      <w:r w:rsidR="003819CF">
        <w:t xml:space="preserve">100 degrees </w:t>
      </w:r>
      <w:r w:rsidR="00C46DC5">
        <w:t>is not</w:t>
      </w:r>
      <w:r w:rsidR="003819CF">
        <w:t xml:space="preserve"> twice as hot as 50 degrees</w:t>
      </w:r>
      <w:r>
        <w:t>. See Quan</w:t>
      </w:r>
      <w:r w:rsidR="003819CF">
        <w:t>ti</w:t>
      </w:r>
      <w:r>
        <w:t xml:space="preserve">tative Data. </w:t>
      </w:r>
    </w:p>
    <w:p w14:paraId="46AED948" w14:textId="20F62104" w:rsidR="00ED2391" w:rsidRPr="00ED2391" w:rsidRDefault="00ED2391" w:rsidP="00286379">
      <w:pPr>
        <w:ind w:left="720" w:hanging="720"/>
      </w:pPr>
      <w:r w:rsidRPr="00ED2391">
        <w:rPr>
          <w:b/>
          <w:bCs/>
        </w:rPr>
        <w:t xml:space="preserve">Interview </w:t>
      </w:r>
      <w:r>
        <w:rPr>
          <w:b/>
          <w:bCs/>
        </w:rPr>
        <w:t>G</w:t>
      </w:r>
      <w:r w:rsidRPr="00ED2391">
        <w:rPr>
          <w:b/>
          <w:bCs/>
        </w:rPr>
        <w:t>uide.</w:t>
      </w:r>
      <w:r w:rsidRPr="00ED2391">
        <w:t xml:space="preserve"> A list of topics or questions that an interviewer plans to cover during a qualitative interview, serving as a flexible roadmap for the conversation.</w:t>
      </w:r>
    </w:p>
    <w:p w14:paraId="1F8DD9C3" w14:textId="624B113E" w:rsidR="00ED2391" w:rsidRPr="00745346" w:rsidRDefault="00745346" w:rsidP="00286379">
      <w:pPr>
        <w:ind w:left="720" w:hanging="720"/>
      </w:pPr>
      <w:r w:rsidRPr="00745346">
        <w:rPr>
          <w:b/>
          <w:bCs/>
        </w:rPr>
        <w:t xml:space="preserve">Interviewer </w:t>
      </w:r>
      <w:r>
        <w:rPr>
          <w:b/>
          <w:bCs/>
        </w:rPr>
        <w:t>B</w:t>
      </w:r>
      <w:r w:rsidRPr="00745346">
        <w:rPr>
          <w:b/>
          <w:bCs/>
        </w:rPr>
        <w:t>ias.</w:t>
      </w:r>
      <w:r w:rsidRPr="00745346">
        <w:t xml:space="preserve"> The influence an interviewer may have on the responses provided by participants due to factors such as the interviewer's demeanor, tone, or phrasing of questions.</w:t>
      </w:r>
    </w:p>
    <w:p w14:paraId="23F80D2A" w14:textId="1D5D4E34" w:rsidR="00D86348" w:rsidRDefault="00D86348" w:rsidP="00286379">
      <w:pPr>
        <w:ind w:left="720" w:hanging="720"/>
      </w:pPr>
      <w:r w:rsidRPr="00CC75C2">
        <w:rPr>
          <w:b/>
          <w:bCs/>
        </w:rPr>
        <w:t>IRB</w:t>
      </w:r>
      <w:r>
        <w:t>. Institutional Review Board.</w:t>
      </w:r>
      <w:r w:rsidR="00B90B57">
        <w:t xml:space="preserve"> </w:t>
      </w:r>
      <w:r w:rsidR="00B90B57" w:rsidRPr="00B90B57">
        <w:t>A committee that reviews and approves research proposals to ensure they adhere to ethical standards and protect the rights of human subjects.</w:t>
      </w:r>
    </w:p>
    <w:p w14:paraId="03EFA2A9" w14:textId="5BC394D7" w:rsidR="00B90B57" w:rsidRPr="00B90B57" w:rsidRDefault="00B90B57" w:rsidP="00286379">
      <w:pPr>
        <w:ind w:left="720" w:hanging="720"/>
      </w:pPr>
      <w:r w:rsidRPr="00B90B57">
        <w:rPr>
          <w:b/>
          <w:bCs/>
        </w:rPr>
        <w:t>Justice</w:t>
      </w:r>
      <w:r>
        <w:rPr>
          <w:b/>
          <w:bCs/>
        </w:rPr>
        <w:t>.</w:t>
      </w:r>
      <w:r w:rsidRPr="00B90B57">
        <w:t xml:space="preserve"> The ethical principle that all research participants should be treated fairly and equitably, without discrimination or favoritism.</w:t>
      </w:r>
    </w:p>
    <w:p w14:paraId="5C8BEAD0" w14:textId="680D2E56" w:rsidR="003B423D" w:rsidRPr="003B423D" w:rsidRDefault="003B423D" w:rsidP="00286379">
      <w:pPr>
        <w:ind w:left="720" w:hanging="720"/>
      </w:pPr>
      <w:r w:rsidRPr="003B423D">
        <w:rPr>
          <w:b/>
          <w:bCs/>
        </w:rPr>
        <w:t xml:space="preserve">Key </w:t>
      </w:r>
      <w:r>
        <w:rPr>
          <w:b/>
          <w:bCs/>
        </w:rPr>
        <w:t>I</w:t>
      </w:r>
      <w:r w:rsidRPr="003B423D">
        <w:rPr>
          <w:b/>
          <w:bCs/>
        </w:rPr>
        <w:t>nformant.</w:t>
      </w:r>
      <w:r w:rsidRPr="003B423D">
        <w:t xml:space="preserve"> A participant in a research study who provides valuable insights, knowledge, and connections to help the researcher understand the community or topic being studied.</w:t>
      </w:r>
    </w:p>
    <w:p w14:paraId="28F6C70B" w14:textId="34D2A118" w:rsidR="001A313F" w:rsidRPr="00CD7977" w:rsidRDefault="00CD7977" w:rsidP="00286379">
      <w:pPr>
        <w:ind w:left="720" w:hanging="720"/>
      </w:pPr>
      <w:r w:rsidRPr="00CD7977">
        <w:rPr>
          <w:b/>
          <w:bCs/>
        </w:rPr>
        <w:t xml:space="preserve">Latent </w:t>
      </w:r>
      <w:r>
        <w:rPr>
          <w:b/>
          <w:bCs/>
        </w:rPr>
        <w:t>C</w:t>
      </w:r>
      <w:r w:rsidRPr="00CD7977">
        <w:rPr>
          <w:b/>
          <w:bCs/>
        </w:rPr>
        <w:t>ontent.</w:t>
      </w:r>
      <w:r w:rsidRPr="00CD7977">
        <w:t xml:space="preserve"> The underlying or implicit meaning in a text that requires interpretation to uncover, as opposed to manifest content which is directly observable.</w:t>
      </w:r>
    </w:p>
    <w:p w14:paraId="038D4864" w14:textId="4A203F7F" w:rsidR="00555696" w:rsidRPr="00555696" w:rsidRDefault="00555696" w:rsidP="00286379">
      <w:pPr>
        <w:ind w:left="720" w:hanging="720"/>
      </w:pPr>
      <w:r w:rsidRPr="00555696">
        <w:rPr>
          <w:b/>
          <w:bCs/>
        </w:rPr>
        <w:t>Libel.</w:t>
      </w:r>
      <w:r w:rsidRPr="00555696">
        <w:t xml:space="preserve"> A published false statement that harms a person's reputation, which can lead to legal action against the author.</w:t>
      </w:r>
    </w:p>
    <w:p w14:paraId="7E1DD746" w14:textId="0CDC8955" w:rsidR="00D86348" w:rsidRDefault="00D86348" w:rsidP="00286379">
      <w:pPr>
        <w:ind w:left="720" w:hanging="720"/>
      </w:pPr>
      <w:r w:rsidRPr="00CC75C2">
        <w:rPr>
          <w:b/>
          <w:bCs/>
        </w:rPr>
        <w:t>Likert</w:t>
      </w:r>
      <w:r>
        <w:t xml:space="preserve">. The Likert scale is one of the </w:t>
      </w:r>
      <w:r w:rsidR="00B90B57">
        <w:t>most used</w:t>
      </w:r>
      <w:r>
        <w:t xml:space="preserve"> instruments for measuring attitudes and opinions. It consists of a statement followed by, typically, five selections: Strongly Agree, Agree, Neutral, Disagree, Strongly Disagree.</w:t>
      </w:r>
    </w:p>
    <w:p w14:paraId="59D8A285" w14:textId="5F62E483" w:rsidR="00D86348" w:rsidRDefault="00D86348" w:rsidP="00286379">
      <w:pPr>
        <w:ind w:left="720" w:hanging="720"/>
      </w:pPr>
      <w:r w:rsidRPr="00CC75C2">
        <w:rPr>
          <w:b/>
          <w:bCs/>
        </w:rPr>
        <w:lastRenderedPageBreak/>
        <w:t>Logic</w:t>
      </w:r>
      <w:r>
        <w:t xml:space="preserve">. A systematic set of principles </w:t>
      </w:r>
      <w:r w:rsidR="00143EEA">
        <w:t>that</w:t>
      </w:r>
      <w:r>
        <w:t xml:space="preserve"> validate</w:t>
      </w:r>
      <w:r w:rsidR="00143EEA">
        <w:t>s</w:t>
      </w:r>
      <w:r>
        <w:t xml:space="preserve"> a theory. Logic is a mode of reasoning that can link observations to explanations.</w:t>
      </w:r>
    </w:p>
    <w:p w14:paraId="66DFBF86" w14:textId="7D7DD35E" w:rsidR="00D86348" w:rsidRDefault="00D86348" w:rsidP="00286379">
      <w:pPr>
        <w:ind w:left="720" w:hanging="720"/>
      </w:pPr>
      <w:r w:rsidRPr="00CC75C2">
        <w:rPr>
          <w:b/>
          <w:bCs/>
        </w:rPr>
        <w:t>Logical Consistency</w:t>
      </w:r>
      <w:r>
        <w:t>. A theory or hypothesis is logically consistent when all constructs, propositions, boundary conditions, and assumptions are congruous.</w:t>
      </w:r>
    </w:p>
    <w:p w14:paraId="30C37782" w14:textId="67893BAB" w:rsidR="00D86348" w:rsidRDefault="00D86348" w:rsidP="00286379">
      <w:pPr>
        <w:ind w:left="720" w:hanging="720"/>
      </w:pPr>
      <w:r w:rsidRPr="00CC75C2">
        <w:rPr>
          <w:b/>
          <w:bCs/>
        </w:rPr>
        <w:t>Longitudinal</w:t>
      </w:r>
      <w:r>
        <w:t>. A type of research that is conducted over a long period. This</w:t>
      </w:r>
      <w:r w:rsidR="00AF58A5">
        <w:t xml:space="preserve"> type of research</w:t>
      </w:r>
      <w:r>
        <w:t xml:space="preserve"> most often </w:t>
      </w:r>
      <w:r w:rsidR="00F77895">
        <w:t xml:space="preserve">uses </w:t>
      </w:r>
      <w:r>
        <w:t>a survey but could be applied to other research methods. For example, repeated surveys over five years of small business owners in a single city would be longitudinal. See Cross</w:t>
      </w:r>
      <w:r w:rsidR="00F77895">
        <w:t>-</w:t>
      </w:r>
      <w:r>
        <w:t xml:space="preserve">Sectional. </w:t>
      </w:r>
    </w:p>
    <w:p w14:paraId="17C35FD5" w14:textId="6CB7D45C" w:rsidR="003115A4" w:rsidRPr="00C63921" w:rsidRDefault="00C63921" w:rsidP="00286379">
      <w:pPr>
        <w:ind w:left="720" w:hanging="720"/>
      </w:pPr>
      <w:r w:rsidRPr="00C63921">
        <w:rPr>
          <w:b/>
          <w:bCs/>
        </w:rPr>
        <w:t xml:space="preserve">Main </w:t>
      </w:r>
      <w:r>
        <w:rPr>
          <w:b/>
          <w:bCs/>
        </w:rPr>
        <w:t>E</w:t>
      </w:r>
      <w:r w:rsidRPr="00C63921">
        <w:rPr>
          <w:b/>
          <w:bCs/>
        </w:rPr>
        <w:t>ffect.</w:t>
      </w:r>
      <w:r w:rsidRPr="00C63921">
        <w:t xml:space="preserve"> The overall effect of a single independent variable on the dependent variable, ignoring the effects of any other independent variables.</w:t>
      </w:r>
    </w:p>
    <w:p w14:paraId="2415A1DE" w14:textId="11E4BF4A" w:rsidR="00892AE4" w:rsidRPr="009E5FAF" w:rsidRDefault="009E5FAF" w:rsidP="00286379">
      <w:pPr>
        <w:ind w:left="720" w:hanging="720"/>
      </w:pPr>
      <w:r w:rsidRPr="009E5FAF">
        <w:rPr>
          <w:b/>
          <w:bCs/>
        </w:rPr>
        <w:t>Mean.</w:t>
      </w:r>
      <w:r w:rsidRPr="009E5FAF">
        <w:t xml:space="preserve"> The arithmetic average of a set of numbers, calculated by summing all values and dividing by the total count.</w:t>
      </w:r>
    </w:p>
    <w:p w14:paraId="6C37D2FC" w14:textId="2E4F77E0" w:rsidR="009E5FAF" w:rsidRPr="009E5FAF" w:rsidRDefault="009E5FAF" w:rsidP="00286379">
      <w:pPr>
        <w:ind w:left="720" w:hanging="720"/>
      </w:pPr>
      <w:r w:rsidRPr="009E5FAF">
        <w:rPr>
          <w:b/>
          <w:bCs/>
        </w:rPr>
        <w:t>Median.</w:t>
      </w:r>
      <w:r w:rsidRPr="009E5FAF">
        <w:t xml:space="preserve"> The middle value in a dataset </w:t>
      </w:r>
      <w:r>
        <w:t>if</w:t>
      </w:r>
      <w:r w:rsidRPr="009E5FAF">
        <w:t xml:space="preserve"> the values are arranged in ascending or descending order.</w:t>
      </w:r>
    </w:p>
    <w:p w14:paraId="43647D3A" w14:textId="0F8B408B" w:rsidR="00E95D4B" w:rsidRPr="00E95D4B" w:rsidRDefault="00E95D4B" w:rsidP="00286379">
      <w:pPr>
        <w:ind w:left="720" w:hanging="720"/>
      </w:pPr>
      <w:r>
        <w:rPr>
          <w:b/>
          <w:bCs/>
        </w:rPr>
        <w:t>Mediating Variable.</w:t>
      </w:r>
      <w:r>
        <w:t xml:space="preserve"> </w:t>
      </w:r>
      <w:r w:rsidR="006F50F5" w:rsidRPr="006F50F5">
        <w:t>A variable that is explained by independent variables and, in turn, explains dependent variables in a research study.</w:t>
      </w:r>
    </w:p>
    <w:p w14:paraId="55CC8B6B" w14:textId="61F65D41" w:rsidR="00D86348" w:rsidRDefault="00D86348" w:rsidP="00286379">
      <w:pPr>
        <w:ind w:left="720" w:hanging="720"/>
      </w:pPr>
      <w:r w:rsidRPr="00CC75C2">
        <w:rPr>
          <w:b/>
          <w:bCs/>
        </w:rPr>
        <w:t>Meta-Analysis</w:t>
      </w:r>
      <w:r>
        <w:t xml:space="preserve">. </w:t>
      </w:r>
      <w:r w:rsidR="007043E6">
        <w:t xml:space="preserve">This </w:t>
      </w:r>
      <w:r>
        <w:t xml:space="preserve">research method examines data collected from </w:t>
      </w:r>
      <w:r w:rsidR="007043E6">
        <w:t>several</w:t>
      </w:r>
      <w:r>
        <w:t xml:space="preserve"> studies of the same subject to detect trends or overall observations.</w:t>
      </w:r>
    </w:p>
    <w:p w14:paraId="230D75DE" w14:textId="00056066" w:rsidR="00D86348" w:rsidRDefault="00D86348" w:rsidP="00286379">
      <w:pPr>
        <w:ind w:left="720" w:hanging="720"/>
      </w:pPr>
      <w:r w:rsidRPr="00CC75C2">
        <w:rPr>
          <w:b/>
          <w:bCs/>
        </w:rPr>
        <w:t>Mixed Methods</w:t>
      </w:r>
      <w:r>
        <w:t xml:space="preserve">. </w:t>
      </w:r>
      <w:r w:rsidR="00962BC6">
        <w:t>This</w:t>
      </w:r>
      <w:r>
        <w:t xml:space="preserve"> research method </w:t>
      </w:r>
      <w:r w:rsidR="00B74191">
        <w:t xml:space="preserve">uses both quantitative and qualitative research processes to </w:t>
      </w:r>
      <w:r w:rsidR="00962BC6">
        <w:t>understand the phenomenon under consideration better</w:t>
      </w:r>
      <w:r>
        <w:t>.</w:t>
      </w:r>
    </w:p>
    <w:p w14:paraId="566F9200" w14:textId="6B9F7D45" w:rsidR="00D86348" w:rsidRDefault="00D86348" w:rsidP="00286379">
      <w:pPr>
        <w:ind w:left="720" w:hanging="720"/>
      </w:pPr>
      <w:r w:rsidRPr="00CC75C2">
        <w:rPr>
          <w:b/>
          <w:bCs/>
        </w:rPr>
        <w:t>Model</w:t>
      </w:r>
      <w:r>
        <w:t xml:space="preserve">. A model </w:t>
      </w:r>
      <w:r w:rsidR="00962BC6">
        <w:t>represents</w:t>
      </w:r>
      <w:r>
        <w:t xml:space="preserve"> all or part of a system that is constructed to study that system. For example, meteorologists create elaborate models to predict the path of a hurricane. </w:t>
      </w:r>
    </w:p>
    <w:p w14:paraId="06145A84" w14:textId="2853D83D" w:rsidR="006F50F5" w:rsidRPr="006F50F5" w:rsidRDefault="006F50F5" w:rsidP="00286379">
      <w:pPr>
        <w:ind w:left="720" w:hanging="720"/>
      </w:pPr>
      <w:r>
        <w:rPr>
          <w:b/>
          <w:bCs/>
        </w:rPr>
        <w:t>Moderating Variable.</w:t>
      </w:r>
      <w:r>
        <w:t xml:space="preserve"> </w:t>
      </w:r>
      <w:r w:rsidRPr="006F50F5">
        <w:t>A variable that affects the relationship between independent and dependent variables in a research study.</w:t>
      </w:r>
    </w:p>
    <w:p w14:paraId="6F2048F1" w14:textId="25D293F0" w:rsidR="00CC3390" w:rsidRPr="00B82729" w:rsidRDefault="00B82729" w:rsidP="00286379">
      <w:pPr>
        <w:ind w:left="720" w:hanging="720"/>
      </w:pPr>
      <w:r w:rsidRPr="00B82729">
        <w:rPr>
          <w:b/>
          <w:bCs/>
        </w:rPr>
        <w:t xml:space="preserve">Mutually </w:t>
      </w:r>
      <w:r>
        <w:rPr>
          <w:b/>
          <w:bCs/>
        </w:rPr>
        <w:t>E</w:t>
      </w:r>
      <w:r w:rsidRPr="00B82729">
        <w:rPr>
          <w:b/>
          <w:bCs/>
        </w:rPr>
        <w:t>xclusive.</w:t>
      </w:r>
      <w:r w:rsidRPr="00B82729">
        <w:t xml:space="preserve"> A property of a set of response options in which each possible answer fits into one and only one of the provided categories, with no overlap.</w:t>
      </w:r>
    </w:p>
    <w:p w14:paraId="7EF92CE5" w14:textId="3A5121E0" w:rsidR="00F57129" w:rsidRPr="00DA4A6C" w:rsidRDefault="00DA4A6C" w:rsidP="00286379">
      <w:pPr>
        <w:ind w:left="720" w:hanging="720"/>
      </w:pPr>
      <w:r w:rsidRPr="00DA4A6C">
        <w:rPr>
          <w:b/>
          <w:bCs/>
        </w:rPr>
        <w:t xml:space="preserve">Naturalistic </w:t>
      </w:r>
      <w:r>
        <w:rPr>
          <w:b/>
          <w:bCs/>
        </w:rPr>
        <w:t>I</w:t>
      </w:r>
      <w:r w:rsidRPr="00DA4A6C">
        <w:rPr>
          <w:b/>
          <w:bCs/>
        </w:rPr>
        <w:t>nquiry.</w:t>
      </w:r>
      <w:r w:rsidRPr="00DA4A6C">
        <w:t xml:space="preserve"> The principle of studying social phenomena in their natural context, believed by interpretivists to be essential for understanding the meanings, practices, and relationships that shape them.</w:t>
      </w:r>
    </w:p>
    <w:p w14:paraId="1140E75D" w14:textId="10288EC1" w:rsidR="00D86348" w:rsidRDefault="00D86348" w:rsidP="00286379">
      <w:pPr>
        <w:ind w:left="720" w:hanging="720"/>
      </w:pPr>
      <w:r w:rsidRPr="00CC75C2">
        <w:rPr>
          <w:b/>
          <w:bCs/>
        </w:rPr>
        <w:t xml:space="preserve">Nonequivalent Groups </w:t>
      </w:r>
      <w:r w:rsidRPr="00286379">
        <w:t>Design</w:t>
      </w:r>
      <w:r>
        <w:t>. A quasi-experimental design where pre-test/post-test measures are made</w:t>
      </w:r>
      <w:r w:rsidR="00495133">
        <w:t>,</w:t>
      </w:r>
      <w:r>
        <w:t xml:space="preserve"> but the subjects have not been randomly assigned to treatment and control groups.</w:t>
      </w:r>
    </w:p>
    <w:p w14:paraId="01F89AB4" w14:textId="32E14739" w:rsidR="00D86348" w:rsidRDefault="00D86348" w:rsidP="00286379">
      <w:pPr>
        <w:ind w:left="720" w:hanging="720"/>
      </w:pPr>
      <w:r w:rsidRPr="00CC75C2">
        <w:rPr>
          <w:b/>
          <w:bCs/>
        </w:rPr>
        <w:t xml:space="preserve">Nonequivalent </w:t>
      </w:r>
      <w:r w:rsidRPr="00937CA4">
        <w:rPr>
          <w:b/>
          <w:bCs/>
        </w:rPr>
        <w:t>Dependent</w:t>
      </w:r>
      <w:r w:rsidRPr="00CC75C2">
        <w:rPr>
          <w:b/>
          <w:bCs/>
        </w:rPr>
        <w:t xml:space="preserve"> Variable Design</w:t>
      </w:r>
      <w:r>
        <w:t xml:space="preserve">. A type of single-group quasi-experimental design where the </w:t>
      </w:r>
      <w:r w:rsidR="00495133">
        <w:t>treatment outcome</w:t>
      </w:r>
      <w:r>
        <w:t xml:space="preserve"> is measured on one </w:t>
      </w:r>
      <w:r w:rsidR="00937CA4">
        <w:t>variable,</w:t>
      </w:r>
      <w:r>
        <w:t xml:space="preserve"> but a second related variable is </w:t>
      </w:r>
      <w:r>
        <w:lastRenderedPageBreak/>
        <w:t>used as a control if the treatment is not expected to influence that variable. For example, the flow of automobile traffic in one intersection may be influenced by a change in the traffic light timing</w:t>
      </w:r>
      <w:r w:rsidR="00A1183B">
        <w:t>. However,</w:t>
      </w:r>
      <w:r>
        <w:t xml:space="preserve"> the flow in a similar nearby intersection should not change.</w:t>
      </w:r>
    </w:p>
    <w:p w14:paraId="415C1BFB" w14:textId="4BC208E2" w:rsidR="0010095D" w:rsidRPr="0010095D" w:rsidRDefault="0010095D" w:rsidP="00286379">
      <w:pPr>
        <w:ind w:left="720" w:hanging="720"/>
      </w:pPr>
      <w:r w:rsidRPr="0010095D">
        <w:rPr>
          <w:b/>
          <w:bCs/>
        </w:rPr>
        <w:t>Nonmaleficence</w:t>
      </w:r>
      <w:r>
        <w:rPr>
          <w:b/>
          <w:bCs/>
        </w:rPr>
        <w:t>.</w:t>
      </w:r>
      <w:r w:rsidRPr="0010095D">
        <w:t xml:space="preserve"> The ethical principle that researchers should avoid causing harm to participants and minimize risks associated with the study.</w:t>
      </w:r>
    </w:p>
    <w:p w14:paraId="39539C8B" w14:textId="1FCAC7B5" w:rsidR="00D86348" w:rsidRDefault="00D86348" w:rsidP="00286379">
      <w:pPr>
        <w:ind w:left="720" w:hanging="720"/>
      </w:pPr>
      <w:r w:rsidRPr="00CC75C2">
        <w:rPr>
          <w:b/>
          <w:bCs/>
        </w:rPr>
        <w:t>Nominal Data</w:t>
      </w:r>
      <w:r>
        <w:t xml:space="preserve">. Nominal data are a type of </w:t>
      </w:r>
      <w:r w:rsidR="00A1183B">
        <w:t xml:space="preserve">grouped </w:t>
      </w:r>
      <w:r>
        <w:t>qualitative data but with no order implied in the grouping. As an example, the gender of survey respondents is nominal data. See Qualitative Data.</w:t>
      </w:r>
    </w:p>
    <w:p w14:paraId="57A96055" w14:textId="45DF94B7" w:rsidR="00D86348" w:rsidRDefault="00D86348" w:rsidP="00286379">
      <w:pPr>
        <w:ind w:left="720" w:hanging="720"/>
      </w:pPr>
      <w:r w:rsidRPr="00CC75C2">
        <w:rPr>
          <w:b/>
          <w:bCs/>
        </w:rPr>
        <w:t>Nomothetic</w:t>
      </w:r>
      <w:r>
        <w:t xml:space="preserve">. An explanation for an observed phenomenon that is applicable across a </w:t>
      </w:r>
      <w:r w:rsidR="00544AFE">
        <w:t>broad</w:t>
      </w:r>
      <w:r>
        <w:t xml:space="preserve"> population rather than a single example. See Idiographic.</w:t>
      </w:r>
    </w:p>
    <w:p w14:paraId="17E17393" w14:textId="789CB16B" w:rsidR="00D86348" w:rsidRDefault="00D86348" w:rsidP="00286379">
      <w:pPr>
        <w:ind w:left="720" w:hanging="720"/>
      </w:pPr>
      <w:r w:rsidRPr="00CC75C2">
        <w:rPr>
          <w:b/>
          <w:bCs/>
        </w:rPr>
        <w:t>Non-Probability Sampling</w:t>
      </w:r>
      <w:r>
        <w:t>. A type of sampling that does not involve a random selection from the population. This</w:t>
      </w:r>
      <w:r w:rsidR="00544AFE">
        <w:t xml:space="preserve"> type of sampling</w:t>
      </w:r>
      <w:r>
        <w:t xml:space="preserve"> is called non-probability since some </w:t>
      </w:r>
      <w:r w:rsidR="00544AFE">
        <w:t>population members</w:t>
      </w:r>
      <w:r>
        <w:t xml:space="preserve"> have no probability of being selected. See Probability Sampling.</w:t>
      </w:r>
    </w:p>
    <w:p w14:paraId="3F1B87F3" w14:textId="527F4BEB" w:rsidR="00D86348" w:rsidRDefault="00D86348" w:rsidP="00286379">
      <w:pPr>
        <w:ind w:left="720" w:hanging="720"/>
      </w:pPr>
      <w:r w:rsidRPr="00CC75C2">
        <w:rPr>
          <w:b/>
          <w:bCs/>
        </w:rPr>
        <w:t>Nonparametric</w:t>
      </w:r>
      <w:r>
        <w:t>. Nonparametric data do not conform to a distribution, are skewed, or are qualitative. Statistical tests that work with nonparametric data are generally less powerful and predictive than tests that work with parametric data. See Parametric.</w:t>
      </w:r>
    </w:p>
    <w:p w14:paraId="1E3B3BF0" w14:textId="36E2DD41" w:rsidR="00D86348" w:rsidRDefault="00D86348" w:rsidP="00286379">
      <w:pPr>
        <w:ind w:left="720" w:hanging="720"/>
      </w:pPr>
      <w:r w:rsidRPr="00CC75C2">
        <w:rPr>
          <w:b/>
          <w:bCs/>
        </w:rPr>
        <w:t>Normal Distribution</w:t>
      </w:r>
      <w:r>
        <w:t xml:space="preserve">. A listing of all possible values in a data set </w:t>
      </w:r>
      <w:r w:rsidR="009F1AB7">
        <w:t>plus</w:t>
      </w:r>
      <w:r>
        <w:t xml:space="preserve"> the number of times each value appears is called a "distribution." In many, perhaps most, business research projects</w:t>
      </w:r>
      <w:r w:rsidR="00583B36">
        <w:t>,</w:t>
      </w:r>
      <w:r>
        <w:t xml:space="preserve"> a distribution exhibits a bell shape when plotted on a graph where the values in the middle of the range are more frequent than values at the extremes of the range. This</w:t>
      </w:r>
      <w:r w:rsidR="00583B36">
        <w:t xml:space="preserve"> distribution</w:t>
      </w:r>
      <w:r>
        <w:t xml:space="preserve"> is called a "normal distribution" </w:t>
      </w:r>
      <w:r w:rsidR="00BF45EB">
        <w:t>because</w:t>
      </w:r>
      <w:r>
        <w:t xml:space="preserve"> it is</w:t>
      </w:r>
      <w:r w:rsidR="00BF45EB">
        <w:t xml:space="preserve"> </w:t>
      </w:r>
      <w:r w:rsidR="006054B1">
        <w:t>frequent</w:t>
      </w:r>
      <w:r>
        <w:t>.</w:t>
      </w:r>
    </w:p>
    <w:p w14:paraId="1E239CB3" w14:textId="53404F8B" w:rsidR="00DA0F47" w:rsidRPr="00996D27" w:rsidRDefault="00996D27" w:rsidP="00286379">
      <w:pPr>
        <w:ind w:left="720" w:hanging="720"/>
      </w:pPr>
      <w:r w:rsidRPr="00996D27">
        <w:rPr>
          <w:b/>
          <w:bCs/>
        </w:rPr>
        <w:t xml:space="preserve">Null </w:t>
      </w:r>
      <w:r>
        <w:rPr>
          <w:b/>
          <w:bCs/>
        </w:rPr>
        <w:t>H</w:t>
      </w:r>
      <w:r w:rsidRPr="00996D27">
        <w:rPr>
          <w:b/>
          <w:bCs/>
        </w:rPr>
        <w:t>ypothesis.</w:t>
      </w:r>
      <w:r w:rsidRPr="00996D27">
        <w:t xml:space="preserve"> A hypothesis predicting no relationship between the variables under study, used as a baseline for comparison.</w:t>
      </w:r>
    </w:p>
    <w:p w14:paraId="617724AD" w14:textId="466EA7AE" w:rsidR="00D86348" w:rsidRDefault="00D86348" w:rsidP="00286379">
      <w:pPr>
        <w:ind w:left="720" w:hanging="720"/>
      </w:pPr>
      <w:r w:rsidRPr="00CC75C2">
        <w:rPr>
          <w:b/>
          <w:bCs/>
        </w:rPr>
        <w:t>Objectivism</w:t>
      </w:r>
      <w:r>
        <w:t xml:space="preserve">. </w:t>
      </w:r>
      <w:r w:rsidR="00937CA4">
        <w:t>The philosophical</w:t>
      </w:r>
      <w:r>
        <w:t xml:space="preserve"> stance that there exists an objective reality can be studied and understood.</w:t>
      </w:r>
    </w:p>
    <w:p w14:paraId="32C6ED6B" w14:textId="4EF60AD8" w:rsidR="00D86348" w:rsidRDefault="00D86348" w:rsidP="00286379">
      <w:pPr>
        <w:ind w:left="720" w:hanging="720"/>
      </w:pPr>
      <w:r w:rsidRPr="00CC75C2">
        <w:rPr>
          <w:b/>
          <w:bCs/>
        </w:rPr>
        <w:t>Ontology</w:t>
      </w:r>
      <w:r>
        <w:t xml:space="preserve">. </w:t>
      </w:r>
      <w:r w:rsidR="000D7AC1" w:rsidRPr="000D7AC1">
        <w:t>The branch of philosophy that studies the nature of reality.</w:t>
      </w:r>
    </w:p>
    <w:p w14:paraId="02EE68D9" w14:textId="5E5BA4BB" w:rsidR="00745346" w:rsidRPr="00E51366" w:rsidRDefault="00E51366" w:rsidP="00286379">
      <w:pPr>
        <w:ind w:left="720" w:hanging="720"/>
      </w:pPr>
      <w:r w:rsidRPr="00E51366">
        <w:rPr>
          <w:b/>
          <w:bCs/>
        </w:rPr>
        <w:t>Open-</w:t>
      </w:r>
      <w:r>
        <w:rPr>
          <w:b/>
          <w:bCs/>
        </w:rPr>
        <w:t>E</w:t>
      </w:r>
      <w:r w:rsidRPr="00E51366">
        <w:rPr>
          <w:b/>
          <w:bCs/>
        </w:rPr>
        <w:t xml:space="preserve">nded </w:t>
      </w:r>
      <w:r>
        <w:rPr>
          <w:b/>
          <w:bCs/>
        </w:rPr>
        <w:t>Q</w:t>
      </w:r>
      <w:r w:rsidRPr="00E51366">
        <w:rPr>
          <w:b/>
          <w:bCs/>
        </w:rPr>
        <w:t>uestions.</w:t>
      </w:r>
      <w:r w:rsidRPr="00E51366">
        <w:t xml:space="preserve"> Questions that allow respondents to provide answers in their own words, rather than selecting from predetermined options.</w:t>
      </w:r>
    </w:p>
    <w:p w14:paraId="148F0348" w14:textId="5E266B47" w:rsidR="00D86348" w:rsidRDefault="00D86348" w:rsidP="00286379">
      <w:pPr>
        <w:ind w:left="720" w:hanging="720"/>
      </w:pPr>
      <w:r w:rsidRPr="00CC75C2">
        <w:rPr>
          <w:b/>
          <w:bCs/>
        </w:rPr>
        <w:t>Operationalization</w:t>
      </w:r>
      <w:r>
        <w:t xml:space="preserve">.  The process of designing precise measures for abstract theoretical constructs. </w:t>
      </w:r>
    </w:p>
    <w:p w14:paraId="4D7D99BA" w14:textId="325CF75C" w:rsidR="00D86348" w:rsidRDefault="00D86348" w:rsidP="00286379">
      <w:pPr>
        <w:ind w:left="720" w:hanging="720"/>
      </w:pPr>
      <w:r w:rsidRPr="00CC75C2">
        <w:rPr>
          <w:b/>
          <w:bCs/>
        </w:rPr>
        <w:t>Ordinal Data</w:t>
      </w:r>
      <w:r>
        <w:t xml:space="preserve">. Ordinal data are a type of qualitative data that </w:t>
      </w:r>
      <w:r w:rsidR="004D7FF6">
        <w:t>is</w:t>
      </w:r>
      <w:r>
        <w:t xml:space="preserve"> grouped where the groupings have an implied order. </w:t>
      </w:r>
      <w:r w:rsidR="006054B1">
        <w:t>For</w:t>
      </w:r>
      <w:r>
        <w:t xml:space="preserve"> example, the "satisfaction" rating on a customer survey typically permits respondents to choose from several levels where one level is somehow better than another. See Qualitative Data.</w:t>
      </w:r>
    </w:p>
    <w:p w14:paraId="667F53BA" w14:textId="2517694B" w:rsidR="00D86348" w:rsidRDefault="00D86348" w:rsidP="00286379">
      <w:pPr>
        <w:ind w:left="720" w:hanging="720"/>
      </w:pPr>
      <w:r w:rsidRPr="00CC75C2">
        <w:rPr>
          <w:b/>
          <w:bCs/>
        </w:rPr>
        <w:lastRenderedPageBreak/>
        <w:t>P-Value</w:t>
      </w:r>
      <w:r>
        <w:t>. The probability that some finding reflects a null hypothesis. In most business research, a p-value of less than 0.05 (or 5%) is desired to infer that the null hypothesis can be rejected.</w:t>
      </w:r>
    </w:p>
    <w:p w14:paraId="3DBBFAA2" w14:textId="77777777" w:rsidR="00D86348" w:rsidRDefault="00D86348" w:rsidP="00286379">
      <w:pPr>
        <w:ind w:left="720" w:hanging="720"/>
      </w:pPr>
      <w:r w:rsidRPr="00CC75C2">
        <w:rPr>
          <w:b/>
          <w:bCs/>
        </w:rPr>
        <w:t>Paradigm</w:t>
      </w:r>
      <w:r>
        <w:t>. A pattern or model of how things work in the world. See Theory.</w:t>
      </w:r>
    </w:p>
    <w:p w14:paraId="6F8B008D" w14:textId="77777777" w:rsidR="00D86348" w:rsidRDefault="00D86348" w:rsidP="00286379">
      <w:pPr>
        <w:ind w:left="720" w:hanging="720"/>
      </w:pPr>
      <w:r w:rsidRPr="00CC75C2">
        <w:rPr>
          <w:b/>
          <w:bCs/>
        </w:rPr>
        <w:t>Parametric</w:t>
      </w:r>
      <w:r>
        <w:t>. Parametric data are data that conform to a distribution, usually a normal distribution. Statistical tests that work with parametric data are generally much more powerful and predictive than tests that work with nonparametric data. See Nonparametric.</w:t>
      </w:r>
    </w:p>
    <w:p w14:paraId="42A10A0C" w14:textId="6441F09D" w:rsidR="00D86348" w:rsidRDefault="00D86348" w:rsidP="00286379">
      <w:pPr>
        <w:ind w:left="720" w:hanging="720"/>
      </w:pPr>
      <w:r w:rsidRPr="00CC75C2">
        <w:rPr>
          <w:b/>
          <w:bCs/>
        </w:rPr>
        <w:t>Parsimony</w:t>
      </w:r>
      <w:r>
        <w:t xml:space="preserve">. A fundamental aspect of research </w:t>
      </w:r>
      <w:r w:rsidR="001B05A8">
        <w:t>states that</w:t>
      </w:r>
      <w:r>
        <w:t xml:space="preserve"> if two or more competing explanations are considered</w:t>
      </w:r>
      <w:r w:rsidR="001B05A8">
        <w:t>,</w:t>
      </w:r>
      <w:r>
        <w:t xml:space="preserve"> the simplest must be accepted. Thus, </w:t>
      </w:r>
      <w:r w:rsidR="001B05A8">
        <w:t xml:space="preserve">a </w:t>
      </w:r>
      <w:r>
        <w:t xml:space="preserve">researcher would state that the pyramids were built by humans using </w:t>
      </w:r>
      <w:r w:rsidR="001B05A8">
        <w:t>available</w:t>
      </w:r>
      <w:r>
        <w:t xml:space="preserve"> technology rather than aliens in spaceships.</w:t>
      </w:r>
    </w:p>
    <w:p w14:paraId="5C57577F" w14:textId="7B357DAA" w:rsidR="00AD11A5" w:rsidRPr="00AD11A5" w:rsidRDefault="00AD11A5" w:rsidP="00286379">
      <w:pPr>
        <w:ind w:left="720" w:hanging="720"/>
      </w:pPr>
      <w:r w:rsidRPr="00AD11A5">
        <w:rPr>
          <w:b/>
          <w:bCs/>
        </w:rPr>
        <w:t xml:space="preserve">Participant </w:t>
      </w:r>
      <w:r>
        <w:rPr>
          <w:b/>
          <w:bCs/>
        </w:rPr>
        <w:t>O</w:t>
      </w:r>
      <w:r w:rsidRPr="00AD11A5">
        <w:rPr>
          <w:b/>
          <w:bCs/>
        </w:rPr>
        <w:t>bservation.</w:t>
      </w:r>
      <w:r w:rsidRPr="00AD11A5">
        <w:t xml:space="preserve"> A qualitative research method where the researcher actively participates in and observes the activities of a group or community to gain an in-depth understanding of their behaviors, interactions, and experiences.</w:t>
      </w:r>
    </w:p>
    <w:p w14:paraId="7529BB6F" w14:textId="25E7859D" w:rsidR="002F6B42" w:rsidRPr="002F6B42" w:rsidRDefault="002F6B42" w:rsidP="00286379">
      <w:pPr>
        <w:ind w:left="720" w:hanging="720"/>
      </w:pPr>
      <w:r w:rsidRPr="002F6B42">
        <w:rPr>
          <w:b/>
          <w:bCs/>
        </w:rPr>
        <w:t>Plagiarism.</w:t>
      </w:r>
      <w:r w:rsidRPr="002F6B42">
        <w:t xml:space="preserve"> The act of using someone else's words, ideas, or work without proper attribution or permission, which is considered a serious ethical violation in academic research.</w:t>
      </w:r>
    </w:p>
    <w:p w14:paraId="370B4CB2" w14:textId="03A8935B" w:rsidR="00D86348" w:rsidRDefault="00D86348" w:rsidP="00286379">
      <w:pPr>
        <w:ind w:left="720" w:hanging="720"/>
      </w:pPr>
      <w:r w:rsidRPr="00CC75C2">
        <w:rPr>
          <w:b/>
          <w:bCs/>
        </w:rPr>
        <w:t>Population</w:t>
      </w:r>
      <w:r>
        <w:t>. A set of similar items or events of interest to a researcher. For example, the set of small business owners in the United States would be a population. See Sample.</w:t>
      </w:r>
    </w:p>
    <w:p w14:paraId="478A1671" w14:textId="4E84F41C" w:rsidR="00D86348" w:rsidRDefault="00D86348" w:rsidP="00286379">
      <w:pPr>
        <w:ind w:left="720" w:hanging="720"/>
      </w:pPr>
      <w:r w:rsidRPr="00CC75C2">
        <w:rPr>
          <w:b/>
          <w:bCs/>
        </w:rPr>
        <w:t>Positivism</w:t>
      </w:r>
      <w:r>
        <w:t xml:space="preserve">. </w:t>
      </w:r>
      <w:r w:rsidR="00185B35">
        <w:t xml:space="preserve">This </w:t>
      </w:r>
      <w:r>
        <w:t>philosophical system posits that any justifiable assertion can be scientifically verified using statistics and logic. Thus, positivism rejects concepts like metaphysics and theism.</w:t>
      </w:r>
    </w:p>
    <w:p w14:paraId="178BB55C" w14:textId="77777777" w:rsidR="00D86348" w:rsidRDefault="00D86348" w:rsidP="00286379">
      <w:pPr>
        <w:ind w:left="720" w:hanging="720"/>
      </w:pPr>
      <w:r w:rsidRPr="00CC75C2">
        <w:rPr>
          <w:b/>
          <w:bCs/>
        </w:rPr>
        <w:t>Positivist</w:t>
      </w:r>
      <w:r>
        <w:t>. A researcher who uses positivist techniques on research projects. See Positivism.</w:t>
      </w:r>
    </w:p>
    <w:p w14:paraId="65B948C3" w14:textId="6A4EEAF9" w:rsidR="00D86348" w:rsidRDefault="00D86348" w:rsidP="00286379">
      <w:pPr>
        <w:ind w:left="720" w:hanging="720"/>
      </w:pPr>
      <w:r w:rsidRPr="00CC75C2">
        <w:rPr>
          <w:b/>
          <w:bCs/>
        </w:rPr>
        <w:t>Post-Modernism</w:t>
      </w:r>
      <w:r>
        <w:t>. A philosophical reaction to the assumptions and values of the "modern” period (roughly the 17th to 19th century). Post-modernists believe that rather than an objective reality independent of humans</w:t>
      </w:r>
      <w:r w:rsidR="00756495">
        <w:t>,</w:t>
      </w:r>
      <w:r>
        <w:t xml:space="preserve"> there is a subjective interpretation of reality</w:t>
      </w:r>
      <w:r w:rsidR="00756495">
        <w:t>,</w:t>
      </w:r>
      <w:r>
        <w:t xml:space="preserve"> so there is no such thing as a single "Truth."</w:t>
      </w:r>
    </w:p>
    <w:p w14:paraId="10293F7A" w14:textId="77777777" w:rsidR="00D86348" w:rsidRDefault="00D86348" w:rsidP="00286379">
      <w:pPr>
        <w:ind w:left="720" w:hanging="720"/>
      </w:pPr>
      <w:r w:rsidRPr="00CC75C2">
        <w:rPr>
          <w:b/>
          <w:bCs/>
        </w:rPr>
        <w:t>Pragmatism</w:t>
      </w:r>
      <w:r>
        <w:t xml:space="preserve">. An approach to research that values practical application over theory-building. </w:t>
      </w:r>
    </w:p>
    <w:p w14:paraId="1974EE9C" w14:textId="70993F2D" w:rsidR="00D86348" w:rsidRDefault="00D86348" w:rsidP="00286379">
      <w:pPr>
        <w:ind w:left="720" w:hanging="720"/>
      </w:pPr>
      <w:r w:rsidRPr="00CC75C2">
        <w:rPr>
          <w:b/>
          <w:bCs/>
        </w:rPr>
        <w:t>Precision</w:t>
      </w:r>
      <w:r>
        <w:t>. Research projects must precisely focus on one aspect of a problem</w:t>
      </w:r>
      <w:r w:rsidR="00756495">
        <w:t>,</w:t>
      </w:r>
      <w:r>
        <w:t xml:space="preserve"> or they will become so broad that their value will be diminished.</w:t>
      </w:r>
    </w:p>
    <w:p w14:paraId="35F28E7F" w14:textId="5134898C" w:rsidR="00D86348" w:rsidRDefault="00D86348" w:rsidP="00286379">
      <w:pPr>
        <w:ind w:left="720" w:hanging="720"/>
      </w:pPr>
      <w:r w:rsidRPr="00CC75C2">
        <w:rPr>
          <w:b/>
          <w:bCs/>
        </w:rPr>
        <w:t>Predictive Validity</w:t>
      </w:r>
      <w:r>
        <w:t>. The degree to which a measure predicts an outcome. For example, does</w:t>
      </w:r>
      <w:r w:rsidR="009560F0">
        <w:t xml:space="preserve"> an</w:t>
      </w:r>
      <w:r>
        <w:t xml:space="preserve"> increas</w:t>
      </w:r>
      <w:r w:rsidR="009560F0">
        <w:t>e in</w:t>
      </w:r>
      <w:r>
        <w:t xml:space="preserve"> beer sales (a measure) predict </w:t>
      </w:r>
      <w:r w:rsidR="00BA63FC">
        <w:t>increased</w:t>
      </w:r>
      <w:r>
        <w:t xml:space="preserve"> potato chip sales? See Concurrent Validity.</w:t>
      </w:r>
    </w:p>
    <w:p w14:paraId="3A739DE1" w14:textId="0FDE9D44" w:rsidR="00DC1AC8" w:rsidRPr="00DC1AC8" w:rsidRDefault="00DC1AC8" w:rsidP="00286379">
      <w:pPr>
        <w:ind w:left="720" w:hanging="720"/>
      </w:pPr>
      <w:r w:rsidRPr="00DC1AC8">
        <w:rPr>
          <w:b/>
          <w:bCs/>
        </w:rPr>
        <w:t>Pretest-</w:t>
      </w:r>
      <w:r>
        <w:rPr>
          <w:b/>
          <w:bCs/>
        </w:rPr>
        <w:t>P</w:t>
      </w:r>
      <w:r w:rsidRPr="00DC1AC8">
        <w:rPr>
          <w:b/>
          <w:bCs/>
        </w:rPr>
        <w:t xml:space="preserve">osttest </w:t>
      </w:r>
      <w:r>
        <w:rPr>
          <w:b/>
          <w:bCs/>
        </w:rPr>
        <w:t>C</w:t>
      </w:r>
      <w:r w:rsidRPr="00DC1AC8">
        <w:rPr>
          <w:b/>
          <w:bCs/>
        </w:rPr>
        <w:t xml:space="preserve">ontrol </w:t>
      </w:r>
      <w:r>
        <w:rPr>
          <w:b/>
          <w:bCs/>
        </w:rPr>
        <w:t>G</w:t>
      </w:r>
      <w:r w:rsidRPr="00DC1AC8">
        <w:rPr>
          <w:b/>
          <w:bCs/>
        </w:rPr>
        <w:t xml:space="preserve">roup </w:t>
      </w:r>
      <w:r>
        <w:rPr>
          <w:b/>
          <w:bCs/>
        </w:rPr>
        <w:t>D</w:t>
      </w:r>
      <w:r w:rsidRPr="00DC1AC8">
        <w:rPr>
          <w:b/>
          <w:bCs/>
        </w:rPr>
        <w:t>esign.</w:t>
      </w:r>
      <w:r w:rsidRPr="00DC1AC8">
        <w:t xml:space="preserve"> An experimental design in which participants are randomly assigned to either a treatment or control group, and measurements are taken both before and after the intervention.</w:t>
      </w:r>
    </w:p>
    <w:p w14:paraId="777672F3" w14:textId="1C46B17B" w:rsidR="00CD7977" w:rsidRPr="006D3485" w:rsidRDefault="006D3485" w:rsidP="00286379">
      <w:pPr>
        <w:ind w:left="720" w:hanging="720"/>
      </w:pPr>
      <w:r w:rsidRPr="006D3485">
        <w:rPr>
          <w:b/>
          <w:bCs/>
        </w:rPr>
        <w:lastRenderedPageBreak/>
        <w:t xml:space="preserve">Primary </w:t>
      </w:r>
      <w:r>
        <w:rPr>
          <w:b/>
          <w:bCs/>
        </w:rPr>
        <w:t>S</w:t>
      </w:r>
      <w:r w:rsidRPr="006D3485">
        <w:rPr>
          <w:b/>
          <w:bCs/>
        </w:rPr>
        <w:t>ources.</w:t>
      </w:r>
      <w:r w:rsidRPr="006D3485">
        <w:t xml:space="preserve"> Original materials or data that have not been previously analyzed or interpreted, such as direct observations, interviews, or documents.</w:t>
      </w:r>
    </w:p>
    <w:p w14:paraId="2011D584" w14:textId="0F7ADCD4" w:rsidR="0010095D" w:rsidRPr="00B2048F" w:rsidRDefault="00B2048F" w:rsidP="00286379">
      <w:pPr>
        <w:ind w:left="720" w:hanging="720"/>
      </w:pPr>
      <w:r w:rsidRPr="00B2048F">
        <w:rPr>
          <w:b/>
          <w:bCs/>
        </w:rPr>
        <w:t>Privacy</w:t>
      </w:r>
      <w:r>
        <w:rPr>
          <w:b/>
          <w:bCs/>
        </w:rPr>
        <w:t>.</w:t>
      </w:r>
      <w:r w:rsidRPr="00B2048F">
        <w:t xml:space="preserve"> The right of individuals to control access to their personal information, thoughts, and emotions.</w:t>
      </w:r>
    </w:p>
    <w:p w14:paraId="35515DFA" w14:textId="7A751CD1" w:rsidR="00D86348" w:rsidRDefault="00D86348" w:rsidP="00286379">
      <w:pPr>
        <w:ind w:left="720" w:hanging="720"/>
      </w:pPr>
      <w:r w:rsidRPr="00CC75C2">
        <w:rPr>
          <w:b/>
          <w:bCs/>
        </w:rPr>
        <w:t>Probability Sampling</w:t>
      </w:r>
      <w:r>
        <w:t xml:space="preserve">. A type of sampling that involves a random selection from a population. It is called probability sampling since every member of the population has a probability </w:t>
      </w:r>
      <w:r w:rsidR="00F3731F">
        <w:t>of being</w:t>
      </w:r>
      <w:r>
        <w:t xml:space="preserve"> selected. This</w:t>
      </w:r>
      <w:r w:rsidR="00F3731F">
        <w:t xml:space="preserve"> type of sampling</w:t>
      </w:r>
      <w:r>
        <w:t xml:space="preserve"> is frequently called "random sampling" since members of the population are chosen </w:t>
      </w:r>
      <w:r w:rsidR="00F3731F">
        <w:t>randomly</w:t>
      </w:r>
      <w:r>
        <w:t>. See Non</w:t>
      </w:r>
      <w:r w:rsidR="000D3662">
        <w:t>-</w:t>
      </w:r>
      <w:r w:rsidR="00E26B9C">
        <w:t>P</w:t>
      </w:r>
      <w:r>
        <w:t>robability Sampling.</w:t>
      </w:r>
    </w:p>
    <w:p w14:paraId="0D8F105F" w14:textId="2BA2EB43" w:rsidR="00D86348" w:rsidRDefault="00D86348" w:rsidP="00286379">
      <w:pPr>
        <w:ind w:left="720" w:hanging="720"/>
      </w:pPr>
      <w:r w:rsidRPr="00CC75C2">
        <w:rPr>
          <w:b/>
          <w:bCs/>
        </w:rPr>
        <w:t>Proposition</w:t>
      </w:r>
      <w:r>
        <w:t xml:space="preserve">. </w:t>
      </w:r>
      <w:r w:rsidR="00F3731F">
        <w:t>This</w:t>
      </w:r>
      <w:r w:rsidR="0005268D">
        <w:t xml:space="preserve"> statement</w:t>
      </w:r>
      <w:r w:rsidR="00F3731F">
        <w:t xml:space="preserve"> </w:t>
      </w:r>
      <w:r>
        <w:t>expresses a judgment or opinion.</w:t>
      </w:r>
    </w:p>
    <w:p w14:paraId="2B7C87D2" w14:textId="5C2C8A1B" w:rsidR="00DA4A6C" w:rsidRPr="00166BEB" w:rsidRDefault="00166BEB" w:rsidP="00286379">
      <w:pPr>
        <w:ind w:left="720" w:hanging="720"/>
      </w:pPr>
      <w:r w:rsidRPr="00166BEB">
        <w:rPr>
          <w:b/>
          <w:bCs/>
        </w:rPr>
        <w:t xml:space="preserve">Purposive </w:t>
      </w:r>
      <w:r>
        <w:rPr>
          <w:b/>
          <w:bCs/>
        </w:rPr>
        <w:t>S</w:t>
      </w:r>
      <w:r w:rsidRPr="00166BEB">
        <w:rPr>
          <w:b/>
          <w:bCs/>
        </w:rPr>
        <w:t>ampling.</w:t>
      </w:r>
      <w:r w:rsidRPr="00166BEB">
        <w:t xml:space="preserve"> A sampling strategy used in interpretive research to deliberately select cases that are most relevant to the research question, prioritizing insight over representativeness.</w:t>
      </w:r>
    </w:p>
    <w:p w14:paraId="4473CA1A" w14:textId="558D5ED9" w:rsidR="00D86348" w:rsidRDefault="00D86348" w:rsidP="00286379">
      <w:pPr>
        <w:ind w:left="720" w:hanging="720"/>
      </w:pPr>
      <w:r w:rsidRPr="00CC75C2">
        <w:rPr>
          <w:b/>
          <w:bCs/>
        </w:rPr>
        <w:t>Qualitative Data</w:t>
      </w:r>
      <w:r>
        <w:t>. Qualitative data approximates or describes attributes that cannot be directly measured, like employee morale, customer relationships, and management effectiveness. Typically, qualitative data answer questions like "why" and "how come." See Quantitative Data.</w:t>
      </w:r>
    </w:p>
    <w:p w14:paraId="291D2D20" w14:textId="2EB51496" w:rsidR="00D86348" w:rsidRDefault="00D86348" w:rsidP="00286379">
      <w:pPr>
        <w:ind w:left="720" w:hanging="720"/>
      </w:pPr>
      <w:r w:rsidRPr="00CC75C2">
        <w:rPr>
          <w:b/>
          <w:bCs/>
        </w:rPr>
        <w:t>Qualitative Research</w:t>
      </w:r>
      <w:r>
        <w:t xml:space="preserve">. Qualitative research typically intends to explore observed phenomena </w:t>
      </w:r>
      <w:r w:rsidR="005A3B82">
        <w:t>to develop</w:t>
      </w:r>
      <w:r>
        <w:t xml:space="preserve"> hypotheses and dive deep into a problem. Qualitative data collection involves semi-structured activities like focus groups and ethnographies. See Quantitative Research.</w:t>
      </w:r>
    </w:p>
    <w:p w14:paraId="5F58EAC2" w14:textId="77777777" w:rsidR="00D86348" w:rsidRDefault="00D86348" w:rsidP="00286379">
      <w:pPr>
        <w:ind w:left="720" w:hanging="720"/>
      </w:pPr>
      <w:r w:rsidRPr="00CC75C2">
        <w:rPr>
          <w:b/>
          <w:bCs/>
        </w:rPr>
        <w:t>Quantitative Data</w:t>
      </w:r>
      <w:r>
        <w:t>. Quantitative data are numeric measurements of attributes, like the number of employees, the median value of housing, and total revenue. Quantitative data are gathered and analyzed using statistical methods. See Qualitative Data.</w:t>
      </w:r>
    </w:p>
    <w:p w14:paraId="7132EEEA" w14:textId="77777777" w:rsidR="00D86348" w:rsidRDefault="00D86348" w:rsidP="00286379">
      <w:pPr>
        <w:ind w:left="720" w:hanging="720"/>
      </w:pPr>
      <w:r w:rsidRPr="00CC75C2">
        <w:rPr>
          <w:b/>
          <w:bCs/>
        </w:rPr>
        <w:t>Quantitative Research</w:t>
      </w:r>
      <w:r>
        <w:t>. Quantitative research typically uses numerical data and statistical analysis to find patterns and generalize results to a large population. Quantitative data collection involves structured activities like surveys, interviews, and systematic observations. See Qualitative Research.</w:t>
      </w:r>
    </w:p>
    <w:p w14:paraId="5FA2EF66" w14:textId="65E71E1A" w:rsidR="00A20E97" w:rsidRPr="00A20E97" w:rsidRDefault="00A20E97" w:rsidP="00286379">
      <w:pPr>
        <w:ind w:left="720" w:hanging="720"/>
      </w:pPr>
      <w:r w:rsidRPr="00A20E97">
        <w:rPr>
          <w:b/>
          <w:bCs/>
        </w:rPr>
        <w:t>Quasi-</w:t>
      </w:r>
      <w:r>
        <w:rPr>
          <w:b/>
          <w:bCs/>
        </w:rPr>
        <w:t>E</w:t>
      </w:r>
      <w:r w:rsidRPr="00A20E97">
        <w:rPr>
          <w:b/>
          <w:bCs/>
        </w:rPr>
        <w:t xml:space="preserve">xperimental </w:t>
      </w:r>
      <w:r>
        <w:rPr>
          <w:b/>
          <w:bCs/>
        </w:rPr>
        <w:t>D</w:t>
      </w:r>
      <w:r w:rsidRPr="00A20E97">
        <w:rPr>
          <w:b/>
          <w:bCs/>
        </w:rPr>
        <w:t>esign.</w:t>
      </w:r>
      <w:r w:rsidRPr="00A20E97">
        <w:t xml:space="preserve"> A research design that shares many similarities with true experimental designs but lacks random assignment of participants to treatment and control groups.</w:t>
      </w:r>
    </w:p>
    <w:p w14:paraId="4A046A10" w14:textId="57E74DDD" w:rsidR="00D86348" w:rsidRDefault="00D86348" w:rsidP="00286379">
      <w:pPr>
        <w:ind w:left="720" w:hanging="720"/>
      </w:pPr>
      <w:r w:rsidRPr="00CC75C2">
        <w:rPr>
          <w:b/>
          <w:bCs/>
        </w:rPr>
        <w:t>Questionnaire</w:t>
      </w:r>
      <w:r>
        <w:t>. A type of survey research tool comprised of a written set of questions. Questionnaires are typically self-administered</w:t>
      </w:r>
      <w:r w:rsidR="00363416">
        <w:t>. T</w:t>
      </w:r>
      <w:r>
        <w:t>hat is, they are sent to respondents and completed without assistance.</w:t>
      </w:r>
    </w:p>
    <w:p w14:paraId="2665C6C0" w14:textId="465C4668" w:rsidR="00D86348" w:rsidRDefault="00D86348" w:rsidP="00286379">
      <w:pPr>
        <w:ind w:left="720" w:hanging="720"/>
      </w:pPr>
      <w:r w:rsidRPr="00CC75C2">
        <w:rPr>
          <w:b/>
          <w:bCs/>
        </w:rPr>
        <w:t>Radical Humanism</w:t>
      </w:r>
      <w:r>
        <w:t xml:space="preserve">. Humanism is a philosophical and ethical stance that emphasizes the value of human beings. It prefers critical thinking and evidence over dogma and superstition. Radical humanists believe that the world is constantly changing, in sometimes radical </w:t>
      </w:r>
      <w:r>
        <w:lastRenderedPageBreak/>
        <w:t>ways, with few predic</w:t>
      </w:r>
      <w:r w:rsidR="00A94EBC">
        <w:t>t</w:t>
      </w:r>
      <w:r>
        <w:t>able patterns. Research often involves subjectively interpreting evidence like interviews and focus groups.</w:t>
      </w:r>
    </w:p>
    <w:p w14:paraId="29866C8C" w14:textId="5D05E9D5" w:rsidR="00D86348" w:rsidRDefault="00D86348" w:rsidP="00286379">
      <w:pPr>
        <w:ind w:left="720" w:hanging="720"/>
      </w:pPr>
      <w:r w:rsidRPr="00CC75C2">
        <w:rPr>
          <w:b/>
          <w:bCs/>
        </w:rPr>
        <w:t>Radical Structure</w:t>
      </w:r>
      <w:r>
        <w:t>. A structuralist believes that the world can be studied objectively and understood mathematically and scientifically without subjective interpretation. Radical structuralists believe that the world is constantly changing, in sometimes radical ways, with few predictable patterns. Research often involves objectively interpreting evidence like direct measurements of populations.</w:t>
      </w:r>
    </w:p>
    <w:p w14:paraId="252C3B5D" w14:textId="0F559B94" w:rsidR="002F7662" w:rsidRPr="002F7662" w:rsidRDefault="002F7662" w:rsidP="00286379">
      <w:pPr>
        <w:ind w:left="720" w:hanging="720"/>
      </w:pPr>
      <w:r w:rsidRPr="002F7662">
        <w:rPr>
          <w:b/>
          <w:bCs/>
        </w:rPr>
        <w:t xml:space="preserve">Random </w:t>
      </w:r>
      <w:r>
        <w:rPr>
          <w:b/>
          <w:bCs/>
        </w:rPr>
        <w:t>A</w:t>
      </w:r>
      <w:r w:rsidRPr="002F7662">
        <w:rPr>
          <w:b/>
          <w:bCs/>
        </w:rPr>
        <w:t>ssignment.</w:t>
      </w:r>
      <w:r w:rsidRPr="002F7662">
        <w:t xml:space="preserve"> The process of allocating participants to treatment or control groups in an experimental study purely by chance, ensuring that any differences between the groups are due to the intervention rather than pre-existing factors.</w:t>
      </w:r>
    </w:p>
    <w:p w14:paraId="6247E966" w14:textId="0F20C8AC" w:rsidR="00FE4E41" w:rsidRPr="007D0716" w:rsidRDefault="007D0716" w:rsidP="00286379">
      <w:pPr>
        <w:ind w:left="720" w:hanging="720"/>
      </w:pPr>
      <w:r w:rsidRPr="007D0716">
        <w:rPr>
          <w:b/>
          <w:bCs/>
        </w:rPr>
        <w:t>Rapport.</w:t>
      </w:r>
      <w:r w:rsidRPr="007D0716">
        <w:t xml:space="preserve"> A positive, trusting relationship between an interviewer and a respondent that facilitates open and honest communication.</w:t>
      </w:r>
    </w:p>
    <w:p w14:paraId="24FF0490" w14:textId="6997092D" w:rsidR="00D86348" w:rsidRDefault="00D86348" w:rsidP="00286379">
      <w:pPr>
        <w:ind w:left="720" w:hanging="720"/>
      </w:pPr>
      <w:r w:rsidRPr="00CC75C2">
        <w:rPr>
          <w:b/>
          <w:bCs/>
        </w:rPr>
        <w:t>Ratio Data</w:t>
      </w:r>
      <w:r>
        <w:t>. Ratio data are a type of quantitative data measured along a scale where each point is an equal distance from the next</w:t>
      </w:r>
      <w:r w:rsidR="007B5E7B">
        <w:t>,</w:t>
      </w:r>
      <w:r>
        <w:t xml:space="preserve"> and there is a zero point. An example of ratio data is people's heights, measured along a uniform scale, e.g.</w:t>
      </w:r>
      <w:r w:rsidR="007B5E7B">
        <w:t>,</w:t>
      </w:r>
      <w:r>
        <w:t xml:space="preserve"> inches or centimeters. Because there is a</w:t>
      </w:r>
      <w:r w:rsidR="007B5E7B">
        <w:t>n actual</w:t>
      </w:r>
      <w:r>
        <w:t xml:space="preserve"> zero point, it is possible to determine that one person is twice as tall as </w:t>
      </w:r>
      <w:r w:rsidR="007C2E8C">
        <w:t>someone else</w:t>
      </w:r>
      <w:r>
        <w:t>. See Quantitative Data.</w:t>
      </w:r>
    </w:p>
    <w:p w14:paraId="665EC9A6" w14:textId="77777777" w:rsidR="00D86348" w:rsidRDefault="00D86348" w:rsidP="00286379">
      <w:pPr>
        <w:ind w:left="720" w:hanging="720"/>
      </w:pPr>
      <w:r w:rsidRPr="00CC75C2">
        <w:rPr>
          <w:b/>
          <w:bCs/>
        </w:rPr>
        <w:t>Realism</w:t>
      </w:r>
      <w:r>
        <w:t>. A philosophical position that the world exists apart from human interpretation and understanding. A realist believes that research must be objective and not dependent upon the interpretation of the researcher.</w:t>
      </w:r>
    </w:p>
    <w:p w14:paraId="684B412E" w14:textId="6621EC53" w:rsidR="00F81F67" w:rsidRPr="00F81F67" w:rsidRDefault="00F81F67" w:rsidP="00286379">
      <w:pPr>
        <w:ind w:left="720" w:hanging="720"/>
      </w:pPr>
      <w:r w:rsidRPr="00F81F67">
        <w:rPr>
          <w:b/>
          <w:bCs/>
        </w:rPr>
        <w:t>Reflexivity.</w:t>
      </w:r>
      <w:r w:rsidRPr="00F81F67">
        <w:t xml:space="preserve"> The practice of researchers critically examining their own role, biases, and influence on the research process and findings, and being transparent about these factors in their work.</w:t>
      </w:r>
    </w:p>
    <w:p w14:paraId="5D6ACE21" w14:textId="6E846608" w:rsidR="00D86348" w:rsidRDefault="00D86348" w:rsidP="00286379">
      <w:pPr>
        <w:ind w:left="720" w:hanging="720"/>
      </w:pPr>
      <w:r w:rsidRPr="00CC75C2">
        <w:rPr>
          <w:b/>
          <w:bCs/>
        </w:rPr>
        <w:t>Regression-Discontinuity</w:t>
      </w:r>
      <w:r w:rsidRPr="00F81F67">
        <w:rPr>
          <w:b/>
          <w:bCs/>
        </w:rPr>
        <w:t xml:space="preserve"> Design.</w:t>
      </w:r>
      <w:r>
        <w:t xml:space="preserve"> A </w:t>
      </w:r>
      <w:r w:rsidR="007C2E8C">
        <w:t xml:space="preserve">quasi-experimental design </w:t>
      </w:r>
      <w:r>
        <w:t xml:space="preserve">where subjects are assigned to a treatment or control group based on a cutoff score on </w:t>
      </w:r>
      <w:r w:rsidR="00BA63FC">
        <w:t>a</w:t>
      </w:r>
      <w:r>
        <w:t xml:space="preserve"> pre-program measure.</w:t>
      </w:r>
    </w:p>
    <w:p w14:paraId="51621AAD" w14:textId="1BA0E5E2" w:rsidR="00183638" w:rsidRPr="00492B9B" w:rsidRDefault="00492B9B" w:rsidP="00286379">
      <w:pPr>
        <w:ind w:left="720" w:hanging="720"/>
      </w:pPr>
      <w:r w:rsidRPr="00492B9B">
        <w:rPr>
          <w:b/>
          <w:bCs/>
        </w:rPr>
        <w:t>Reification.</w:t>
      </w:r>
      <w:r w:rsidRPr="00492B9B">
        <w:t xml:space="preserve"> The fallacy of treating an abstract concept as if it were a real, concrete object or entity.</w:t>
      </w:r>
    </w:p>
    <w:p w14:paraId="6572A63F" w14:textId="3B29E5CF" w:rsidR="00D86348" w:rsidRDefault="00D86348" w:rsidP="00286379">
      <w:pPr>
        <w:ind w:left="720" w:hanging="720"/>
      </w:pPr>
      <w:r w:rsidRPr="00CC75C2">
        <w:rPr>
          <w:b/>
          <w:bCs/>
        </w:rPr>
        <w:t>Reliability</w:t>
      </w:r>
      <w:r>
        <w:t xml:space="preserve">. A descriptor for the consistency of a concept's measure. It is desirable to achieve the same or nearly </w:t>
      </w:r>
      <w:r w:rsidR="000B59EF">
        <w:t xml:space="preserve">the </w:t>
      </w:r>
      <w:r>
        <w:t xml:space="preserve">same values for each sampling. </w:t>
      </w:r>
      <w:r w:rsidR="00F038A1">
        <w:t>I</w:t>
      </w:r>
      <w:r>
        <w:t xml:space="preserve">f the mean age of people in one sample is 30 </w:t>
      </w:r>
      <w:r w:rsidR="00F038A1">
        <w:t>but</w:t>
      </w:r>
      <w:r>
        <w:t xml:space="preserve"> 50</w:t>
      </w:r>
      <w:r w:rsidR="00F038A1">
        <w:t xml:space="preserve"> in another</w:t>
      </w:r>
      <w:r w:rsidR="000B59EF">
        <w:t xml:space="preserve">, </w:t>
      </w:r>
      <w:r w:rsidR="001751EA">
        <w:t xml:space="preserve">it </w:t>
      </w:r>
      <w:r w:rsidR="000B59EF">
        <w:t>would indicate a problem with the</w:t>
      </w:r>
      <w:r>
        <w:t xml:space="preserve"> </w:t>
      </w:r>
      <w:r w:rsidR="001751EA">
        <w:t xml:space="preserve">data </w:t>
      </w:r>
      <w:r>
        <w:t>reliability. See Validity.</w:t>
      </w:r>
    </w:p>
    <w:p w14:paraId="7A60AC0E" w14:textId="0F7A985B" w:rsidR="00D86348" w:rsidRDefault="00D86348" w:rsidP="00286379">
      <w:pPr>
        <w:ind w:left="720" w:hanging="720"/>
      </w:pPr>
      <w:r w:rsidRPr="00CC75C2">
        <w:rPr>
          <w:b/>
          <w:bCs/>
        </w:rPr>
        <w:t>Replicability</w:t>
      </w:r>
      <w:r>
        <w:t xml:space="preserve">. A research project must be able to be replicated by other researchers or at other times </w:t>
      </w:r>
      <w:r w:rsidR="00E26B9C">
        <w:t>to</w:t>
      </w:r>
      <w:r>
        <w:t xml:space="preserve"> be considered sound.</w:t>
      </w:r>
    </w:p>
    <w:p w14:paraId="0DCF3732" w14:textId="73CBF8B4" w:rsidR="00B82729" w:rsidRPr="00977DD0" w:rsidRDefault="00977DD0" w:rsidP="00286379">
      <w:pPr>
        <w:ind w:left="720" w:hanging="720"/>
      </w:pPr>
      <w:r w:rsidRPr="00977DD0">
        <w:rPr>
          <w:b/>
          <w:bCs/>
        </w:rPr>
        <w:t>Retrospective.</w:t>
      </w:r>
      <w:r w:rsidRPr="00977DD0">
        <w:t xml:space="preserve"> A type of research study that collects data about past events or experiences at a single point in time, relying on subjects' recall.</w:t>
      </w:r>
    </w:p>
    <w:p w14:paraId="4BA8079B" w14:textId="61C1C345" w:rsidR="002D7B41" w:rsidRPr="002D7B41" w:rsidRDefault="002D7B41" w:rsidP="00286379">
      <w:pPr>
        <w:ind w:left="720" w:hanging="720"/>
      </w:pPr>
      <w:r w:rsidRPr="002D7B41">
        <w:rPr>
          <w:b/>
          <w:bCs/>
        </w:rPr>
        <w:lastRenderedPageBreak/>
        <w:t xml:space="preserve">Round </w:t>
      </w:r>
      <w:r>
        <w:rPr>
          <w:b/>
          <w:bCs/>
        </w:rPr>
        <w:t>T</w:t>
      </w:r>
      <w:r w:rsidRPr="002D7B41">
        <w:rPr>
          <w:b/>
          <w:bCs/>
        </w:rPr>
        <w:t>able.</w:t>
      </w:r>
      <w:r w:rsidRPr="002D7B41">
        <w:t xml:space="preserve"> A less formal presentation format that involves a group discussion of a topic or set of related studies, allowing for more interaction and feedback among participants.</w:t>
      </w:r>
    </w:p>
    <w:p w14:paraId="69B587E0" w14:textId="4FD579A1" w:rsidR="00D86348" w:rsidRDefault="00D86348" w:rsidP="00286379">
      <w:pPr>
        <w:ind w:left="720" w:hanging="720"/>
      </w:pPr>
      <w:r w:rsidRPr="00CC75C2">
        <w:rPr>
          <w:b/>
          <w:bCs/>
        </w:rPr>
        <w:t>Sample</w:t>
      </w:r>
      <w:r>
        <w:t>. A subset of a population from which data are drawn to make inferences about the entire population. See Population.</w:t>
      </w:r>
    </w:p>
    <w:p w14:paraId="742A80B3" w14:textId="0ACE9CAE" w:rsidR="00D86348" w:rsidRDefault="00D86348" w:rsidP="00286379">
      <w:pPr>
        <w:ind w:left="720" w:hanging="720"/>
      </w:pPr>
      <w:r w:rsidRPr="00CC75C2">
        <w:rPr>
          <w:b/>
          <w:bCs/>
        </w:rPr>
        <w:t>Sampling Frame</w:t>
      </w:r>
      <w:r>
        <w:t xml:space="preserve">. A subset of a sample that is accessible to the researcher. </w:t>
      </w:r>
      <w:r w:rsidR="001751EA">
        <w:t>For</w:t>
      </w:r>
      <w:r>
        <w:t xml:space="preserve"> example, if the sample is high school students</w:t>
      </w:r>
      <w:r w:rsidR="001751EA">
        <w:t>,</w:t>
      </w:r>
      <w:r>
        <w:t xml:space="preserve"> then the sampling frame could be the students in a specific high school or city. </w:t>
      </w:r>
    </w:p>
    <w:p w14:paraId="08122445" w14:textId="3F1A6287" w:rsidR="006D3485" w:rsidRPr="006D3485" w:rsidRDefault="006D3485" w:rsidP="00286379">
      <w:pPr>
        <w:ind w:left="720" w:hanging="720"/>
      </w:pPr>
      <w:r w:rsidRPr="006D3485">
        <w:rPr>
          <w:b/>
          <w:bCs/>
        </w:rPr>
        <w:t xml:space="preserve">Secondary </w:t>
      </w:r>
      <w:r>
        <w:rPr>
          <w:b/>
          <w:bCs/>
        </w:rPr>
        <w:t>S</w:t>
      </w:r>
      <w:r w:rsidRPr="006D3485">
        <w:rPr>
          <w:b/>
          <w:bCs/>
        </w:rPr>
        <w:t>ources.</w:t>
      </w:r>
      <w:r w:rsidRPr="006D3485">
        <w:t xml:space="preserve"> Materials that have been previously published or analyzed by other researchers, such as scholarly articles, books, or reports.</w:t>
      </w:r>
    </w:p>
    <w:p w14:paraId="1D985B8D" w14:textId="5F13723B" w:rsidR="00D86348" w:rsidRDefault="00D86348" w:rsidP="00286379">
      <w:pPr>
        <w:ind w:left="720" w:hanging="720"/>
      </w:pPr>
      <w:r w:rsidRPr="00CC75C2">
        <w:rPr>
          <w:b/>
          <w:bCs/>
        </w:rPr>
        <w:t>Semantic Differential</w:t>
      </w:r>
      <w:r>
        <w:t xml:space="preserve">. The Semantic Differential scale </w:t>
      </w:r>
      <w:r w:rsidR="00BA63FC">
        <w:t>determines</w:t>
      </w:r>
      <w:r>
        <w:t xml:space="preserve"> attitudes or opinions using a sliding scale of values between two opposite pairs of adjectives. For example, respondents can be asked to choose some value between "1-Dislike" and "5-Like" for a </w:t>
      </w:r>
      <w:r w:rsidR="00BE5BD4">
        <w:t>specific</w:t>
      </w:r>
      <w:r>
        <w:t xml:space="preserve"> snack sample in a store.</w:t>
      </w:r>
    </w:p>
    <w:p w14:paraId="78FCE1E6" w14:textId="77777777" w:rsidR="00D86348" w:rsidRDefault="00D86348" w:rsidP="00286379">
      <w:pPr>
        <w:ind w:left="720" w:hanging="720"/>
      </w:pPr>
      <w:r w:rsidRPr="00CC75C2">
        <w:rPr>
          <w:b/>
          <w:bCs/>
        </w:rPr>
        <w:t>Semiotics</w:t>
      </w:r>
      <w:r>
        <w:t>. The study of signs and symbols and their use or interpretation.</w:t>
      </w:r>
    </w:p>
    <w:p w14:paraId="18731ECE" w14:textId="77777777" w:rsidR="00D86348" w:rsidRDefault="00D86348" w:rsidP="00286379">
      <w:pPr>
        <w:ind w:left="720" w:hanging="720"/>
      </w:pPr>
      <w:r w:rsidRPr="00CC75C2">
        <w:rPr>
          <w:b/>
          <w:bCs/>
        </w:rPr>
        <w:t>SES</w:t>
      </w:r>
      <w:r>
        <w:t>. Socio-Economic Status.</w:t>
      </w:r>
    </w:p>
    <w:p w14:paraId="13718E32" w14:textId="6D175D16" w:rsidR="00D86348" w:rsidRDefault="00D86348" w:rsidP="00286379">
      <w:pPr>
        <w:ind w:left="720" w:hanging="720"/>
      </w:pPr>
      <w:r w:rsidRPr="00CC75C2">
        <w:rPr>
          <w:b/>
          <w:bCs/>
        </w:rPr>
        <w:t>Skew</w:t>
      </w:r>
      <w:r>
        <w:t xml:space="preserve">. </w:t>
      </w:r>
      <w:r w:rsidR="00A86EB2">
        <w:t>A</w:t>
      </w:r>
      <w:r w:rsidR="00C15B27">
        <w:t xml:space="preserve">n </w:t>
      </w:r>
      <w:r>
        <w:t>asymmetry in a distribution</w:t>
      </w:r>
      <w:r w:rsidR="00A86EB2">
        <w:t xml:space="preserve"> that distorts</w:t>
      </w:r>
      <w:r>
        <w:t xml:space="preserve"> a graph. A positive skew creates a longer tail on the right side of the graph.</w:t>
      </w:r>
    </w:p>
    <w:p w14:paraId="4C599B6D" w14:textId="65D2EC35" w:rsidR="00292682" w:rsidRPr="00F95985" w:rsidRDefault="00F95985" w:rsidP="00286379">
      <w:pPr>
        <w:ind w:left="720" w:hanging="720"/>
      </w:pPr>
      <w:r w:rsidRPr="00F95985">
        <w:rPr>
          <w:b/>
          <w:bCs/>
        </w:rPr>
        <w:t xml:space="preserve">Social </w:t>
      </w:r>
      <w:r>
        <w:rPr>
          <w:b/>
          <w:bCs/>
        </w:rPr>
        <w:t>D</w:t>
      </w:r>
      <w:r w:rsidRPr="00F95985">
        <w:rPr>
          <w:b/>
          <w:bCs/>
        </w:rPr>
        <w:t xml:space="preserve">esirability </w:t>
      </w:r>
      <w:r>
        <w:rPr>
          <w:b/>
          <w:bCs/>
        </w:rPr>
        <w:t>B</w:t>
      </w:r>
      <w:r w:rsidRPr="00F95985">
        <w:rPr>
          <w:b/>
          <w:bCs/>
        </w:rPr>
        <w:t>ias.</w:t>
      </w:r>
      <w:r w:rsidRPr="00F95985">
        <w:t xml:space="preserve"> The tendency of research participants to respond in a way that presents themselves in a favorable light, rather than providing completely honest or accurate answers.</w:t>
      </w:r>
    </w:p>
    <w:p w14:paraId="7B7B81D1" w14:textId="3268E7B0" w:rsidR="00D23421" w:rsidRPr="00D23421" w:rsidRDefault="00D23421" w:rsidP="00286379">
      <w:pPr>
        <w:ind w:left="720" w:hanging="720"/>
      </w:pPr>
      <w:r w:rsidRPr="00D23421">
        <w:rPr>
          <w:b/>
          <w:bCs/>
        </w:rPr>
        <w:t>Stakeholders.</w:t>
      </w:r>
      <w:r w:rsidRPr="00D23421">
        <w:t xml:space="preserve"> Individuals, groups, or organizations that have an interest or concern in the research process or findings, such as participants, funders, policymakers, and communities affected by the research.</w:t>
      </w:r>
    </w:p>
    <w:p w14:paraId="16D5B9BB" w14:textId="218B63AC" w:rsidR="00C92FDF" w:rsidRPr="00164895" w:rsidRDefault="00164895" w:rsidP="00286379">
      <w:pPr>
        <w:ind w:left="720" w:hanging="720"/>
      </w:pPr>
      <w:r w:rsidRPr="00164895">
        <w:rPr>
          <w:b/>
          <w:bCs/>
        </w:rPr>
        <w:t xml:space="preserve">Standard </w:t>
      </w:r>
      <w:r>
        <w:rPr>
          <w:b/>
          <w:bCs/>
        </w:rPr>
        <w:t>D</w:t>
      </w:r>
      <w:r w:rsidRPr="00164895">
        <w:rPr>
          <w:b/>
          <w:bCs/>
        </w:rPr>
        <w:t>eviation.</w:t>
      </w:r>
      <w:r w:rsidRPr="00164895">
        <w:t xml:space="preserve"> A measure of the dispersion of a dataset, calculated as the square root of the variance.</w:t>
      </w:r>
    </w:p>
    <w:p w14:paraId="0668C0FA" w14:textId="3E7E8589" w:rsidR="00D86348" w:rsidRDefault="00D86348" w:rsidP="00286379">
      <w:pPr>
        <w:ind w:left="720" w:hanging="720"/>
      </w:pPr>
      <w:r w:rsidRPr="00CC75C2">
        <w:rPr>
          <w:b/>
          <w:bCs/>
        </w:rPr>
        <w:t xml:space="preserve">Statistical Conclusion </w:t>
      </w:r>
      <w:r w:rsidRPr="00286379">
        <w:t>Validity</w:t>
      </w:r>
      <w:r>
        <w:t>. The degree to which the conclusions found in a research project are correct. Studies with high statistical conclusion validity minimize the two types of statistical errors: Type I (finding a correlation when there is none) and Type II (failing to find a correlation when one exists). See Validity.</w:t>
      </w:r>
    </w:p>
    <w:p w14:paraId="54852B48" w14:textId="758DF61F" w:rsidR="00164895" w:rsidRPr="00164895" w:rsidRDefault="00164895" w:rsidP="00972215">
      <w:pPr>
        <w:ind w:left="720" w:hanging="720"/>
      </w:pPr>
      <w:r w:rsidRPr="00164895">
        <w:rPr>
          <w:b/>
          <w:bCs/>
        </w:rPr>
        <w:t xml:space="preserve">Statistical </w:t>
      </w:r>
      <w:r>
        <w:rPr>
          <w:b/>
          <w:bCs/>
        </w:rPr>
        <w:t>S</w:t>
      </w:r>
      <w:r w:rsidRPr="00164895">
        <w:rPr>
          <w:b/>
          <w:bCs/>
        </w:rPr>
        <w:t>ignificance.</w:t>
      </w:r>
      <w:r w:rsidRPr="00164895">
        <w:t xml:space="preserve"> A result is considered statistically significant if the p-value is less than a predetermined threshold (usually 0.05), indicating that the observed findings are unlikely to have occurred by chance alone.</w:t>
      </w:r>
    </w:p>
    <w:p w14:paraId="02FDBD24" w14:textId="6FB6D7E4" w:rsidR="007540D1" w:rsidRPr="00972215" w:rsidRDefault="00972215" w:rsidP="00972215">
      <w:pPr>
        <w:ind w:left="720" w:hanging="720"/>
      </w:pPr>
      <w:r w:rsidRPr="00972215">
        <w:rPr>
          <w:b/>
          <w:bCs/>
        </w:rPr>
        <w:lastRenderedPageBreak/>
        <w:t xml:space="preserve">Stratified </w:t>
      </w:r>
      <w:r>
        <w:rPr>
          <w:b/>
          <w:bCs/>
        </w:rPr>
        <w:t>S</w:t>
      </w:r>
      <w:r w:rsidRPr="00972215">
        <w:rPr>
          <w:b/>
          <w:bCs/>
        </w:rPr>
        <w:t>ampling.</w:t>
      </w:r>
      <w:r w:rsidRPr="00972215">
        <w:t xml:space="preserve"> A probability sampling method where the population is divided into subgroups (strata) based on a characteristic, and then samples are randomly selected from each stratum.</w:t>
      </w:r>
    </w:p>
    <w:p w14:paraId="7BBFDBC2" w14:textId="481905BB" w:rsidR="00D86348" w:rsidRDefault="00D86348" w:rsidP="00286379">
      <w:pPr>
        <w:ind w:left="720" w:hanging="720"/>
      </w:pPr>
      <w:r w:rsidRPr="00CC75C2">
        <w:rPr>
          <w:b/>
          <w:bCs/>
        </w:rPr>
        <w:t>Survey</w:t>
      </w:r>
      <w:r>
        <w:t>. A research method us</w:t>
      </w:r>
      <w:r w:rsidR="00F65CC5">
        <w:t>es standardized questionnaires or interviews to collect data about people and their preferences, thoughts, and behaviors systematically</w:t>
      </w:r>
      <w:r>
        <w:t xml:space="preserve">. </w:t>
      </w:r>
    </w:p>
    <w:p w14:paraId="0A5E9060" w14:textId="366E82BA" w:rsidR="00D86348" w:rsidRDefault="00D86348" w:rsidP="00286379">
      <w:pPr>
        <w:ind w:left="720" w:hanging="720"/>
      </w:pPr>
      <w:r w:rsidRPr="00CC75C2">
        <w:rPr>
          <w:b/>
          <w:bCs/>
        </w:rPr>
        <w:t>T-Test</w:t>
      </w:r>
      <w:r>
        <w:t xml:space="preserve">. A test </w:t>
      </w:r>
      <w:r w:rsidR="00042827">
        <w:t xml:space="preserve">that is </w:t>
      </w:r>
      <w:r w:rsidR="00955926">
        <w:t xml:space="preserve">used to </w:t>
      </w:r>
      <w:r>
        <w:t xml:space="preserve">analyze the difference in two groups of </w:t>
      </w:r>
      <w:r w:rsidR="00042827">
        <w:t xml:space="preserve">normally distributed </w:t>
      </w:r>
      <w:r>
        <w:t>samples. See ANOVA.</w:t>
      </w:r>
    </w:p>
    <w:p w14:paraId="68D55FC1" w14:textId="4BBBCAFE" w:rsidR="00D86348" w:rsidRDefault="00D86348" w:rsidP="00286379">
      <w:pPr>
        <w:ind w:left="720" w:hanging="720"/>
      </w:pPr>
      <w:r w:rsidRPr="00CC75C2">
        <w:rPr>
          <w:b/>
          <w:bCs/>
        </w:rPr>
        <w:t>Theory</w:t>
      </w:r>
      <w:r>
        <w:t xml:space="preserve">. A system of ideas that is intended to explain phenomena. Theories that </w:t>
      </w:r>
      <w:r w:rsidR="00EA35FE">
        <w:t>scientists accept</w:t>
      </w:r>
      <w:r>
        <w:t xml:space="preserve"> have been repeatedly tested and can be used to make accurate predictions. Unlike common usage, a scientific theory is a tested, falsifiable explanation for phenomena. See Paradigm.</w:t>
      </w:r>
    </w:p>
    <w:p w14:paraId="7944BA85" w14:textId="40A74291" w:rsidR="007D0716" w:rsidRPr="007D0716" w:rsidRDefault="007D0716" w:rsidP="00286379">
      <w:pPr>
        <w:ind w:left="720" w:hanging="720"/>
      </w:pPr>
      <w:r w:rsidRPr="007D0716">
        <w:rPr>
          <w:b/>
          <w:bCs/>
        </w:rPr>
        <w:t>Transcription.</w:t>
      </w:r>
      <w:r w:rsidRPr="007D0716">
        <w:t xml:space="preserve"> The process of creating a written record of an interview by listening to an audio recording and typing out the conversation verbatim.</w:t>
      </w:r>
    </w:p>
    <w:p w14:paraId="5CC767BF" w14:textId="77BF1991" w:rsidR="00D86348" w:rsidRDefault="00D86348" w:rsidP="00286379">
      <w:pPr>
        <w:ind w:left="720" w:hanging="720"/>
      </w:pPr>
      <w:r w:rsidRPr="00CC75C2">
        <w:rPr>
          <w:b/>
          <w:bCs/>
        </w:rPr>
        <w:t>Translational Validity</w:t>
      </w:r>
      <w:r>
        <w:t xml:space="preserve">. The degree to which a </w:t>
      </w:r>
      <w:r w:rsidR="00EA35FE">
        <w:t>research project has measured a constru</w:t>
      </w:r>
      <w:r>
        <w:t>ct. Translational validity is divided into two types: face and content. See Validity.</w:t>
      </w:r>
    </w:p>
    <w:p w14:paraId="138A7581" w14:textId="0BDF874D" w:rsidR="001E214A" w:rsidRDefault="001E214A" w:rsidP="00286379">
      <w:pPr>
        <w:ind w:left="720" w:hanging="720"/>
      </w:pPr>
      <w:r w:rsidRPr="001E214A">
        <w:rPr>
          <w:b/>
          <w:bCs/>
        </w:rPr>
        <w:t>Triangulation.</w:t>
      </w:r>
      <w:r w:rsidRPr="001E214A">
        <w:t xml:space="preserve"> The use of multiple data sources, methods, investigators, or theories to enhance the validity, credibility, and comprehensiveness of research findings.</w:t>
      </w:r>
    </w:p>
    <w:p w14:paraId="7000C79D" w14:textId="57743232" w:rsidR="00F00C41" w:rsidRDefault="00F00C41" w:rsidP="00286379">
      <w:pPr>
        <w:ind w:left="720" w:hanging="720"/>
      </w:pPr>
      <w:r w:rsidRPr="00F00C41">
        <w:rPr>
          <w:b/>
          <w:bCs/>
        </w:rPr>
        <w:t xml:space="preserve">Type I </w:t>
      </w:r>
      <w:r>
        <w:rPr>
          <w:b/>
          <w:bCs/>
        </w:rPr>
        <w:t>E</w:t>
      </w:r>
      <w:r w:rsidRPr="00F00C41">
        <w:rPr>
          <w:b/>
          <w:bCs/>
        </w:rPr>
        <w:t>rror</w:t>
      </w:r>
      <w:r w:rsidRPr="00F00C41">
        <w:t>. A Type I error occurs when a researcher rejects a true null hypothesis, concluding that there is a significant effect or difference when</w:t>
      </w:r>
      <w:r w:rsidR="007F582E" w:rsidRPr="00F00C41">
        <w:t xml:space="preserve"> there</w:t>
      </w:r>
      <w:r w:rsidRPr="00F00C41">
        <w:t xml:space="preserve"> is none. It is also known as a "false positive" and is denoted by the Greek letter alpha (α).</w:t>
      </w:r>
    </w:p>
    <w:p w14:paraId="02A89B23" w14:textId="3C170D9F" w:rsidR="009108CB" w:rsidRPr="001E214A" w:rsidRDefault="009108CB" w:rsidP="00286379">
      <w:pPr>
        <w:ind w:left="720" w:hanging="720"/>
      </w:pPr>
      <w:r w:rsidRPr="009108CB">
        <w:rPr>
          <w:b/>
          <w:bCs/>
        </w:rPr>
        <w:t xml:space="preserve">Type II </w:t>
      </w:r>
      <w:r>
        <w:rPr>
          <w:b/>
          <w:bCs/>
        </w:rPr>
        <w:t>E</w:t>
      </w:r>
      <w:r w:rsidRPr="009108CB">
        <w:rPr>
          <w:b/>
          <w:bCs/>
        </w:rPr>
        <w:t>rror</w:t>
      </w:r>
      <w:r w:rsidRPr="009108CB">
        <w:t>. A Type II error occurs when a researcher fails to reject a false null hypothesis, concluding that there is no significant effect or difference when there is one. It is also known as a "false negative" and is denoted by the Greek letter beta (β).</w:t>
      </w:r>
    </w:p>
    <w:p w14:paraId="68E3F528" w14:textId="49386513" w:rsidR="00D86348" w:rsidRDefault="00D86348" w:rsidP="00286379">
      <w:pPr>
        <w:ind w:left="720" w:hanging="720"/>
      </w:pPr>
      <w:r w:rsidRPr="00CC75C2">
        <w:rPr>
          <w:b/>
          <w:bCs/>
        </w:rPr>
        <w:t>Univariate</w:t>
      </w:r>
      <w:r>
        <w:t>. A type of analysis involving a single variable. Univariate analysis findings include the central measure, standard deviation, and frequency distributions. Graphic tools include box plots for continuous data and bar plots for discrete data. See Bivariate.</w:t>
      </w:r>
    </w:p>
    <w:p w14:paraId="0272AED5" w14:textId="55700C09" w:rsidR="006D3485" w:rsidRPr="00E12AE1" w:rsidRDefault="00E12AE1" w:rsidP="00286379">
      <w:pPr>
        <w:ind w:left="720" w:hanging="720"/>
      </w:pPr>
      <w:r w:rsidRPr="00E12AE1">
        <w:rPr>
          <w:b/>
          <w:bCs/>
        </w:rPr>
        <w:t xml:space="preserve">Unobtrusive </w:t>
      </w:r>
      <w:r>
        <w:rPr>
          <w:b/>
          <w:bCs/>
        </w:rPr>
        <w:t>R</w:t>
      </w:r>
      <w:r w:rsidRPr="00E12AE1">
        <w:rPr>
          <w:b/>
          <w:bCs/>
        </w:rPr>
        <w:t>esearch.</w:t>
      </w:r>
      <w:r w:rsidRPr="00E12AE1">
        <w:t xml:space="preserve"> A research method that involves analyzing existing data or observations without directly interacting with the subjects under study, allowing for a more objective assessment of behavior.</w:t>
      </w:r>
    </w:p>
    <w:p w14:paraId="0C40F985" w14:textId="7242A9A2" w:rsidR="00D86348" w:rsidRDefault="00D86348" w:rsidP="00286379">
      <w:pPr>
        <w:ind w:left="720" w:hanging="720"/>
      </w:pPr>
      <w:r w:rsidRPr="00CC75C2">
        <w:rPr>
          <w:b/>
          <w:bCs/>
        </w:rPr>
        <w:t>Validity</w:t>
      </w:r>
      <w:r>
        <w:t>. A descriptor of whether a research project is measuring the variable under question. For example, if a project hypothesis is that older men tend to tip more than younger men</w:t>
      </w:r>
      <w:r w:rsidR="00B757B3">
        <w:t>, then the study's validit</w:t>
      </w:r>
      <w:r>
        <w:t xml:space="preserve">y would be </w:t>
      </w:r>
      <w:r w:rsidR="00E1518B">
        <w:t>questioned</w:t>
      </w:r>
      <w:r>
        <w:t xml:space="preserve"> if the researcher only sampled men under 40. See Reliability.</w:t>
      </w:r>
    </w:p>
    <w:p w14:paraId="33B10BB4" w14:textId="7680171C" w:rsidR="00D86348" w:rsidRDefault="00D86348" w:rsidP="00286379">
      <w:pPr>
        <w:ind w:left="720" w:hanging="720"/>
      </w:pPr>
      <w:r w:rsidRPr="00CC75C2">
        <w:rPr>
          <w:b/>
          <w:bCs/>
        </w:rPr>
        <w:lastRenderedPageBreak/>
        <w:t>Variable</w:t>
      </w:r>
      <w:r>
        <w:t>. In scientific research, a variable is a measurable representation of an abstract construct. For example, Intelligence Quotient (IQ) is a construct that cannot be directly measured</w:t>
      </w:r>
      <w:r w:rsidR="005E09B6">
        <w:t>. However,</w:t>
      </w:r>
      <w:r>
        <w:t xml:space="preserve"> variables like verbal and mathematical acuity can be measured and are assumed to be a proxy for IQ.</w:t>
      </w:r>
    </w:p>
    <w:p w14:paraId="1562E8CD" w14:textId="7A8FEBDF" w:rsidR="00B2048F" w:rsidRPr="003E1366" w:rsidRDefault="00B2048F" w:rsidP="003E1366">
      <w:pPr>
        <w:ind w:left="720" w:hanging="720"/>
      </w:pPr>
      <w:r w:rsidRPr="00B2048F">
        <w:rPr>
          <w:b/>
          <w:bCs/>
        </w:rPr>
        <w:t>Veracity</w:t>
      </w:r>
      <w:r w:rsidR="003E1366">
        <w:rPr>
          <w:b/>
          <w:bCs/>
        </w:rPr>
        <w:t>.</w:t>
      </w:r>
      <w:r w:rsidRPr="003E1366">
        <w:t xml:space="preserve"> The ethical principle of </w:t>
      </w:r>
      <w:r w:rsidR="003E1366" w:rsidRPr="003E1366">
        <w:t>truthfulness</w:t>
      </w:r>
      <w:r w:rsidRPr="003E1366">
        <w:t xml:space="preserve"> requires researchers to provide accurate and comprehensive information to participants and avoid deception.</w:t>
      </w:r>
    </w:p>
    <w:p w14:paraId="23B0029E" w14:textId="17C10F0F" w:rsidR="00F212F5" w:rsidRDefault="00D86348" w:rsidP="00286379">
      <w:pPr>
        <w:ind w:left="720" w:hanging="720"/>
      </w:pPr>
      <w:r w:rsidRPr="00CC75C2">
        <w:rPr>
          <w:b/>
          <w:bCs/>
        </w:rPr>
        <w:t>YDS</w:t>
      </w:r>
      <w:r>
        <w:t>. Youth Development Study.</w:t>
      </w:r>
    </w:p>
    <w:p w14:paraId="7D553F76" w14:textId="77777777" w:rsidR="003C1144" w:rsidRDefault="003C1144" w:rsidP="00CF026C">
      <w:pPr>
        <w:sectPr w:rsidR="003C1144" w:rsidSect="00FD08D0">
          <w:headerReference w:type="default" r:id="rId311"/>
          <w:pgSz w:w="12240" w:h="15840" w:code="1"/>
          <w:pgMar w:top="1440" w:right="1440" w:bottom="1440" w:left="1440" w:header="720" w:footer="720" w:gutter="0"/>
          <w:cols w:space="720"/>
          <w:docGrid w:linePitch="299"/>
        </w:sectPr>
      </w:pPr>
    </w:p>
    <w:p w14:paraId="6951AC8B" w14:textId="047B5624" w:rsidR="003C1144" w:rsidRDefault="00F212F5" w:rsidP="006015D7">
      <w:pPr>
        <w:pStyle w:val="Heading1"/>
      </w:pPr>
      <w:bookmarkStart w:id="219" w:name="_Toc169156838"/>
      <w:r>
        <w:lastRenderedPageBreak/>
        <w:t>Bibliography</w:t>
      </w:r>
      <w:bookmarkEnd w:id="219"/>
    </w:p>
    <w:p w14:paraId="13931AFB" w14:textId="77777777" w:rsidR="007C07B4" w:rsidRPr="007C07B4" w:rsidRDefault="006015D7" w:rsidP="007C07B4">
      <w:pPr>
        <w:pStyle w:val="Bibliography"/>
      </w:pPr>
      <w:r>
        <w:fldChar w:fldCharType="begin"/>
      </w:r>
      <w:r w:rsidR="007C07B4">
        <w:instrText xml:space="preserve"> ADDIN ZOTERO_BIBL {"uncited":[],"omitted":[],"custom":[]} CSL_BIBLIOGRAPHY </w:instrText>
      </w:r>
      <w:r>
        <w:fldChar w:fldCharType="separate"/>
      </w:r>
      <w:r w:rsidR="007C07B4" w:rsidRPr="007C07B4">
        <w:t>[1]</w:t>
      </w:r>
      <w:r w:rsidR="007C07B4" w:rsidRPr="007C07B4">
        <w:tab/>
        <w:t>A. Bhattacherjee, “Social science research: Principles, methods, and practices,” 2012.</w:t>
      </w:r>
    </w:p>
    <w:p w14:paraId="0D7EC5CF" w14:textId="77777777" w:rsidR="007C07B4" w:rsidRPr="007C07B4" w:rsidRDefault="007C07B4" w:rsidP="007C07B4">
      <w:pPr>
        <w:pStyle w:val="Bibliography"/>
      </w:pPr>
      <w:r w:rsidRPr="007C07B4">
        <w:t>[2]</w:t>
      </w:r>
      <w:r w:rsidRPr="007C07B4">
        <w:tab/>
        <w:t xml:space="preserve">A. Blackstone, </w:t>
      </w:r>
      <w:r w:rsidRPr="007C07B4">
        <w:rPr>
          <w:i/>
          <w:iCs/>
        </w:rPr>
        <w:t>Principles of sociological inquiry–qualitative and quantitative methods</w:t>
      </w:r>
      <w:r w:rsidRPr="007C07B4">
        <w:t>. The Saylor Foundation, 2012.</w:t>
      </w:r>
    </w:p>
    <w:p w14:paraId="537759A2" w14:textId="77777777" w:rsidR="007C07B4" w:rsidRPr="007C07B4" w:rsidRDefault="007C07B4" w:rsidP="007C07B4">
      <w:pPr>
        <w:pStyle w:val="Bibliography"/>
      </w:pPr>
      <w:r w:rsidRPr="007C07B4">
        <w:t>[3]</w:t>
      </w:r>
      <w:r w:rsidRPr="007C07B4">
        <w:tab/>
        <w:t xml:space="preserve">P. C. Price, I.-C. A. Chiang, and R. Jhangiani, </w:t>
      </w:r>
      <w:r w:rsidRPr="007C07B4">
        <w:rPr>
          <w:i/>
          <w:iCs/>
        </w:rPr>
        <w:t>Research methods in psychology</w:t>
      </w:r>
      <w:r w:rsidRPr="007C07B4">
        <w:t>. BCcampus, BC Open Textbook Project, 2015.</w:t>
      </w:r>
    </w:p>
    <w:p w14:paraId="24B687FA" w14:textId="77777777" w:rsidR="007C07B4" w:rsidRPr="007C07B4" w:rsidRDefault="007C07B4" w:rsidP="007C07B4">
      <w:pPr>
        <w:pStyle w:val="Bibliography"/>
      </w:pPr>
      <w:r w:rsidRPr="007C07B4">
        <w:t>[4]</w:t>
      </w:r>
      <w:r w:rsidRPr="007C07B4">
        <w:tab/>
        <w:t xml:space="preserve">D. Bobbitt-Zeher and D. B. Downey, “Number of siblings and friendship nominations among adolescents,” </w:t>
      </w:r>
      <w:r w:rsidRPr="007C07B4">
        <w:rPr>
          <w:i/>
          <w:iCs/>
        </w:rPr>
        <w:t>J. Fam. Issues</w:t>
      </w:r>
      <w:r w:rsidRPr="007C07B4">
        <w:t>, vol. 34, no. 9, pp. 1175–1193, 2013.</w:t>
      </w:r>
    </w:p>
    <w:p w14:paraId="098B396C" w14:textId="77777777" w:rsidR="007C07B4" w:rsidRPr="007C07B4" w:rsidRDefault="007C07B4" w:rsidP="007C07B4">
      <w:pPr>
        <w:pStyle w:val="Bibliography"/>
      </w:pPr>
      <w:r w:rsidRPr="007C07B4">
        <w:t>[5]</w:t>
      </w:r>
      <w:r w:rsidRPr="007C07B4">
        <w:tab/>
        <w:t xml:space="preserve">M. Twain, </w:t>
      </w:r>
      <w:r w:rsidRPr="007C07B4">
        <w:rPr>
          <w:i/>
          <w:iCs/>
        </w:rPr>
        <w:t>Following the Equator:(With Original Illustrations)</w:t>
      </w:r>
      <w:r w:rsidRPr="007C07B4">
        <w:t>. Simon and Schuster, 2014.</w:t>
      </w:r>
    </w:p>
    <w:p w14:paraId="3D268F2B" w14:textId="77777777" w:rsidR="007C07B4" w:rsidRPr="007C07B4" w:rsidRDefault="007C07B4" w:rsidP="007C07B4">
      <w:pPr>
        <w:pStyle w:val="Bibliography"/>
      </w:pPr>
      <w:r w:rsidRPr="007C07B4">
        <w:t>[6]</w:t>
      </w:r>
      <w:r w:rsidRPr="007C07B4">
        <w:tab/>
        <w:t>Snopes, “Grandma’s Cooking Secret.” Accessed: Dec. 17, 2018. [Online]. Available: https://www.snopes.com/fact-check/grandmas-cooking-secret/</w:t>
      </w:r>
    </w:p>
    <w:p w14:paraId="0B4F4189" w14:textId="77777777" w:rsidR="007C07B4" w:rsidRPr="007C07B4" w:rsidRDefault="007C07B4" w:rsidP="007C07B4">
      <w:pPr>
        <w:pStyle w:val="Bibliography"/>
      </w:pPr>
      <w:r w:rsidRPr="007C07B4">
        <w:t>[7]</w:t>
      </w:r>
      <w:r w:rsidRPr="007C07B4">
        <w:tab/>
        <w:t xml:space="preserve">D. Ellwood, T. J. Kane, and others, “Who is getting a college education? Family background and the growing gaps in enrollment,” </w:t>
      </w:r>
      <w:r w:rsidRPr="007C07B4">
        <w:rPr>
          <w:i/>
          <w:iCs/>
        </w:rPr>
        <w:t>Secur. Future Invest. Child. Birth Coll.</w:t>
      </w:r>
      <w:r w:rsidRPr="007C07B4">
        <w:t>, pp. 283–324, 2000.</w:t>
      </w:r>
    </w:p>
    <w:p w14:paraId="7A91E13C" w14:textId="77777777" w:rsidR="007C07B4" w:rsidRPr="007C07B4" w:rsidRDefault="007C07B4" w:rsidP="007C07B4">
      <w:pPr>
        <w:pStyle w:val="Bibliography"/>
      </w:pPr>
      <w:r w:rsidRPr="007C07B4">
        <w:t>[8]</w:t>
      </w:r>
      <w:r w:rsidRPr="007C07B4">
        <w:tab/>
        <w:t xml:space="preserve">M. Binder and J. S. Edwards, “Using grounded theory method for theory building in operations management research,” </w:t>
      </w:r>
      <w:r w:rsidRPr="007C07B4">
        <w:rPr>
          <w:i/>
          <w:iCs/>
        </w:rPr>
        <w:t>Int. J. Oper. Prod. Manag.</w:t>
      </w:r>
      <w:r w:rsidRPr="007C07B4">
        <w:t>, 2010.</w:t>
      </w:r>
    </w:p>
    <w:p w14:paraId="497AAB0A" w14:textId="77777777" w:rsidR="007C07B4" w:rsidRPr="007C07B4" w:rsidRDefault="007C07B4" w:rsidP="007C07B4">
      <w:pPr>
        <w:pStyle w:val="Bibliography"/>
      </w:pPr>
      <w:r w:rsidRPr="007C07B4">
        <w:t>[9]</w:t>
      </w:r>
      <w:r w:rsidRPr="007C07B4">
        <w:tab/>
        <w:t xml:space="preserve">S. Roper and C. Parker, “Doing well by doing good: A quantitative investigation of the litter effect,” </w:t>
      </w:r>
      <w:r w:rsidRPr="007C07B4">
        <w:rPr>
          <w:i/>
          <w:iCs/>
        </w:rPr>
        <w:t>J. Bus. Res.</w:t>
      </w:r>
      <w:r w:rsidRPr="007C07B4">
        <w:t>, vol. 66, no. 11, pp. 2262–2268, 2013.</w:t>
      </w:r>
    </w:p>
    <w:p w14:paraId="02007C5F" w14:textId="77777777" w:rsidR="007C07B4" w:rsidRPr="007C07B4" w:rsidRDefault="007C07B4" w:rsidP="007C07B4">
      <w:pPr>
        <w:pStyle w:val="Bibliography"/>
      </w:pPr>
      <w:r w:rsidRPr="007C07B4">
        <w:t>[10]</w:t>
      </w:r>
      <w:r w:rsidRPr="007C07B4">
        <w:tab/>
        <w:t>J. W. Creswell, “Research design: qualitative, quantitative, and mixed methods approaches,” 2014.</w:t>
      </w:r>
    </w:p>
    <w:p w14:paraId="67B004E7" w14:textId="77777777" w:rsidR="007C07B4" w:rsidRPr="007C07B4" w:rsidRDefault="007C07B4" w:rsidP="007C07B4">
      <w:pPr>
        <w:pStyle w:val="Bibliography"/>
      </w:pPr>
      <w:r w:rsidRPr="007C07B4">
        <w:t>[11]</w:t>
      </w:r>
      <w:r w:rsidRPr="007C07B4">
        <w:tab/>
        <w:t xml:space="preserve">G. Burrell and G. Morgan, </w:t>
      </w:r>
      <w:r w:rsidRPr="007C07B4">
        <w:rPr>
          <w:i/>
          <w:iCs/>
        </w:rPr>
        <w:t>Sociological paradigms and organisational analysis: Elements of the sociology of corporate life</w:t>
      </w:r>
      <w:r w:rsidRPr="007C07B4">
        <w:t>. Routledge, 2017.</w:t>
      </w:r>
    </w:p>
    <w:p w14:paraId="66B8FB31" w14:textId="77777777" w:rsidR="007C07B4" w:rsidRPr="007C07B4" w:rsidRDefault="007C07B4" w:rsidP="007C07B4">
      <w:pPr>
        <w:pStyle w:val="Bibliography"/>
      </w:pPr>
      <w:r w:rsidRPr="007C07B4">
        <w:t>[12]</w:t>
      </w:r>
      <w:r w:rsidRPr="007C07B4">
        <w:tab/>
        <w:t xml:space="preserve">S. B. Bacharach, “Organizational theories: Some criteria for evaluation,” </w:t>
      </w:r>
      <w:r w:rsidRPr="007C07B4">
        <w:rPr>
          <w:i/>
          <w:iCs/>
        </w:rPr>
        <w:t>Acad. Manage. Rev.</w:t>
      </w:r>
      <w:r w:rsidRPr="007C07B4">
        <w:t>, vol. 14, no. 4, pp. 496–515, 1989.</w:t>
      </w:r>
    </w:p>
    <w:p w14:paraId="61897F82" w14:textId="77777777" w:rsidR="007C07B4" w:rsidRPr="007C07B4" w:rsidRDefault="007C07B4" w:rsidP="007C07B4">
      <w:pPr>
        <w:pStyle w:val="Bibliography"/>
      </w:pPr>
      <w:r w:rsidRPr="007C07B4">
        <w:t>[13]</w:t>
      </w:r>
      <w:r w:rsidRPr="007C07B4">
        <w:tab/>
        <w:t xml:space="preserve">K. Marx, “Contribution to the Critique of Hegel’s Philosophy of Law,” </w:t>
      </w:r>
      <w:r w:rsidRPr="007C07B4">
        <w:rPr>
          <w:i/>
          <w:iCs/>
        </w:rPr>
        <w:t>Introd. Marx Engels Collect. Works</w:t>
      </w:r>
      <w:r w:rsidRPr="007C07B4">
        <w:t>, vol. 3, 1971.</w:t>
      </w:r>
    </w:p>
    <w:p w14:paraId="72ED8FF7" w14:textId="77777777" w:rsidR="007C07B4" w:rsidRPr="007C07B4" w:rsidRDefault="007C07B4" w:rsidP="007C07B4">
      <w:pPr>
        <w:pStyle w:val="Bibliography"/>
      </w:pPr>
      <w:r w:rsidRPr="007C07B4">
        <w:t>[14]</w:t>
      </w:r>
      <w:r w:rsidRPr="007C07B4">
        <w:tab/>
        <w:t xml:space="preserve">D. A. Whetten, “What constitutes a theoretical contribution?,” </w:t>
      </w:r>
      <w:r w:rsidRPr="007C07B4">
        <w:rPr>
          <w:i/>
          <w:iCs/>
        </w:rPr>
        <w:t>Acad. Manage. Rev.</w:t>
      </w:r>
      <w:r w:rsidRPr="007C07B4">
        <w:t>, vol. 14, no. 4, pp. 490–495, 1989.</w:t>
      </w:r>
    </w:p>
    <w:p w14:paraId="1EB8EC98" w14:textId="77777777" w:rsidR="007C07B4" w:rsidRPr="007C07B4" w:rsidRDefault="007C07B4" w:rsidP="007C07B4">
      <w:pPr>
        <w:pStyle w:val="Bibliography"/>
      </w:pPr>
      <w:r w:rsidRPr="007C07B4">
        <w:t>[15]</w:t>
      </w:r>
      <w:r w:rsidRPr="007C07B4">
        <w:tab/>
        <w:t xml:space="preserve">C. W. Steinfield and J. Fulk, “The theory imperative,” </w:t>
      </w:r>
      <w:r w:rsidRPr="007C07B4">
        <w:rPr>
          <w:i/>
          <w:iCs/>
        </w:rPr>
        <w:t>Organ. Commun. Technol.</w:t>
      </w:r>
      <w:r w:rsidRPr="007C07B4">
        <w:t>, pp. 13–25, 1990.</w:t>
      </w:r>
    </w:p>
    <w:p w14:paraId="3759526B" w14:textId="77777777" w:rsidR="007C07B4" w:rsidRPr="007C07B4" w:rsidRDefault="007C07B4" w:rsidP="007C07B4">
      <w:pPr>
        <w:pStyle w:val="Bibliography"/>
      </w:pPr>
      <w:r w:rsidRPr="007C07B4">
        <w:t>[16]</w:t>
      </w:r>
      <w:r w:rsidRPr="007C07B4">
        <w:tab/>
        <w:t xml:space="preserve">M. L. Markus, “Toward a ‘critical mass’ theory of interactive media: Universal access, interdependence and diffusion,” </w:t>
      </w:r>
      <w:r w:rsidRPr="007C07B4">
        <w:rPr>
          <w:i/>
          <w:iCs/>
        </w:rPr>
        <w:t>Commun. Res.</w:t>
      </w:r>
      <w:r w:rsidRPr="007C07B4">
        <w:t>, vol. 14, no. 5, pp. 491–511, 1987.</w:t>
      </w:r>
    </w:p>
    <w:p w14:paraId="78BBAC7B" w14:textId="77777777" w:rsidR="007C07B4" w:rsidRPr="007C07B4" w:rsidRDefault="007C07B4" w:rsidP="007C07B4">
      <w:pPr>
        <w:pStyle w:val="Bibliography"/>
      </w:pPr>
      <w:r w:rsidRPr="007C07B4">
        <w:t>[17]</w:t>
      </w:r>
      <w:r w:rsidRPr="007C07B4">
        <w:tab/>
        <w:t xml:space="preserve">P. Bansal and K. Roth, “Why companies go green: A model of ecological responsiveness,” </w:t>
      </w:r>
      <w:r w:rsidRPr="007C07B4">
        <w:rPr>
          <w:i/>
          <w:iCs/>
        </w:rPr>
        <w:t>Acad. Manage. J.</w:t>
      </w:r>
      <w:r w:rsidRPr="007C07B4">
        <w:t>, vol. 43, no. 4, pp. 717–736, 2000.</w:t>
      </w:r>
    </w:p>
    <w:p w14:paraId="52D4F42D" w14:textId="77777777" w:rsidR="007C07B4" w:rsidRPr="007C07B4" w:rsidRDefault="007C07B4" w:rsidP="007C07B4">
      <w:pPr>
        <w:pStyle w:val="Bibliography"/>
      </w:pPr>
      <w:r w:rsidRPr="007C07B4">
        <w:t>[18]</w:t>
      </w:r>
      <w:r w:rsidRPr="007C07B4">
        <w:tab/>
        <w:t xml:space="preserve">S. Sharma, “Managerial interpretations and organizational context as predictors of corporate choice of environmental strategy,” </w:t>
      </w:r>
      <w:r w:rsidRPr="007C07B4">
        <w:rPr>
          <w:i/>
          <w:iCs/>
        </w:rPr>
        <w:t>Acad. Manage. J.</w:t>
      </w:r>
      <w:r w:rsidRPr="007C07B4">
        <w:t>, vol. 43, no. 4, pp. 681–697, 2000.</w:t>
      </w:r>
    </w:p>
    <w:p w14:paraId="4EA8482D" w14:textId="77777777" w:rsidR="007C07B4" w:rsidRPr="007C07B4" w:rsidRDefault="007C07B4" w:rsidP="007C07B4">
      <w:pPr>
        <w:pStyle w:val="Bibliography"/>
      </w:pPr>
      <w:r w:rsidRPr="007C07B4">
        <w:t>[19]</w:t>
      </w:r>
      <w:r w:rsidRPr="007C07B4">
        <w:tab/>
        <w:t xml:space="preserve">S. K. Sia and G. Bhardwaj, “Employees’ perception of diversity climate: role of psychological contract,” </w:t>
      </w:r>
      <w:r w:rsidRPr="007C07B4">
        <w:rPr>
          <w:i/>
          <w:iCs/>
        </w:rPr>
        <w:t>J. Indian Acad. Appl. Psychol.</w:t>
      </w:r>
      <w:r w:rsidRPr="007C07B4">
        <w:t>, vol. 35, no. 2, pp. 305–312, 2009.</w:t>
      </w:r>
    </w:p>
    <w:p w14:paraId="28E5BA6B" w14:textId="77777777" w:rsidR="007C07B4" w:rsidRPr="007C07B4" w:rsidRDefault="007C07B4" w:rsidP="007C07B4">
      <w:pPr>
        <w:pStyle w:val="Bibliography"/>
      </w:pPr>
      <w:r w:rsidRPr="007C07B4">
        <w:t>[20]</w:t>
      </w:r>
      <w:r w:rsidRPr="007C07B4">
        <w:tab/>
        <w:t xml:space="preserve">K. M. Eisenhardt and M. E. Graebner, “Theory building from cases: Opportunities and challenges,” </w:t>
      </w:r>
      <w:r w:rsidRPr="007C07B4">
        <w:rPr>
          <w:i/>
          <w:iCs/>
        </w:rPr>
        <w:t>Acad. Manage. J.</w:t>
      </w:r>
      <w:r w:rsidRPr="007C07B4">
        <w:t>, vol. 50, no. 1, pp. 25–32, 2007.</w:t>
      </w:r>
    </w:p>
    <w:p w14:paraId="102D6D12" w14:textId="77777777" w:rsidR="007C07B4" w:rsidRPr="007C07B4" w:rsidRDefault="007C07B4" w:rsidP="007C07B4">
      <w:pPr>
        <w:pStyle w:val="Bibliography"/>
      </w:pPr>
      <w:r w:rsidRPr="007C07B4">
        <w:t>[21]</w:t>
      </w:r>
      <w:r w:rsidRPr="007C07B4">
        <w:tab/>
        <w:t xml:space="preserve">K. P. Parboteeah, Y. Paik, and J. B. Cullen, “Religious groups and work values: A focus on Buddhism, Christianity, Hinduism, and Islam,” </w:t>
      </w:r>
      <w:r w:rsidRPr="007C07B4">
        <w:rPr>
          <w:i/>
          <w:iCs/>
        </w:rPr>
        <w:t>Int. J. Cross Cult. Manag.</w:t>
      </w:r>
      <w:r w:rsidRPr="007C07B4">
        <w:t>, vol. 9, no. 1, pp. 51–67, 2009.</w:t>
      </w:r>
    </w:p>
    <w:p w14:paraId="39BE08FB" w14:textId="77777777" w:rsidR="007C07B4" w:rsidRPr="007C07B4" w:rsidRDefault="007C07B4" w:rsidP="007C07B4">
      <w:pPr>
        <w:pStyle w:val="Bibliography"/>
      </w:pPr>
      <w:r w:rsidRPr="007C07B4">
        <w:t>[22]</w:t>
      </w:r>
      <w:r w:rsidRPr="007C07B4">
        <w:tab/>
        <w:t xml:space="preserve">J. R. Hackman and G. R. Oldham, “Motivation through the design of work: Test of a theory,” </w:t>
      </w:r>
      <w:r w:rsidRPr="007C07B4">
        <w:rPr>
          <w:i/>
          <w:iCs/>
        </w:rPr>
        <w:t>Organ. Behav. Hum. Perform.</w:t>
      </w:r>
      <w:r w:rsidRPr="007C07B4">
        <w:t>, vol. 16, no. 2, pp. 250–279, 1976.</w:t>
      </w:r>
    </w:p>
    <w:p w14:paraId="4A6B5CED" w14:textId="77777777" w:rsidR="007C07B4" w:rsidRPr="007C07B4" w:rsidRDefault="007C07B4" w:rsidP="007C07B4">
      <w:pPr>
        <w:pStyle w:val="Bibliography"/>
      </w:pPr>
      <w:r w:rsidRPr="007C07B4">
        <w:lastRenderedPageBreak/>
        <w:t>[23]</w:t>
      </w:r>
      <w:r w:rsidRPr="007C07B4">
        <w:tab/>
        <w:t xml:space="preserve">J. T. Delaney and M. A. Huselid, “The impact of human resource management practices on perceptions of organizational performance,” </w:t>
      </w:r>
      <w:r w:rsidRPr="007C07B4">
        <w:rPr>
          <w:i/>
          <w:iCs/>
        </w:rPr>
        <w:t>Acad. Manage. J.</w:t>
      </w:r>
      <w:r w:rsidRPr="007C07B4">
        <w:t>, vol. 39, no. 4, pp. 949–969, 1996.</w:t>
      </w:r>
    </w:p>
    <w:p w14:paraId="13D8BE7A" w14:textId="77777777" w:rsidR="007C07B4" w:rsidRPr="007C07B4" w:rsidRDefault="007C07B4" w:rsidP="007C07B4">
      <w:pPr>
        <w:pStyle w:val="Bibliography"/>
      </w:pPr>
      <w:r w:rsidRPr="007C07B4">
        <w:t>[24]</w:t>
      </w:r>
      <w:r w:rsidRPr="007C07B4">
        <w:tab/>
        <w:t xml:space="preserve">L. W. Sherman and R. A. Berk, “The specific deterrent effects of arrest for domestic assault,” </w:t>
      </w:r>
      <w:r w:rsidRPr="007C07B4">
        <w:rPr>
          <w:i/>
          <w:iCs/>
        </w:rPr>
        <w:t>Am. Sociol. Rev.</w:t>
      </w:r>
      <w:r w:rsidRPr="007C07B4">
        <w:t>, pp. 261–272, 1984.</w:t>
      </w:r>
    </w:p>
    <w:p w14:paraId="7D1001A5" w14:textId="77777777" w:rsidR="007C07B4" w:rsidRPr="007C07B4" w:rsidRDefault="007C07B4" w:rsidP="007C07B4">
      <w:pPr>
        <w:pStyle w:val="Bibliography"/>
      </w:pPr>
      <w:r w:rsidRPr="007C07B4">
        <w:t>[25]</w:t>
      </w:r>
      <w:r w:rsidRPr="007C07B4">
        <w:tab/>
        <w:t>J. L. Macera, “A theory of thriving for small business owners: A grounded theory study,” PhD Thesis, Capella University, 2016.</w:t>
      </w:r>
    </w:p>
    <w:p w14:paraId="6A1C010A" w14:textId="77777777" w:rsidR="007C07B4" w:rsidRPr="007C07B4" w:rsidRDefault="007C07B4" w:rsidP="007C07B4">
      <w:pPr>
        <w:pStyle w:val="Bibliography"/>
      </w:pPr>
      <w:r w:rsidRPr="007C07B4">
        <w:t>[26]</w:t>
      </w:r>
      <w:r w:rsidRPr="007C07B4">
        <w:tab/>
        <w:t>O. L. Dictionaries, “Definition of Ethics.” Accessed: Dec. 18, 2018. [Online]. Available: https://en.oxforddictionaries.com/definition/ethics</w:t>
      </w:r>
    </w:p>
    <w:p w14:paraId="4F60BE44" w14:textId="77777777" w:rsidR="007C07B4" w:rsidRPr="007C07B4" w:rsidRDefault="007C07B4" w:rsidP="007C07B4">
      <w:pPr>
        <w:pStyle w:val="Bibliography"/>
      </w:pPr>
      <w:r w:rsidRPr="007C07B4">
        <w:t>[27]</w:t>
      </w:r>
      <w:r w:rsidRPr="007C07B4">
        <w:tab/>
        <w:t xml:space="preserve">R. M. Green, “Direct-to-consumer advertising and pharmaceutical ethics: The case of Vioxx,” </w:t>
      </w:r>
      <w:r w:rsidRPr="007C07B4">
        <w:rPr>
          <w:i/>
          <w:iCs/>
        </w:rPr>
        <w:t>Hofstra Rev</w:t>
      </w:r>
      <w:r w:rsidRPr="007C07B4">
        <w:t>, vol. 35, p. 749, 2006.</w:t>
      </w:r>
    </w:p>
    <w:p w14:paraId="4D70042E" w14:textId="77777777" w:rsidR="007C07B4" w:rsidRPr="007C07B4" w:rsidRDefault="007C07B4" w:rsidP="007C07B4">
      <w:pPr>
        <w:pStyle w:val="Bibliography"/>
      </w:pPr>
      <w:r w:rsidRPr="007C07B4">
        <w:t>[28]</w:t>
      </w:r>
      <w:r w:rsidRPr="007C07B4">
        <w:tab/>
        <w:t xml:space="preserve">M. A. Van der Heyden, T. van de Derks Ven, and T. Opthof, “Fraud and misconduct in science: the stem cell seduction,” </w:t>
      </w:r>
      <w:r w:rsidRPr="007C07B4">
        <w:rPr>
          <w:i/>
          <w:iCs/>
        </w:rPr>
        <w:t>Neth. Heart J.</w:t>
      </w:r>
      <w:r w:rsidRPr="007C07B4">
        <w:t>, vol. 17, no. 1, pp. 25–29, 2009.</w:t>
      </w:r>
    </w:p>
    <w:p w14:paraId="5D5D2B81" w14:textId="77777777" w:rsidR="007C07B4" w:rsidRPr="007C07B4" w:rsidRDefault="007C07B4" w:rsidP="007C07B4">
      <w:pPr>
        <w:pStyle w:val="Bibliography"/>
      </w:pPr>
      <w:r w:rsidRPr="007C07B4">
        <w:t>[29]</w:t>
      </w:r>
      <w:r w:rsidRPr="007C07B4">
        <w:tab/>
        <w:t xml:space="preserve">J. G. Sheehan, “Fraud, conflict of interest, and other enforcement issues in clinical research,” </w:t>
      </w:r>
      <w:r w:rsidRPr="007C07B4">
        <w:rPr>
          <w:i/>
          <w:iCs/>
        </w:rPr>
        <w:t>Cleve. Clin. J. Med.</w:t>
      </w:r>
      <w:r w:rsidRPr="007C07B4">
        <w:t>, vol. 74, p. S63, 2007.</w:t>
      </w:r>
    </w:p>
    <w:p w14:paraId="5A5AE90D" w14:textId="77777777" w:rsidR="007C07B4" w:rsidRPr="007C07B4" w:rsidRDefault="007C07B4" w:rsidP="007C07B4">
      <w:pPr>
        <w:pStyle w:val="Bibliography"/>
      </w:pPr>
      <w:r w:rsidRPr="007C07B4">
        <w:t>[30]</w:t>
      </w:r>
      <w:r w:rsidRPr="007C07B4">
        <w:tab/>
        <w:t>D. Evans, M. Smith, and L. Willen, “SECRET,” 2005.</w:t>
      </w:r>
    </w:p>
    <w:p w14:paraId="6CAB74DB" w14:textId="77777777" w:rsidR="007C07B4" w:rsidRPr="007C07B4" w:rsidRDefault="007C07B4" w:rsidP="007C07B4">
      <w:pPr>
        <w:pStyle w:val="Bibliography"/>
      </w:pPr>
      <w:r w:rsidRPr="007C07B4">
        <w:t>[31]</w:t>
      </w:r>
      <w:r w:rsidRPr="007C07B4">
        <w:tab/>
        <w:t xml:space="preserve">R. De Vries, M. S. Anderson, and B. C. Martinson, “Normal misbehavior: Scientists talk about the ethics of research,” </w:t>
      </w:r>
      <w:r w:rsidRPr="007C07B4">
        <w:rPr>
          <w:i/>
          <w:iCs/>
        </w:rPr>
        <w:t>J. Empir. Res. Hum. Res. Ethics</w:t>
      </w:r>
      <w:r w:rsidRPr="007C07B4">
        <w:t>, vol. 1, no. 1, pp. 43–50, 2006.</w:t>
      </w:r>
    </w:p>
    <w:p w14:paraId="08AEED4C" w14:textId="77777777" w:rsidR="007C07B4" w:rsidRPr="007C07B4" w:rsidRDefault="007C07B4" w:rsidP="007C07B4">
      <w:pPr>
        <w:pStyle w:val="Bibliography"/>
      </w:pPr>
      <w:r w:rsidRPr="007C07B4">
        <w:t>[32]</w:t>
      </w:r>
      <w:r w:rsidRPr="007C07B4">
        <w:tab/>
        <w:t xml:space="preserve">D. E. Chubin, “Research malpractice,” </w:t>
      </w:r>
      <w:r w:rsidRPr="007C07B4">
        <w:rPr>
          <w:i/>
          <w:iCs/>
        </w:rPr>
        <w:t>BioScience</w:t>
      </w:r>
      <w:r w:rsidRPr="007C07B4">
        <w:t>, vol. 35, no. 2, pp. 80–89, 1985.</w:t>
      </w:r>
    </w:p>
    <w:p w14:paraId="39D23A47" w14:textId="77777777" w:rsidR="007C07B4" w:rsidRPr="007C07B4" w:rsidRDefault="007C07B4" w:rsidP="007C07B4">
      <w:pPr>
        <w:pStyle w:val="Bibliography"/>
      </w:pPr>
      <w:r w:rsidRPr="007C07B4">
        <w:t>[33]</w:t>
      </w:r>
      <w:r w:rsidRPr="007C07B4">
        <w:tab/>
        <w:t xml:space="preserve">S. Riedel, “Edward Jenner and the history of smallpox and vaccination,” in </w:t>
      </w:r>
      <w:r w:rsidRPr="007C07B4">
        <w:rPr>
          <w:i/>
          <w:iCs/>
        </w:rPr>
        <w:t>Baylor University Medical Center Proceedings</w:t>
      </w:r>
      <w:r w:rsidRPr="007C07B4">
        <w:t>, Taylor &amp; Francis, 2005, pp. 21–25.</w:t>
      </w:r>
    </w:p>
    <w:p w14:paraId="51127C13" w14:textId="77777777" w:rsidR="007C07B4" w:rsidRPr="007C07B4" w:rsidRDefault="007C07B4" w:rsidP="007C07B4">
      <w:pPr>
        <w:pStyle w:val="Bibliography"/>
      </w:pPr>
      <w:r w:rsidRPr="007C07B4">
        <w:t>[34]</w:t>
      </w:r>
      <w:r w:rsidRPr="007C07B4">
        <w:tab/>
        <w:t xml:space="preserve">R. R. Faden and T. L. Beauchamp, </w:t>
      </w:r>
      <w:r w:rsidRPr="007C07B4">
        <w:rPr>
          <w:i/>
          <w:iCs/>
        </w:rPr>
        <w:t>A history and theory of informed consent</w:t>
      </w:r>
      <w:r w:rsidRPr="007C07B4">
        <w:t>. Oxford University Press, 1986.</w:t>
      </w:r>
    </w:p>
    <w:p w14:paraId="4D2ECD47" w14:textId="77777777" w:rsidR="007C07B4" w:rsidRPr="007C07B4" w:rsidRDefault="007C07B4" w:rsidP="007C07B4">
      <w:pPr>
        <w:pStyle w:val="Bibliography"/>
      </w:pPr>
      <w:r w:rsidRPr="007C07B4">
        <w:t>[35]</w:t>
      </w:r>
      <w:r w:rsidRPr="007C07B4">
        <w:tab/>
        <w:t xml:space="preserve">S. Milgram, “Behavioral study of obedience.,” </w:t>
      </w:r>
      <w:r w:rsidRPr="007C07B4">
        <w:rPr>
          <w:i/>
          <w:iCs/>
        </w:rPr>
        <w:t>J. Abnorm. Soc. Psychol.</w:t>
      </w:r>
      <w:r w:rsidRPr="007C07B4">
        <w:t>, vol. 67, no. 4, p. 371, 1963.</w:t>
      </w:r>
    </w:p>
    <w:p w14:paraId="1785F79C" w14:textId="77777777" w:rsidR="007C07B4" w:rsidRPr="007C07B4" w:rsidRDefault="007C07B4" w:rsidP="007C07B4">
      <w:pPr>
        <w:pStyle w:val="Bibliography"/>
      </w:pPr>
      <w:r w:rsidRPr="007C07B4">
        <w:t>[36]</w:t>
      </w:r>
      <w:r w:rsidRPr="007C07B4">
        <w:tab/>
        <w:t xml:space="preserve">L. Humphreys, “Tearoom trade,” </w:t>
      </w:r>
      <w:r w:rsidRPr="007C07B4">
        <w:rPr>
          <w:i/>
          <w:iCs/>
        </w:rPr>
        <w:t>Trans-Action</w:t>
      </w:r>
      <w:r w:rsidRPr="007C07B4">
        <w:t>, vol. 7, no. 3, pp. 10–25, 1970.</w:t>
      </w:r>
    </w:p>
    <w:p w14:paraId="0978D4D9" w14:textId="77777777" w:rsidR="007C07B4" w:rsidRPr="007C07B4" w:rsidRDefault="007C07B4" w:rsidP="007C07B4">
      <w:pPr>
        <w:pStyle w:val="Bibliography"/>
      </w:pPr>
      <w:r w:rsidRPr="007C07B4">
        <w:t>[37]</w:t>
      </w:r>
      <w:r w:rsidRPr="007C07B4">
        <w:tab/>
        <w:t xml:space="preserve">S. M. Reverby, </w:t>
      </w:r>
      <w:r w:rsidRPr="007C07B4">
        <w:rPr>
          <w:i/>
          <w:iCs/>
        </w:rPr>
        <w:t>Examining Tuskegee: The infamous syphilis study and its legacy</w:t>
      </w:r>
      <w:r w:rsidRPr="007C07B4">
        <w:t>. Univ of North Carolina Press, 2009.</w:t>
      </w:r>
    </w:p>
    <w:p w14:paraId="7B8A2CA5" w14:textId="77777777" w:rsidR="007C07B4" w:rsidRPr="007C07B4" w:rsidRDefault="007C07B4" w:rsidP="007C07B4">
      <w:pPr>
        <w:pStyle w:val="Bibliography"/>
      </w:pPr>
      <w:r w:rsidRPr="007C07B4">
        <w:t>[38]</w:t>
      </w:r>
      <w:r w:rsidRPr="007C07B4">
        <w:tab/>
        <w:t xml:space="preserve">P. G. Zimbardo, C. Maslach, and C. Haney, “Reflections on the Stanford prison experiment: Genesis, transformations, consequences,” </w:t>
      </w:r>
      <w:r w:rsidRPr="007C07B4">
        <w:rPr>
          <w:i/>
          <w:iCs/>
        </w:rPr>
        <w:t>Obedience Auth. Curr. Perspect. Milgram Paradigm</w:t>
      </w:r>
      <w:r w:rsidRPr="007C07B4">
        <w:t>, pp. 193–237, 2000.</w:t>
      </w:r>
    </w:p>
    <w:p w14:paraId="7EDFAF66" w14:textId="77777777" w:rsidR="007C07B4" w:rsidRPr="007C07B4" w:rsidRDefault="007C07B4" w:rsidP="007C07B4">
      <w:pPr>
        <w:pStyle w:val="Bibliography"/>
      </w:pPr>
      <w:r w:rsidRPr="007C07B4">
        <w:t>[39]</w:t>
      </w:r>
      <w:r w:rsidRPr="007C07B4">
        <w:tab/>
        <w:t xml:space="preserve">G. Cumming, </w:t>
      </w:r>
      <w:r w:rsidRPr="007C07B4">
        <w:rPr>
          <w:i/>
          <w:iCs/>
        </w:rPr>
        <w:t>Understanding The New Statistics</w:t>
      </w:r>
      <w:r w:rsidRPr="007C07B4">
        <w:t>, 1st ed. Routledge, 2013. [Online]. Available: https://doi.org/10.4324/9780203807002</w:t>
      </w:r>
    </w:p>
    <w:p w14:paraId="6658C6D3" w14:textId="77777777" w:rsidR="007C07B4" w:rsidRPr="007C07B4" w:rsidRDefault="007C07B4" w:rsidP="007C07B4">
      <w:pPr>
        <w:pStyle w:val="Bibliography"/>
      </w:pPr>
      <w:r w:rsidRPr="007C07B4">
        <w:t>[40]</w:t>
      </w:r>
      <w:r w:rsidRPr="007C07B4">
        <w:tab/>
        <w:t xml:space="preserve">American Anthropological Association, “Principles of professional responsibility,” </w:t>
      </w:r>
      <w:r w:rsidRPr="007C07B4">
        <w:rPr>
          <w:i/>
          <w:iCs/>
        </w:rPr>
        <w:t>Jane Clapp Prof. Ethics Insign.</w:t>
      </w:r>
      <w:r w:rsidRPr="007C07B4">
        <w:t>, pp. 48–9, 2012.</w:t>
      </w:r>
    </w:p>
    <w:p w14:paraId="76D086B5" w14:textId="77777777" w:rsidR="007C07B4" w:rsidRPr="007C07B4" w:rsidRDefault="007C07B4" w:rsidP="007C07B4">
      <w:pPr>
        <w:pStyle w:val="Bibliography"/>
      </w:pPr>
      <w:r w:rsidRPr="007C07B4">
        <w:t>[41]</w:t>
      </w:r>
      <w:r w:rsidRPr="007C07B4">
        <w:tab/>
        <w:t>U. S. G. D. of Human and H. Services, “Protection of Human Subjects.” Accessed: Dec. 18, 2018. [Online]. Available: https://www.ecfr.gov/cgi-bin/retrieveECFR?gp=&amp;SID=83cd09e1c0f5c6937cd9d7513160fc3f&amp;pitd=20180719&amp;n=pt45.1.46&amp;r=PART&amp;ty=HTML</w:t>
      </w:r>
    </w:p>
    <w:p w14:paraId="38CCC9D6" w14:textId="77777777" w:rsidR="007C07B4" w:rsidRPr="007C07B4" w:rsidRDefault="007C07B4" w:rsidP="007C07B4">
      <w:pPr>
        <w:pStyle w:val="Bibliography"/>
      </w:pPr>
      <w:r w:rsidRPr="007C07B4">
        <w:t>[42]</w:t>
      </w:r>
      <w:r w:rsidRPr="007C07B4">
        <w:tab/>
        <w:t xml:space="preserve">A. D. Kramer, J. E. Guillory, and J. T. Hancock, “Experimental evidence of massive-scale emotional contagion through social networks,” </w:t>
      </w:r>
      <w:r w:rsidRPr="007C07B4">
        <w:rPr>
          <w:i/>
          <w:iCs/>
        </w:rPr>
        <w:t>Proc. Natl. Acad. Sci.</w:t>
      </w:r>
      <w:r w:rsidRPr="007C07B4">
        <w:t>, vol. 111, no. 24, pp. 8788–8790, 2014.</w:t>
      </w:r>
    </w:p>
    <w:p w14:paraId="2367E8CA" w14:textId="77777777" w:rsidR="007C07B4" w:rsidRPr="007C07B4" w:rsidRDefault="007C07B4" w:rsidP="007C07B4">
      <w:pPr>
        <w:pStyle w:val="Bibliography"/>
      </w:pPr>
      <w:r w:rsidRPr="007C07B4">
        <w:t>[43]</w:t>
      </w:r>
      <w:r w:rsidRPr="007C07B4">
        <w:tab/>
        <w:t>K. G. Esterberg, “Qualitative methods in social research,” 2002.</w:t>
      </w:r>
    </w:p>
    <w:p w14:paraId="645A6340" w14:textId="77777777" w:rsidR="007C07B4" w:rsidRPr="007C07B4" w:rsidRDefault="007C07B4" w:rsidP="007C07B4">
      <w:pPr>
        <w:pStyle w:val="Bibliography"/>
      </w:pPr>
      <w:r w:rsidRPr="007C07B4">
        <w:t>[44]</w:t>
      </w:r>
      <w:r w:rsidRPr="007C07B4">
        <w:tab/>
        <w:t xml:space="preserve">K. M. Blee, “Racial violence in the United States,” </w:t>
      </w:r>
      <w:r w:rsidRPr="007C07B4">
        <w:rPr>
          <w:i/>
          <w:iCs/>
        </w:rPr>
        <w:t>Ethn. Racial Stud.</w:t>
      </w:r>
      <w:r w:rsidRPr="007C07B4">
        <w:t>, vol. 28, no. 4, pp. 599–619, 2005.</w:t>
      </w:r>
    </w:p>
    <w:p w14:paraId="7A9E6E3B" w14:textId="77777777" w:rsidR="007C07B4" w:rsidRPr="007C07B4" w:rsidRDefault="007C07B4" w:rsidP="007C07B4">
      <w:pPr>
        <w:pStyle w:val="Bibliography"/>
      </w:pPr>
      <w:r w:rsidRPr="007C07B4">
        <w:t>[45]</w:t>
      </w:r>
      <w:r w:rsidRPr="007C07B4">
        <w:tab/>
        <w:t xml:space="preserve">D. D. Kirkpatrick, “Conservatives pick soft target: A cartoon sponge,” </w:t>
      </w:r>
      <w:r w:rsidRPr="007C07B4">
        <w:rPr>
          <w:i/>
          <w:iCs/>
        </w:rPr>
        <w:t>N. Y. Times</w:t>
      </w:r>
      <w:r w:rsidRPr="007C07B4">
        <w:t>, vol. 20, 2005.</w:t>
      </w:r>
    </w:p>
    <w:p w14:paraId="2AF7C16D" w14:textId="77777777" w:rsidR="007C07B4" w:rsidRPr="007C07B4" w:rsidRDefault="007C07B4" w:rsidP="007C07B4">
      <w:pPr>
        <w:pStyle w:val="Bibliography"/>
      </w:pPr>
      <w:r w:rsidRPr="007C07B4">
        <w:t>[46]</w:t>
      </w:r>
      <w:r w:rsidRPr="007C07B4">
        <w:tab/>
        <w:t xml:space="preserve">C. J. Lambe, C. M. Wittmann, and R. E. Spekman, “Social exchange theory and research on business-to-business relational exchange,” </w:t>
      </w:r>
      <w:r w:rsidRPr="007C07B4">
        <w:rPr>
          <w:i/>
          <w:iCs/>
        </w:rPr>
        <w:t>J. Bus.--Bus. Mark.</w:t>
      </w:r>
      <w:r w:rsidRPr="007C07B4">
        <w:t>, vol. 8, no. 3, pp. 1–36, 2001.</w:t>
      </w:r>
    </w:p>
    <w:p w14:paraId="7DC42CF7" w14:textId="77777777" w:rsidR="007C07B4" w:rsidRPr="007C07B4" w:rsidRDefault="007C07B4" w:rsidP="007C07B4">
      <w:pPr>
        <w:pStyle w:val="Bibliography"/>
      </w:pPr>
      <w:r w:rsidRPr="007C07B4">
        <w:lastRenderedPageBreak/>
        <w:t>[47]</w:t>
      </w:r>
      <w:r w:rsidRPr="007C07B4">
        <w:tab/>
        <w:t xml:space="preserve">D. Marshall, S. O’Donohoe, and S. Kline, “Families, food, and pester power: beyond the blame game?,” </w:t>
      </w:r>
      <w:r w:rsidRPr="007C07B4">
        <w:rPr>
          <w:i/>
          <w:iCs/>
        </w:rPr>
        <w:t>J. Consum. Behav. Int. Res. Rev.</w:t>
      </w:r>
      <w:r w:rsidRPr="007C07B4">
        <w:t>, vol. 6, no. 4, pp. 164–181, 2007.</w:t>
      </w:r>
    </w:p>
    <w:p w14:paraId="69FDECAD" w14:textId="77777777" w:rsidR="007C07B4" w:rsidRPr="007C07B4" w:rsidRDefault="007C07B4" w:rsidP="007C07B4">
      <w:pPr>
        <w:pStyle w:val="Bibliography"/>
      </w:pPr>
      <w:r w:rsidRPr="007C07B4">
        <w:t>[48]</w:t>
      </w:r>
      <w:r w:rsidRPr="007C07B4">
        <w:tab/>
        <w:t xml:space="preserve">D. M. Sullivan, “From food desert to food mirage: Race, social class, and food shopping in a gentrifying neighborhood,” </w:t>
      </w:r>
      <w:r w:rsidRPr="007C07B4">
        <w:rPr>
          <w:i/>
          <w:iCs/>
        </w:rPr>
        <w:t>Adv. Appl. Sociol.</w:t>
      </w:r>
      <w:r w:rsidRPr="007C07B4">
        <w:t>, 2014.</w:t>
      </w:r>
    </w:p>
    <w:p w14:paraId="4D6D86E2" w14:textId="77777777" w:rsidR="007C07B4" w:rsidRPr="007C07B4" w:rsidRDefault="007C07B4" w:rsidP="007C07B4">
      <w:pPr>
        <w:pStyle w:val="Bibliography"/>
      </w:pPr>
      <w:r w:rsidRPr="007C07B4">
        <w:t>[49]</w:t>
      </w:r>
      <w:r w:rsidRPr="007C07B4">
        <w:tab/>
        <w:t xml:space="preserve">G. Bridge and R. Dowling, “Microgeographies of retailing and gentrification,” </w:t>
      </w:r>
      <w:r w:rsidRPr="007C07B4">
        <w:rPr>
          <w:i/>
          <w:iCs/>
        </w:rPr>
        <w:t>Aust. Geogr.</w:t>
      </w:r>
      <w:r w:rsidRPr="007C07B4">
        <w:t>, vol. 32, no. 1, pp. 93–107, 2001.</w:t>
      </w:r>
    </w:p>
    <w:p w14:paraId="7DDC645D" w14:textId="77777777" w:rsidR="007C07B4" w:rsidRPr="007C07B4" w:rsidRDefault="007C07B4" w:rsidP="007C07B4">
      <w:pPr>
        <w:pStyle w:val="Bibliography"/>
      </w:pPr>
      <w:r w:rsidRPr="007C07B4">
        <w:t>[50]</w:t>
      </w:r>
      <w:r w:rsidRPr="007C07B4">
        <w:tab/>
        <w:t xml:space="preserve">C. J. L. Murray, “The Global Burden of Disease Study at 30 years,” </w:t>
      </w:r>
      <w:r w:rsidRPr="007C07B4">
        <w:rPr>
          <w:i/>
          <w:iCs/>
        </w:rPr>
        <w:t>Nat. Med.</w:t>
      </w:r>
      <w:r w:rsidRPr="007C07B4">
        <w:t>, vol. 28, no. 10, pp. 2019–2026, Oct. 2022, doi: 10.1038/s41591-022-01990-1.</w:t>
      </w:r>
    </w:p>
    <w:p w14:paraId="0B0342F1" w14:textId="77777777" w:rsidR="007C07B4" w:rsidRPr="007C07B4" w:rsidRDefault="007C07B4" w:rsidP="007C07B4">
      <w:pPr>
        <w:pStyle w:val="Bibliography"/>
      </w:pPr>
      <w:r w:rsidRPr="007C07B4">
        <w:t>[51]</w:t>
      </w:r>
      <w:r w:rsidRPr="007C07B4">
        <w:tab/>
        <w:t xml:space="preserve">T. R. Crook, S. Y. Todd, J. G. Combs, D. J. Woehr, and D. J. Ketchen Jr, “Does human capital matter? A meta-analysis of the relationship between human capital and firm performance.,” </w:t>
      </w:r>
      <w:r w:rsidRPr="007C07B4">
        <w:rPr>
          <w:i/>
          <w:iCs/>
        </w:rPr>
        <w:t>J. Appl. Psychol.</w:t>
      </w:r>
      <w:r w:rsidRPr="007C07B4">
        <w:t>, vol. 96, no. 3, p. 443, 2011.</w:t>
      </w:r>
    </w:p>
    <w:p w14:paraId="172BD478" w14:textId="77777777" w:rsidR="007C07B4" w:rsidRPr="007C07B4" w:rsidRDefault="007C07B4" w:rsidP="007C07B4">
      <w:pPr>
        <w:pStyle w:val="Bibliography"/>
      </w:pPr>
      <w:r w:rsidRPr="007C07B4">
        <w:t>[52]</w:t>
      </w:r>
      <w:r w:rsidRPr="007C07B4">
        <w:tab/>
        <w:t xml:space="preserve">D. R. Denison, </w:t>
      </w:r>
      <w:r w:rsidRPr="007C07B4">
        <w:rPr>
          <w:i/>
          <w:iCs/>
        </w:rPr>
        <w:t>Corporate culture and organizational effectiveness.</w:t>
      </w:r>
      <w:r w:rsidRPr="007C07B4">
        <w:t xml:space="preserve"> John Wiley &amp; Sons, 1990.</w:t>
      </w:r>
    </w:p>
    <w:p w14:paraId="0782CCEC" w14:textId="77777777" w:rsidR="007C07B4" w:rsidRPr="007C07B4" w:rsidRDefault="007C07B4" w:rsidP="007C07B4">
      <w:pPr>
        <w:pStyle w:val="Bibliography"/>
      </w:pPr>
      <w:r w:rsidRPr="007C07B4">
        <w:t>[53]</w:t>
      </w:r>
      <w:r w:rsidRPr="007C07B4">
        <w:tab/>
        <w:t xml:space="preserve">P. W. Hom and R. W. Griffeth, </w:t>
      </w:r>
      <w:r w:rsidRPr="007C07B4">
        <w:rPr>
          <w:i/>
          <w:iCs/>
        </w:rPr>
        <w:t>Employee turnover</w:t>
      </w:r>
      <w:r w:rsidRPr="007C07B4">
        <w:t>. South-Western Pub, 1995.</w:t>
      </w:r>
    </w:p>
    <w:p w14:paraId="3FFC3E98" w14:textId="77777777" w:rsidR="007C07B4" w:rsidRPr="007C07B4" w:rsidRDefault="007C07B4" w:rsidP="007C07B4">
      <w:pPr>
        <w:pStyle w:val="Bibliography"/>
      </w:pPr>
      <w:r w:rsidRPr="007C07B4">
        <w:t>[54]</w:t>
      </w:r>
      <w:r w:rsidRPr="007C07B4">
        <w:tab/>
        <w:t>J. E. Hughes, C. R. Knittel, and D. Sperling, “Evidence of a shift in the short-run price elasticity of gasoline demand,” National Bureau of Economic Research, 2006.</w:t>
      </w:r>
    </w:p>
    <w:p w14:paraId="4AFA2449" w14:textId="77777777" w:rsidR="007C07B4" w:rsidRPr="007C07B4" w:rsidRDefault="007C07B4" w:rsidP="007C07B4">
      <w:pPr>
        <w:pStyle w:val="Bibliography"/>
      </w:pPr>
      <w:r w:rsidRPr="007C07B4">
        <w:t>[55]</w:t>
      </w:r>
      <w:r w:rsidRPr="007C07B4">
        <w:tab/>
        <w:t xml:space="preserve">G. A. Akerlof, “The market for ‘lemons’: Quality uncertainty and the market mechanism,” in </w:t>
      </w:r>
      <w:r w:rsidRPr="007C07B4">
        <w:rPr>
          <w:i/>
          <w:iCs/>
        </w:rPr>
        <w:t>Uncertainty in Economics</w:t>
      </w:r>
      <w:r w:rsidRPr="007C07B4">
        <w:t>, Elsevier, 1978, pp. 235–251.</w:t>
      </w:r>
    </w:p>
    <w:p w14:paraId="794EE0E7" w14:textId="77777777" w:rsidR="007C07B4" w:rsidRPr="007C07B4" w:rsidRDefault="007C07B4" w:rsidP="007C07B4">
      <w:pPr>
        <w:pStyle w:val="Bibliography"/>
      </w:pPr>
      <w:r w:rsidRPr="007C07B4">
        <w:t>[56]</w:t>
      </w:r>
      <w:r w:rsidRPr="007C07B4">
        <w:tab/>
        <w:t xml:space="preserve">A. Kaplan, </w:t>
      </w:r>
      <w:r w:rsidRPr="007C07B4">
        <w:rPr>
          <w:i/>
          <w:iCs/>
        </w:rPr>
        <w:t>The conduct of inquiry: Methodology for behavioural science</w:t>
      </w:r>
      <w:r w:rsidRPr="007C07B4">
        <w:t>. Routledge, 2017.</w:t>
      </w:r>
    </w:p>
    <w:p w14:paraId="6216FCB2" w14:textId="77777777" w:rsidR="007C07B4" w:rsidRPr="007C07B4" w:rsidRDefault="007C07B4" w:rsidP="007C07B4">
      <w:pPr>
        <w:pStyle w:val="Bibliography"/>
      </w:pPr>
      <w:r w:rsidRPr="007C07B4">
        <w:t>[57]</w:t>
      </w:r>
      <w:r w:rsidRPr="007C07B4">
        <w:tab/>
        <w:t xml:space="preserve">M. George, </w:t>
      </w:r>
      <w:r w:rsidRPr="007C07B4">
        <w:rPr>
          <w:i/>
          <w:iCs/>
        </w:rPr>
        <w:t>The image of man</w:t>
      </w:r>
      <w:r w:rsidRPr="007C07B4">
        <w:t>. New York/Oxford, 1996.</w:t>
      </w:r>
    </w:p>
    <w:p w14:paraId="26E91F65" w14:textId="77777777" w:rsidR="007C07B4" w:rsidRPr="007C07B4" w:rsidRDefault="007C07B4" w:rsidP="007C07B4">
      <w:pPr>
        <w:pStyle w:val="Bibliography"/>
      </w:pPr>
      <w:r w:rsidRPr="007C07B4">
        <w:t>[58]</w:t>
      </w:r>
      <w:r w:rsidRPr="007C07B4">
        <w:tab/>
        <w:t xml:space="preserve">R. I. Sutton and B. M. Staw, “What theory is not,” </w:t>
      </w:r>
      <w:r w:rsidRPr="007C07B4">
        <w:rPr>
          <w:i/>
          <w:iCs/>
        </w:rPr>
        <w:t>Adm. Sci. Q.</w:t>
      </w:r>
      <w:r w:rsidRPr="007C07B4">
        <w:t>, pp. 371–384, 1995.</w:t>
      </w:r>
    </w:p>
    <w:p w14:paraId="58661A4A" w14:textId="77777777" w:rsidR="007C07B4" w:rsidRPr="007C07B4" w:rsidRDefault="007C07B4" w:rsidP="007C07B4">
      <w:pPr>
        <w:pStyle w:val="Bibliography"/>
      </w:pPr>
      <w:r w:rsidRPr="007C07B4">
        <w:t>[59]</w:t>
      </w:r>
      <w:r w:rsidRPr="007C07B4">
        <w:tab/>
        <w:t xml:space="preserve">E. A. Drost and others, “Validity and reliability in social science research,” </w:t>
      </w:r>
      <w:r w:rsidRPr="007C07B4">
        <w:rPr>
          <w:i/>
          <w:iCs/>
        </w:rPr>
        <w:t>Educ. Res. Perspect.</w:t>
      </w:r>
      <w:r w:rsidRPr="007C07B4">
        <w:t>, vol. 38, no. 1, p. 105, 2011.</w:t>
      </w:r>
    </w:p>
    <w:p w14:paraId="600B765A" w14:textId="77777777" w:rsidR="007C07B4" w:rsidRPr="007C07B4" w:rsidRDefault="007C07B4" w:rsidP="007C07B4">
      <w:pPr>
        <w:pStyle w:val="Bibliography"/>
      </w:pPr>
      <w:r w:rsidRPr="007C07B4">
        <w:t>[60]</w:t>
      </w:r>
      <w:r w:rsidRPr="007C07B4">
        <w:tab/>
        <w:t xml:space="preserve">J. Cho and A. Trent, “Validity in qualitative research revisited,” </w:t>
      </w:r>
      <w:r w:rsidRPr="007C07B4">
        <w:rPr>
          <w:i/>
          <w:iCs/>
        </w:rPr>
        <w:t>Qual. Res.</w:t>
      </w:r>
      <w:r w:rsidRPr="007C07B4">
        <w:t>, vol. 6, no. 3, pp. 319–340, 2006.</w:t>
      </w:r>
    </w:p>
    <w:p w14:paraId="32C842FF" w14:textId="77777777" w:rsidR="007C07B4" w:rsidRPr="007C07B4" w:rsidRDefault="007C07B4" w:rsidP="007C07B4">
      <w:pPr>
        <w:pStyle w:val="Bibliography"/>
      </w:pPr>
      <w:r w:rsidRPr="007C07B4">
        <w:t>[61]</w:t>
      </w:r>
      <w:r w:rsidRPr="007C07B4">
        <w:tab/>
        <w:t xml:space="preserve">R. Donmoyer, “Paradigm talk reconsidered,” </w:t>
      </w:r>
      <w:r w:rsidRPr="007C07B4">
        <w:rPr>
          <w:i/>
          <w:iCs/>
        </w:rPr>
        <w:t>Handb. Res. Teach.</w:t>
      </w:r>
      <w:r w:rsidRPr="007C07B4">
        <w:t>, vol. 4, pp. 174–197, 2001.</w:t>
      </w:r>
    </w:p>
    <w:p w14:paraId="47BF047B" w14:textId="77777777" w:rsidR="007C07B4" w:rsidRPr="007C07B4" w:rsidRDefault="007C07B4" w:rsidP="007C07B4">
      <w:pPr>
        <w:pStyle w:val="Bibliography"/>
      </w:pPr>
      <w:r w:rsidRPr="007C07B4">
        <w:t>[62]</w:t>
      </w:r>
      <w:r w:rsidRPr="007C07B4">
        <w:tab/>
        <w:t xml:space="preserve">W. O. Bearden, D. M. Hardesty, and R. L. Rose, “Consumer self-confidence: Refinements in conceptualization and measurement,” </w:t>
      </w:r>
      <w:r w:rsidRPr="007C07B4">
        <w:rPr>
          <w:i/>
          <w:iCs/>
        </w:rPr>
        <w:t>J. Consum. Res.</w:t>
      </w:r>
      <w:r w:rsidRPr="007C07B4">
        <w:t>, vol. 28, no. 1, pp. 121–134, 2001.</w:t>
      </w:r>
    </w:p>
    <w:p w14:paraId="061BC658" w14:textId="77777777" w:rsidR="007C07B4" w:rsidRPr="007C07B4" w:rsidRDefault="007C07B4" w:rsidP="007C07B4">
      <w:pPr>
        <w:pStyle w:val="Bibliography"/>
      </w:pPr>
      <w:r w:rsidRPr="007C07B4">
        <w:t>[63]</w:t>
      </w:r>
      <w:r w:rsidRPr="007C07B4">
        <w:tab/>
        <w:t xml:space="preserve">J. S. Johnson and R. S. Sohi, “Understanding and resolving major contractual breaches in buyer–seller relationships: a grounded theory approach,” </w:t>
      </w:r>
      <w:r w:rsidRPr="007C07B4">
        <w:rPr>
          <w:i/>
          <w:iCs/>
        </w:rPr>
        <w:t>J. Acad. Mark. Sci.</w:t>
      </w:r>
      <w:r w:rsidRPr="007C07B4">
        <w:t>, vol. 44, no. 2, pp. 185–205, 2016.</w:t>
      </w:r>
    </w:p>
    <w:p w14:paraId="7294C168" w14:textId="77777777" w:rsidR="007C07B4" w:rsidRPr="007C07B4" w:rsidRDefault="007C07B4" w:rsidP="007C07B4">
      <w:pPr>
        <w:pStyle w:val="Bibliography"/>
      </w:pPr>
      <w:r w:rsidRPr="007C07B4">
        <w:t>[64]</w:t>
      </w:r>
      <w:r w:rsidRPr="007C07B4">
        <w:tab/>
        <w:t>S. S. Stevens and others, “On the theory of scales of measurement,” 1946.</w:t>
      </w:r>
    </w:p>
    <w:p w14:paraId="4FCCAFC3" w14:textId="77777777" w:rsidR="007C07B4" w:rsidRPr="007C07B4" w:rsidRDefault="007C07B4" w:rsidP="007C07B4">
      <w:pPr>
        <w:pStyle w:val="Bibliography"/>
      </w:pPr>
      <w:r w:rsidRPr="007C07B4">
        <w:t>[65]</w:t>
      </w:r>
      <w:r w:rsidRPr="007C07B4">
        <w:tab/>
        <w:t>C. N. N. Politics, “Election 2016.” Accessed: Dec. 23, 2018. [Online]. Available: https://www.cnn.com/election/2016/results/exit-polls</w:t>
      </w:r>
    </w:p>
    <w:p w14:paraId="7A7FA4C7" w14:textId="77777777" w:rsidR="007C07B4" w:rsidRPr="007C07B4" w:rsidRDefault="007C07B4" w:rsidP="007C07B4">
      <w:pPr>
        <w:pStyle w:val="Bibliography"/>
      </w:pPr>
      <w:r w:rsidRPr="007C07B4">
        <w:t>[66]</w:t>
      </w:r>
      <w:r w:rsidRPr="007C07B4">
        <w:tab/>
        <w:t xml:space="preserve">J. Gluck </w:t>
      </w:r>
      <w:r w:rsidRPr="007C07B4">
        <w:rPr>
          <w:i/>
          <w:iCs/>
        </w:rPr>
        <w:t>et al.</w:t>
      </w:r>
      <w:r w:rsidRPr="007C07B4">
        <w:t xml:space="preserve">, “How short is too short? Implications of length and framing on the effectiveness of privacy notices,” in </w:t>
      </w:r>
      <w:r w:rsidRPr="007C07B4">
        <w:rPr>
          <w:i/>
          <w:iCs/>
        </w:rPr>
        <w:t>12th Symposium on Usable Privacy and Security (SOUPS)</w:t>
      </w:r>
      <w:r w:rsidRPr="007C07B4">
        <w:t>, 2016, pp. 321–340.</w:t>
      </w:r>
    </w:p>
    <w:p w14:paraId="0DE15770" w14:textId="77777777" w:rsidR="007C07B4" w:rsidRPr="007C07B4" w:rsidRDefault="007C07B4" w:rsidP="007C07B4">
      <w:pPr>
        <w:pStyle w:val="Bibliography"/>
      </w:pPr>
      <w:r w:rsidRPr="007C07B4">
        <w:t>[67]</w:t>
      </w:r>
      <w:r w:rsidRPr="007C07B4">
        <w:tab/>
        <w:t>P. Titlebaum and H. Lawrence, “Perceived motivations for corporate suite ownership in the’big four’leagues,” 2016.</w:t>
      </w:r>
    </w:p>
    <w:p w14:paraId="18E421F5" w14:textId="77777777" w:rsidR="007C07B4" w:rsidRPr="007C07B4" w:rsidRDefault="007C07B4" w:rsidP="007C07B4">
      <w:pPr>
        <w:pStyle w:val="Bibliography"/>
      </w:pPr>
      <w:r w:rsidRPr="007C07B4">
        <w:t>[68]</w:t>
      </w:r>
      <w:r w:rsidRPr="007C07B4">
        <w:tab/>
        <w:t xml:space="preserve">K. M. Raval, “Data Mining Techniques,” </w:t>
      </w:r>
      <w:r w:rsidRPr="007C07B4">
        <w:rPr>
          <w:i/>
          <w:iCs/>
        </w:rPr>
        <w:t>Int. J. Adv. Res. Comput. Sci. Softw. Eng.</w:t>
      </w:r>
      <w:r w:rsidRPr="007C07B4">
        <w:t>, vol. 2, no. 10, 2012.</w:t>
      </w:r>
    </w:p>
    <w:p w14:paraId="02F76550" w14:textId="77777777" w:rsidR="007C07B4" w:rsidRPr="007C07B4" w:rsidRDefault="007C07B4" w:rsidP="007C07B4">
      <w:pPr>
        <w:pStyle w:val="Bibliography"/>
      </w:pPr>
      <w:r w:rsidRPr="007C07B4">
        <w:t>[69]</w:t>
      </w:r>
      <w:r w:rsidRPr="007C07B4">
        <w:tab/>
        <w:t xml:space="preserve">P. Vogel, T. Greiser, and D. C. Mattfeld, “Understanding bike-sharing systems using data mining: Exploring activity patterns,” </w:t>
      </w:r>
      <w:r w:rsidRPr="007C07B4">
        <w:rPr>
          <w:i/>
          <w:iCs/>
        </w:rPr>
        <w:t>Procedia-Soc. Behav. Sci.</w:t>
      </w:r>
      <w:r w:rsidRPr="007C07B4">
        <w:t>, vol. 20, pp. 514–523, 2011.</w:t>
      </w:r>
    </w:p>
    <w:p w14:paraId="67F64F1B" w14:textId="77777777" w:rsidR="007C07B4" w:rsidRPr="007C07B4" w:rsidRDefault="007C07B4" w:rsidP="007C07B4">
      <w:pPr>
        <w:pStyle w:val="Bibliography"/>
      </w:pPr>
      <w:r w:rsidRPr="007C07B4">
        <w:t>[70]</w:t>
      </w:r>
      <w:r w:rsidRPr="007C07B4">
        <w:tab/>
        <w:t xml:space="preserve">J. de Oña, R. de Oña, and G. López, “Transit service quality analysis using cluster analysis and decision trees: a step forward to personalized marketing in public transportation,” </w:t>
      </w:r>
      <w:r w:rsidRPr="007C07B4">
        <w:rPr>
          <w:i/>
          <w:iCs/>
        </w:rPr>
        <w:t>Transportation</w:t>
      </w:r>
      <w:r w:rsidRPr="007C07B4">
        <w:t>, vol. 43, no. 5, pp. 725–747, 2016.</w:t>
      </w:r>
    </w:p>
    <w:p w14:paraId="6F459C9E" w14:textId="77777777" w:rsidR="007C07B4" w:rsidRPr="007C07B4" w:rsidRDefault="007C07B4" w:rsidP="007C07B4">
      <w:pPr>
        <w:pStyle w:val="Bibliography"/>
      </w:pPr>
      <w:r w:rsidRPr="007C07B4">
        <w:t>[71]</w:t>
      </w:r>
      <w:r w:rsidRPr="007C07B4">
        <w:tab/>
        <w:t xml:space="preserve">A. Musalem, L. Aburto, and M. Bosch, “Market basket analysis insights to support category management,” </w:t>
      </w:r>
      <w:r w:rsidRPr="007C07B4">
        <w:rPr>
          <w:i/>
          <w:iCs/>
        </w:rPr>
        <w:t>Eur. J. Mark.</w:t>
      </w:r>
      <w:r w:rsidRPr="007C07B4">
        <w:t>, 2018.</w:t>
      </w:r>
    </w:p>
    <w:p w14:paraId="5C965A20" w14:textId="77777777" w:rsidR="007C07B4" w:rsidRPr="007C07B4" w:rsidRDefault="007C07B4" w:rsidP="007C07B4">
      <w:pPr>
        <w:pStyle w:val="Bibliography"/>
      </w:pPr>
      <w:r w:rsidRPr="007C07B4">
        <w:t>[72]</w:t>
      </w:r>
      <w:r w:rsidRPr="007C07B4">
        <w:tab/>
        <w:t>G. D. Israel, “Determining sample size,” 1992.</w:t>
      </w:r>
    </w:p>
    <w:p w14:paraId="0F0C59DD" w14:textId="77777777" w:rsidR="007C07B4" w:rsidRPr="007C07B4" w:rsidRDefault="007C07B4" w:rsidP="007C07B4">
      <w:pPr>
        <w:pStyle w:val="Bibliography"/>
      </w:pPr>
      <w:r w:rsidRPr="007C07B4">
        <w:lastRenderedPageBreak/>
        <w:t>[73]</w:t>
      </w:r>
      <w:r w:rsidRPr="007C07B4">
        <w:tab/>
        <w:t xml:space="preserve">J. J. Arnett, “The neglected 95%: why American psychology needs to become less American.,” </w:t>
      </w:r>
      <w:r w:rsidRPr="007C07B4">
        <w:rPr>
          <w:i/>
          <w:iCs/>
        </w:rPr>
        <w:t>Am. Psychol.</w:t>
      </w:r>
      <w:r w:rsidRPr="007C07B4">
        <w:t>, vol. 63, no. 7, p. 602, 2008.</w:t>
      </w:r>
    </w:p>
    <w:p w14:paraId="67E03DC3" w14:textId="77777777" w:rsidR="007C07B4" w:rsidRPr="007C07B4" w:rsidRDefault="007C07B4" w:rsidP="007C07B4">
      <w:pPr>
        <w:pStyle w:val="Bibliography"/>
      </w:pPr>
      <w:r w:rsidRPr="007C07B4">
        <w:t>[74]</w:t>
      </w:r>
      <w:r w:rsidRPr="007C07B4">
        <w:tab/>
        <w:t xml:space="preserve">J. Henrich, S. J. Heine, and A. Norenzayan, “Most people are not WEIRD,” </w:t>
      </w:r>
      <w:r w:rsidRPr="007C07B4">
        <w:rPr>
          <w:i/>
          <w:iCs/>
        </w:rPr>
        <w:t>Nature</w:t>
      </w:r>
      <w:r w:rsidRPr="007C07B4">
        <w:t>, vol. 466, no. 7302, p. 29, 2010.</w:t>
      </w:r>
    </w:p>
    <w:p w14:paraId="20AE50D0" w14:textId="77777777" w:rsidR="007C07B4" w:rsidRPr="007C07B4" w:rsidRDefault="007C07B4" w:rsidP="007C07B4">
      <w:pPr>
        <w:pStyle w:val="Bibliography"/>
      </w:pPr>
      <w:r w:rsidRPr="007C07B4">
        <w:t>[75]</w:t>
      </w:r>
      <w:r w:rsidRPr="007C07B4">
        <w:tab/>
        <w:t xml:space="preserve">S. Keeter, M. Dimock, and L. Christian, “Calling cell phones in’08 pre-election polls,” </w:t>
      </w:r>
      <w:r w:rsidRPr="007C07B4">
        <w:rPr>
          <w:i/>
          <w:iCs/>
        </w:rPr>
        <w:t>Pew Res. Cent. People Press Retrieved Dec.</w:t>
      </w:r>
      <w:r w:rsidRPr="007C07B4">
        <w:t>, vol. 18, p. 2008, 2008.</w:t>
      </w:r>
    </w:p>
    <w:p w14:paraId="5A5EEF69" w14:textId="77777777" w:rsidR="007C07B4" w:rsidRPr="007C07B4" w:rsidRDefault="007C07B4" w:rsidP="007C07B4">
      <w:pPr>
        <w:pStyle w:val="Bibliography"/>
      </w:pPr>
      <w:r w:rsidRPr="007C07B4">
        <w:t>[76]</w:t>
      </w:r>
      <w:r w:rsidRPr="007C07B4">
        <w:tab/>
        <w:t xml:space="preserve">L. M. Dutra and S. A. Glantz, “Electronic cigarettes and conventional cigarette use among US adolescents: a cross-sectional study,” </w:t>
      </w:r>
      <w:r w:rsidRPr="007C07B4">
        <w:rPr>
          <w:i/>
          <w:iCs/>
        </w:rPr>
        <w:t>JAMA Pediatr.</w:t>
      </w:r>
      <w:r w:rsidRPr="007C07B4">
        <w:t>, vol. 168, no. 7, pp. 610–617, 2014.</w:t>
      </w:r>
    </w:p>
    <w:p w14:paraId="071383A9" w14:textId="77777777" w:rsidR="007C07B4" w:rsidRPr="007C07B4" w:rsidRDefault="007C07B4" w:rsidP="007C07B4">
      <w:pPr>
        <w:pStyle w:val="Bibliography"/>
      </w:pPr>
      <w:r w:rsidRPr="007C07B4">
        <w:t>[77]</w:t>
      </w:r>
      <w:r w:rsidRPr="007C07B4">
        <w:tab/>
        <w:t xml:space="preserve">M. B. Jørgensen, E. Villadsen, H. Burr, L. Punnett, and A. Holtermann, “Does employee participation in workplace health promotion depend on the working environment? A cross-sectional study of Danish workers,” </w:t>
      </w:r>
      <w:r w:rsidRPr="007C07B4">
        <w:rPr>
          <w:i/>
          <w:iCs/>
        </w:rPr>
        <w:t>BMJ Open</w:t>
      </w:r>
      <w:r w:rsidRPr="007C07B4">
        <w:t>, vol. 6, no. 6, p. e010516, 2016.</w:t>
      </w:r>
    </w:p>
    <w:p w14:paraId="12AEAF2F" w14:textId="77777777" w:rsidR="007C07B4" w:rsidRPr="007C07B4" w:rsidRDefault="007C07B4" w:rsidP="007C07B4">
      <w:pPr>
        <w:pStyle w:val="Bibliography"/>
      </w:pPr>
      <w:r w:rsidRPr="007C07B4">
        <w:t>[78]</w:t>
      </w:r>
      <w:r w:rsidRPr="007C07B4">
        <w:tab/>
        <w:t xml:space="preserve">S. Dobrow Riza, Y. Ganzach, and Y. Liu, “Time and job satisfaction: A longitudinal study of the differential roles of age and tenure,” </w:t>
      </w:r>
      <w:r w:rsidRPr="007C07B4">
        <w:rPr>
          <w:i/>
          <w:iCs/>
        </w:rPr>
        <w:t>J. Manag.</w:t>
      </w:r>
      <w:r w:rsidRPr="007C07B4">
        <w:t>, 2015.</w:t>
      </w:r>
    </w:p>
    <w:p w14:paraId="528347CF" w14:textId="77777777" w:rsidR="007C07B4" w:rsidRPr="007C07B4" w:rsidRDefault="007C07B4" w:rsidP="007C07B4">
      <w:pPr>
        <w:pStyle w:val="Bibliography"/>
      </w:pPr>
      <w:r w:rsidRPr="007C07B4">
        <w:t>[79]</w:t>
      </w:r>
      <w:r w:rsidRPr="007C07B4">
        <w:tab/>
        <w:t>U. of Minnesota, “Youth Development Study.” Accessed: Dec. 26, 2018. [Online]. Available: https://cla.umn.edu/sociology/graduate/collaboration-opportunities/youth-development-study</w:t>
      </w:r>
    </w:p>
    <w:p w14:paraId="1166B0B6" w14:textId="77777777" w:rsidR="007C07B4" w:rsidRPr="007C07B4" w:rsidRDefault="007C07B4" w:rsidP="007C07B4">
      <w:pPr>
        <w:pStyle w:val="Bibliography"/>
      </w:pPr>
      <w:r w:rsidRPr="007C07B4">
        <w:t>[80]</w:t>
      </w:r>
      <w:r w:rsidRPr="007C07B4">
        <w:tab/>
        <w:t xml:space="preserve">M. Huhtala, M. Kaptein, and T. Feldt, “How perceived changes in the ethical culture of organizations influence the well-being of managers: A two-year longitudinal study,” </w:t>
      </w:r>
      <w:r w:rsidRPr="007C07B4">
        <w:rPr>
          <w:i/>
          <w:iCs/>
        </w:rPr>
        <w:t>Eur. J. Work Organ. Psychol.</w:t>
      </w:r>
      <w:r w:rsidRPr="007C07B4">
        <w:t>, vol. 25, no. 3, pp. 335–352, 2016.</w:t>
      </w:r>
    </w:p>
    <w:p w14:paraId="2B95E7CC" w14:textId="77777777" w:rsidR="007C07B4" w:rsidRPr="007C07B4" w:rsidRDefault="007C07B4" w:rsidP="007C07B4">
      <w:pPr>
        <w:pStyle w:val="Bibliography"/>
      </w:pPr>
      <w:r w:rsidRPr="007C07B4">
        <w:t>[81]</w:t>
      </w:r>
      <w:r w:rsidRPr="007C07B4">
        <w:tab/>
        <w:t xml:space="preserve">C. Percheski, “Opting out? Cohort differences in professional women’s employment rates from 1960 to 2005,” </w:t>
      </w:r>
      <w:r w:rsidRPr="007C07B4">
        <w:rPr>
          <w:i/>
          <w:iCs/>
        </w:rPr>
        <w:t>Am. Sociol. Rev.</w:t>
      </w:r>
      <w:r w:rsidRPr="007C07B4">
        <w:t>, vol. 73, no. 3, pp. 497–517, 2008.</w:t>
      </w:r>
    </w:p>
    <w:p w14:paraId="30EA40FF" w14:textId="77777777" w:rsidR="007C07B4" w:rsidRPr="007C07B4" w:rsidRDefault="007C07B4" w:rsidP="007C07B4">
      <w:pPr>
        <w:pStyle w:val="Bibliography"/>
      </w:pPr>
      <w:r w:rsidRPr="007C07B4">
        <w:t>[82]</w:t>
      </w:r>
      <w:r w:rsidRPr="007C07B4">
        <w:tab/>
        <w:t xml:space="preserve">D. K. Wright and M. D. Hinson, “Examining social and emerging media use in public relations practice: A ten-year longitudinal analysis,” </w:t>
      </w:r>
      <w:r w:rsidRPr="007C07B4">
        <w:rPr>
          <w:i/>
          <w:iCs/>
        </w:rPr>
        <w:t>Public Relat. J.</w:t>
      </w:r>
      <w:r w:rsidRPr="007C07B4">
        <w:t>, vol. 9, no. 2, pp. 1–26, 2015.</w:t>
      </w:r>
    </w:p>
    <w:p w14:paraId="25CC3FD8" w14:textId="77777777" w:rsidR="007C07B4" w:rsidRPr="007C07B4" w:rsidRDefault="007C07B4" w:rsidP="007C07B4">
      <w:pPr>
        <w:pStyle w:val="Bibliography"/>
      </w:pPr>
      <w:r w:rsidRPr="007C07B4">
        <w:t>[83]</w:t>
      </w:r>
      <w:r w:rsidRPr="007C07B4">
        <w:tab/>
        <w:t xml:space="preserve">E. Babbie and T. Wagenaar, “Unobtrusive research,” </w:t>
      </w:r>
      <w:r w:rsidRPr="007C07B4">
        <w:rPr>
          <w:i/>
          <w:iCs/>
        </w:rPr>
        <w:t>Pract. Soc. Res.</w:t>
      </w:r>
      <w:r w:rsidRPr="007C07B4">
        <w:t>, vol. 320, 2010.</w:t>
      </w:r>
    </w:p>
    <w:p w14:paraId="27BA06B4" w14:textId="77777777" w:rsidR="007C07B4" w:rsidRPr="007C07B4" w:rsidRDefault="007C07B4" w:rsidP="007C07B4">
      <w:pPr>
        <w:pStyle w:val="Bibliography"/>
      </w:pPr>
      <w:r w:rsidRPr="007C07B4">
        <w:t>[84]</w:t>
      </w:r>
      <w:r w:rsidRPr="007C07B4">
        <w:tab/>
        <w:t xml:space="preserve">D. A. Dillman, </w:t>
      </w:r>
      <w:r w:rsidRPr="007C07B4">
        <w:rPr>
          <w:i/>
          <w:iCs/>
        </w:rPr>
        <w:t>Mail and Internet surveys: The tailored design method–2007 Update with new Internet, visual, and mixed-mode guide</w:t>
      </w:r>
      <w:r w:rsidRPr="007C07B4">
        <w:t>. John Wiley &amp; Sons, 2011.</w:t>
      </w:r>
    </w:p>
    <w:p w14:paraId="269FFAF0" w14:textId="77777777" w:rsidR="007C07B4" w:rsidRPr="007C07B4" w:rsidRDefault="007C07B4" w:rsidP="007C07B4">
      <w:pPr>
        <w:pStyle w:val="Bibliography"/>
      </w:pPr>
      <w:r w:rsidRPr="007C07B4">
        <w:t>[85]</w:t>
      </w:r>
      <w:r w:rsidRPr="007C07B4">
        <w:tab/>
        <w:t xml:space="preserve">P. Squire, “Why the 1936 Literary Digest poll failed,” </w:t>
      </w:r>
      <w:r w:rsidRPr="007C07B4">
        <w:rPr>
          <w:i/>
          <w:iCs/>
        </w:rPr>
        <w:t>Public Opin. Q.</w:t>
      </w:r>
      <w:r w:rsidRPr="007C07B4">
        <w:t>, vol. 52, no. 1, pp. 125–133, 1988.</w:t>
      </w:r>
    </w:p>
    <w:p w14:paraId="626A90F8" w14:textId="77777777" w:rsidR="007C07B4" w:rsidRPr="007C07B4" w:rsidRDefault="007C07B4" w:rsidP="007C07B4">
      <w:pPr>
        <w:pStyle w:val="Bibliography"/>
      </w:pPr>
      <w:r w:rsidRPr="007C07B4">
        <w:t>[86]</w:t>
      </w:r>
      <w:r w:rsidRPr="007C07B4">
        <w:tab/>
        <w:t xml:space="preserve">R. Crutzen, G.-J. Ygram Peters, and C. Mondschein, “Why and how we should care about the General Data Protection Regulation,” </w:t>
      </w:r>
      <w:r w:rsidRPr="007C07B4">
        <w:rPr>
          <w:i/>
          <w:iCs/>
        </w:rPr>
        <w:t>Psychol. Health</w:t>
      </w:r>
      <w:r w:rsidRPr="007C07B4">
        <w:t>, vol. 34, no. 11, pp. 1347–1357, 2019.</w:t>
      </w:r>
    </w:p>
    <w:p w14:paraId="2D485462" w14:textId="77777777" w:rsidR="007C07B4" w:rsidRPr="007C07B4" w:rsidRDefault="007C07B4" w:rsidP="007C07B4">
      <w:pPr>
        <w:pStyle w:val="Bibliography"/>
      </w:pPr>
      <w:r w:rsidRPr="007C07B4">
        <w:t>[87]</w:t>
      </w:r>
      <w:r w:rsidRPr="007C07B4">
        <w:tab/>
        <w:t xml:space="preserve">M. E. Thompson </w:t>
      </w:r>
      <w:r w:rsidRPr="007C07B4">
        <w:rPr>
          <w:i/>
          <w:iCs/>
        </w:rPr>
        <w:t>et al.</w:t>
      </w:r>
      <w:r w:rsidRPr="007C07B4">
        <w:t xml:space="preserve">, “Methods of the International Tobacco Control (ITC) four country survey,” </w:t>
      </w:r>
      <w:r w:rsidRPr="007C07B4">
        <w:rPr>
          <w:i/>
          <w:iCs/>
        </w:rPr>
        <w:t>Tob. Control</w:t>
      </w:r>
      <w:r w:rsidRPr="007C07B4">
        <w:t>, vol. 15, no. suppl 3, pp. iii12–iii18, 2006.</w:t>
      </w:r>
    </w:p>
    <w:p w14:paraId="4ADA08B8" w14:textId="77777777" w:rsidR="007C07B4" w:rsidRPr="007C07B4" w:rsidRDefault="007C07B4" w:rsidP="007C07B4">
      <w:pPr>
        <w:pStyle w:val="Bibliography"/>
      </w:pPr>
      <w:r w:rsidRPr="007C07B4">
        <w:t>[88]</w:t>
      </w:r>
      <w:r w:rsidRPr="007C07B4">
        <w:tab/>
        <w:t xml:space="preserve">J. Lee, A. Wachholtz, and K.-H. Choi, “A review of the Korean cultural syndrome Hwa-Byung: Suggestions for theory and intervention,” </w:t>
      </w:r>
      <w:r w:rsidRPr="007C07B4">
        <w:rPr>
          <w:i/>
          <w:iCs/>
        </w:rPr>
        <w:t>Asia Taepyongyang Sangdam Yongu</w:t>
      </w:r>
      <w:r w:rsidRPr="007C07B4">
        <w:t>, vol. 4, no. 1, p. 49, 2014.</w:t>
      </w:r>
    </w:p>
    <w:p w14:paraId="298D61DF" w14:textId="77777777" w:rsidR="007C07B4" w:rsidRPr="007C07B4" w:rsidRDefault="007C07B4" w:rsidP="007C07B4">
      <w:pPr>
        <w:pStyle w:val="Bibliography"/>
      </w:pPr>
      <w:r w:rsidRPr="007C07B4">
        <w:t>[89]</w:t>
      </w:r>
      <w:r w:rsidRPr="007C07B4">
        <w:tab/>
        <w:t xml:space="preserve">E. Singer and C. Ye, “The use and effects of incentives in surveys,” </w:t>
      </w:r>
      <w:r w:rsidRPr="007C07B4">
        <w:rPr>
          <w:i/>
          <w:iCs/>
        </w:rPr>
        <w:t>Ann. Am. Acad. Pol. Soc. Sci.</w:t>
      </w:r>
      <w:r w:rsidRPr="007C07B4">
        <w:t>, vol. 645, no. 1, pp. 112–141, 2013.</w:t>
      </w:r>
    </w:p>
    <w:p w14:paraId="2FF0787C" w14:textId="77777777" w:rsidR="007C07B4" w:rsidRPr="007C07B4" w:rsidRDefault="007C07B4" w:rsidP="007C07B4">
      <w:pPr>
        <w:pStyle w:val="Bibliography"/>
      </w:pPr>
      <w:r w:rsidRPr="007C07B4">
        <w:t>[90]</w:t>
      </w:r>
      <w:r w:rsidRPr="007C07B4">
        <w:tab/>
        <w:t xml:space="preserve">J. Dykema, J. Stevenson, L. Klein, Y. Kim, and B. Day, “Effects of e-mailed versus mailed invitations and incentives on response rates, data quality, and costs in a web survey of university faculty,” </w:t>
      </w:r>
      <w:r w:rsidRPr="007C07B4">
        <w:rPr>
          <w:i/>
          <w:iCs/>
        </w:rPr>
        <w:t>Soc. Sci. Comput. Rev.</w:t>
      </w:r>
      <w:r w:rsidRPr="007C07B4">
        <w:t>, vol. 31, no. 3, pp. 359–370, 2013.</w:t>
      </w:r>
    </w:p>
    <w:p w14:paraId="374B0A09" w14:textId="77777777" w:rsidR="007C07B4" w:rsidRPr="007C07B4" w:rsidRDefault="007C07B4" w:rsidP="007C07B4">
      <w:pPr>
        <w:pStyle w:val="Bibliography"/>
      </w:pPr>
      <w:r w:rsidRPr="007C07B4">
        <w:t>[91]</w:t>
      </w:r>
      <w:r w:rsidRPr="007C07B4">
        <w:tab/>
        <w:t xml:space="preserve">R. R. Rindfuss, M. K. Choe, N. O. Tsuya, L. L. Bumpass, and E. Tamaki, “Do low survey response rates bias results? Evidence from Japan,” </w:t>
      </w:r>
      <w:r w:rsidRPr="007C07B4">
        <w:rPr>
          <w:i/>
          <w:iCs/>
        </w:rPr>
        <w:t>Demogr. Res.</w:t>
      </w:r>
      <w:r w:rsidRPr="007C07B4">
        <w:t>, vol. 32, pp. 797–828, 2015.</w:t>
      </w:r>
    </w:p>
    <w:p w14:paraId="54CCBEB4" w14:textId="77777777" w:rsidR="007C07B4" w:rsidRPr="007C07B4" w:rsidRDefault="007C07B4" w:rsidP="007C07B4">
      <w:pPr>
        <w:pStyle w:val="Bibliography"/>
      </w:pPr>
      <w:r w:rsidRPr="007C07B4">
        <w:t>[92]</w:t>
      </w:r>
      <w:r w:rsidRPr="007C07B4">
        <w:tab/>
        <w:t xml:space="preserve">G. Wright, “An empirical examination of the relationship between nonresponse rate and nonresponse bias,” </w:t>
      </w:r>
      <w:r w:rsidRPr="007C07B4">
        <w:rPr>
          <w:i/>
          <w:iCs/>
        </w:rPr>
        <w:t>Stat. J. IAOS</w:t>
      </w:r>
      <w:r w:rsidRPr="007C07B4">
        <w:t>, vol. 31, no. 2, pp. 305–315, 2015.</w:t>
      </w:r>
    </w:p>
    <w:p w14:paraId="4DBCEB83" w14:textId="77777777" w:rsidR="007C07B4" w:rsidRPr="007C07B4" w:rsidRDefault="007C07B4" w:rsidP="007C07B4">
      <w:pPr>
        <w:pStyle w:val="Bibliography"/>
      </w:pPr>
      <w:r w:rsidRPr="007C07B4">
        <w:t>[93]</w:t>
      </w:r>
      <w:r w:rsidRPr="007C07B4">
        <w:tab/>
        <w:t xml:space="preserve">K. A. R. Richards and M. A. Hemphill, “A practical guide to collaborative qualitative data analysis,” </w:t>
      </w:r>
      <w:r w:rsidRPr="007C07B4">
        <w:rPr>
          <w:i/>
          <w:iCs/>
        </w:rPr>
        <w:t>J. Teach. Phys. Educ.</w:t>
      </w:r>
      <w:r w:rsidRPr="007C07B4">
        <w:t>, vol. 37, no. 2, pp. 225–231, 2018.</w:t>
      </w:r>
    </w:p>
    <w:p w14:paraId="63A3DE8C" w14:textId="77777777" w:rsidR="007C07B4" w:rsidRPr="007C07B4" w:rsidRDefault="007C07B4" w:rsidP="007C07B4">
      <w:pPr>
        <w:pStyle w:val="Bibliography"/>
      </w:pPr>
      <w:r w:rsidRPr="007C07B4">
        <w:lastRenderedPageBreak/>
        <w:t>[94]</w:t>
      </w:r>
      <w:r w:rsidRPr="007C07B4">
        <w:tab/>
        <w:t xml:space="preserve">H. Allcott and T. Rogers, “The short-run and long-run effects of behavioral interventions: Experimental evidence from energy conservation,” </w:t>
      </w:r>
      <w:r w:rsidRPr="007C07B4">
        <w:rPr>
          <w:i/>
          <w:iCs/>
        </w:rPr>
        <w:t>Am. Econ. Rev.</w:t>
      </w:r>
      <w:r w:rsidRPr="007C07B4">
        <w:t>, vol. 104, no. 10, pp. 3003–37, 2014.</w:t>
      </w:r>
    </w:p>
    <w:p w14:paraId="209D9886" w14:textId="77777777" w:rsidR="007C07B4" w:rsidRPr="007C07B4" w:rsidRDefault="007C07B4" w:rsidP="007C07B4">
      <w:pPr>
        <w:pStyle w:val="Bibliography"/>
      </w:pPr>
      <w:r w:rsidRPr="007C07B4">
        <w:t>[95]</w:t>
      </w:r>
      <w:r w:rsidRPr="007C07B4">
        <w:tab/>
        <w:t xml:space="preserve">J. Berger and R. Iyengar, “Communication channels and word of mouth: How the medium shapes the message,” </w:t>
      </w:r>
      <w:r w:rsidRPr="007C07B4">
        <w:rPr>
          <w:i/>
          <w:iCs/>
        </w:rPr>
        <w:t>J. Consum. Res.</w:t>
      </w:r>
      <w:r w:rsidRPr="007C07B4">
        <w:t>, vol. 40, no. 3, pp. 567–579, 2013.</w:t>
      </w:r>
    </w:p>
    <w:p w14:paraId="58F1033A" w14:textId="77777777" w:rsidR="007C07B4" w:rsidRPr="007C07B4" w:rsidRDefault="007C07B4" w:rsidP="007C07B4">
      <w:pPr>
        <w:pStyle w:val="Bibliography"/>
      </w:pPr>
      <w:r w:rsidRPr="007C07B4">
        <w:t>[96]</w:t>
      </w:r>
      <w:r w:rsidRPr="007C07B4">
        <w:tab/>
        <w:t xml:space="preserve">H. Cai, Y. Chen, and H. Fang, “Observational learning: Evidence from a randomized natural field experiment,” </w:t>
      </w:r>
      <w:r w:rsidRPr="007C07B4">
        <w:rPr>
          <w:i/>
          <w:iCs/>
        </w:rPr>
        <w:t>Am. Econ. Rev.</w:t>
      </w:r>
      <w:r w:rsidRPr="007C07B4">
        <w:t>, vol. 99, no. 3, pp. 864–82, 2009.</w:t>
      </w:r>
    </w:p>
    <w:p w14:paraId="3115AAE7" w14:textId="77777777" w:rsidR="007C07B4" w:rsidRPr="007C07B4" w:rsidRDefault="007C07B4" w:rsidP="007C07B4">
      <w:pPr>
        <w:pStyle w:val="Bibliography"/>
      </w:pPr>
      <w:r w:rsidRPr="007C07B4">
        <w:t>[97]</w:t>
      </w:r>
      <w:r w:rsidRPr="007C07B4">
        <w:tab/>
        <w:t xml:space="preserve">S. Gainsbury and A. Blaszczynski, “The appropriateness of using laboratories and student participants in gambling research,” </w:t>
      </w:r>
      <w:r w:rsidRPr="007C07B4">
        <w:rPr>
          <w:i/>
          <w:iCs/>
        </w:rPr>
        <w:t>J. Gambl. Stud.</w:t>
      </w:r>
      <w:r w:rsidRPr="007C07B4">
        <w:t>, vol. 27, no. 1, pp. 83–97, 2011.</w:t>
      </w:r>
    </w:p>
    <w:p w14:paraId="274A29CD" w14:textId="77777777" w:rsidR="007C07B4" w:rsidRPr="007C07B4" w:rsidRDefault="007C07B4" w:rsidP="007C07B4">
      <w:pPr>
        <w:pStyle w:val="Bibliography"/>
      </w:pPr>
      <w:r w:rsidRPr="007C07B4">
        <w:t>[98]</w:t>
      </w:r>
      <w:r w:rsidRPr="007C07B4">
        <w:tab/>
        <w:t xml:space="preserve">J. C. McElroy and P. C. Morrow, “Employee reactions to office redesign: A naturally occurring quasi-field experiment in a multi-generational setting,” </w:t>
      </w:r>
      <w:r w:rsidRPr="007C07B4">
        <w:rPr>
          <w:i/>
          <w:iCs/>
        </w:rPr>
        <w:t>Hum. Relat.</w:t>
      </w:r>
      <w:r w:rsidRPr="007C07B4">
        <w:t>, vol. 63, no. 5, pp. 609–636, 2010.</w:t>
      </w:r>
    </w:p>
    <w:p w14:paraId="633254B1" w14:textId="77777777" w:rsidR="007C07B4" w:rsidRPr="007C07B4" w:rsidRDefault="007C07B4" w:rsidP="007C07B4">
      <w:pPr>
        <w:pStyle w:val="Bibliography"/>
      </w:pPr>
      <w:r w:rsidRPr="007C07B4">
        <w:t>[99]</w:t>
      </w:r>
      <w:r w:rsidRPr="007C07B4">
        <w:tab/>
        <w:t xml:space="preserve">B. A. Nosek </w:t>
      </w:r>
      <w:r w:rsidRPr="007C07B4">
        <w:rPr>
          <w:i/>
          <w:iCs/>
        </w:rPr>
        <w:t>et al.</w:t>
      </w:r>
      <w:r w:rsidRPr="007C07B4">
        <w:t xml:space="preserve">, “Promoting an open research culture,” </w:t>
      </w:r>
      <w:r w:rsidRPr="007C07B4">
        <w:rPr>
          <w:i/>
          <w:iCs/>
        </w:rPr>
        <w:t>Science</w:t>
      </w:r>
      <w:r w:rsidRPr="007C07B4">
        <w:t>, vol. 348, no. 6242, pp. 1422–1425, Jun. 2015, doi: 10.1126/science.aab2374.</w:t>
      </w:r>
    </w:p>
    <w:p w14:paraId="1CE8057C" w14:textId="77777777" w:rsidR="007C07B4" w:rsidRPr="007C07B4" w:rsidRDefault="007C07B4" w:rsidP="007C07B4">
      <w:pPr>
        <w:pStyle w:val="Bibliography"/>
      </w:pPr>
      <w:r w:rsidRPr="007C07B4">
        <w:t>[100]</w:t>
      </w:r>
      <w:r w:rsidRPr="007C07B4">
        <w:tab/>
        <w:t xml:space="preserve">B. A. Nosek, C. R. Ebersole, A. C. DeHaven, and D. T. Mellor, “The preregistration revolution,” </w:t>
      </w:r>
      <w:r w:rsidRPr="007C07B4">
        <w:rPr>
          <w:i/>
          <w:iCs/>
        </w:rPr>
        <w:t>Proc. Natl. Acad. Sci.</w:t>
      </w:r>
      <w:r w:rsidRPr="007C07B4">
        <w:t>, vol. 115, no. 11, pp. 2600–2606, Mar. 2018, doi: 10.1073/pnas.1708274114.</w:t>
      </w:r>
    </w:p>
    <w:p w14:paraId="0C273134" w14:textId="77777777" w:rsidR="007C07B4" w:rsidRPr="007C07B4" w:rsidRDefault="007C07B4" w:rsidP="007C07B4">
      <w:pPr>
        <w:pStyle w:val="Bibliography"/>
      </w:pPr>
      <w:r w:rsidRPr="007C07B4">
        <w:t>[101]</w:t>
      </w:r>
      <w:r w:rsidRPr="007C07B4">
        <w:tab/>
        <w:t xml:space="preserve">I. Kandela, F. Aird, and Reproducibility Project: Cancer Biology, “Replication Study: Discovery and preclinical validation of drug indications using compendia of public gene expression data,” </w:t>
      </w:r>
      <w:r w:rsidRPr="007C07B4">
        <w:rPr>
          <w:i/>
          <w:iCs/>
        </w:rPr>
        <w:t>eLife</w:t>
      </w:r>
      <w:r w:rsidRPr="007C07B4">
        <w:t>, vol. 6, p. e17044, Jan. 2017, doi: 10.7554/eLife.17044.</w:t>
      </w:r>
    </w:p>
    <w:p w14:paraId="5697527C" w14:textId="77777777" w:rsidR="007C07B4" w:rsidRPr="007C07B4" w:rsidRDefault="007C07B4" w:rsidP="007C07B4">
      <w:pPr>
        <w:pStyle w:val="Bibliography"/>
      </w:pPr>
      <w:r w:rsidRPr="007C07B4">
        <w:t>[102]</w:t>
      </w:r>
      <w:r w:rsidRPr="007C07B4">
        <w:tab/>
        <w:t xml:space="preserve">S. E. Asch, “Studies of independence and conformity: I. A minority of one against a unanimous majority.,” </w:t>
      </w:r>
      <w:r w:rsidRPr="007C07B4">
        <w:rPr>
          <w:i/>
          <w:iCs/>
        </w:rPr>
        <w:t>Psychol. Monogr. Gen. Appl.</w:t>
      </w:r>
      <w:r w:rsidRPr="007C07B4">
        <w:t>, vol. 70, no. 9, pp. 1–70, 1956, doi: 10.1037/h0093718.</w:t>
      </w:r>
    </w:p>
    <w:p w14:paraId="06443A8A" w14:textId="77777777" w:rsidR="007C07B4" w:rsidRPr="007C07B4" w:rsidRDefault="007C07B4" w:rsidP="007C07B4">
      <w:pPr>
        <w:pStyle w:val="Bibliography"/>
      </w:pPr>
      <w:r w:rsidRPr="007C07B4">
        <w:t>[103]</w:t>
      </w:r>
      <w:r w:rsidRPr="007C07B4">
        <w:tab/>
        <w:t xml:space="preserve">Writing Group for the Women’s Health Initiative Investigators, “Risks and Benefits of Estrogen Plus Progestin in Healthy Postmenopausal WomenPrincipal Results From the Women’s Health Initiative Randomized Controlled Trial,” </w:t>
      </w:r>
      <w:r w:rsidRPr="007C07B4">
        <w:rPr>
          <w:i/>
          <w:iCs/>
        </w:rPr>
        <w:t>JAMA</w:t>
      </w:r>
      <w:r w:rsidRPr="007C07B4">
        <w:t>, vol. 288, no. 3, pp. 321–333, Jul. 2002, doi: 10.1001/jama.288.3.321.</w:t>
      </w:r>
    </w:p>
    <w:p w14:paraId="02866B4C" w14:textId="77777777" w:rsidR="007C07B4" w:rsidRPr="007C07B4" w:rsidRDefault="007C07B4" w:rsidP="007C07B4">
      <w:pPr>
        <w:pStyle w:val="Bibliography"/>
      </w:pPr>
      <w:r w:rsidRPr="007C07B4">
        <w:t>[104]</w:t>
      </w:r>
      <w:r w:rsidRPr="007C07B4">
        <w:tab/>
        <w:t xml:space="preserve">J. Hattie, </w:t>
      </w:r>
      <w:r w:rsidRPr="007C07B4">
        <w:rPr>
          <w:i/>
          <w:iCs/>
        </w:rPr>
        <w:t>Visible Learning: A Synthesis of Over 800 Meta-Analyses Relating to Achievement</w:t>
      </w:r>
      <w:r w:rsidRPr="007C07B4">
        <w:t>, 1st ed. Routledge, 2008. [Online]. Available: https://www.taylorfrancis.com/books/mono/10.4324/9780203887332/visible-learning-john-hattie</w:t>
      </w:r>
    </w:p>
    <w:p w14:paraId="79CEE7B2" w14:textId="77777777" w:rsidR="007C07B4" w:rsidRPr="007C07B4" w:rsidRDefault="007C07B4" w:rsidP="007C07B4">
      <w:pPr>
        <w:pStyle w:val="Bibliography"/>
      </w:pPr>
      <w:r w:rsidRPr="007C07B4">
        <w:t>[105]</w:t>
      </w:r>
      <w:r w:rsidRPr="007C07B4">
        <w:tab/>
        <w:t xml:space="preserve">D. Ariely and S. Jones, </w:t>
      </w:r>
      <w:r w:rsidRPr="007C07B4">
        <w:rPr>
          <w:i/>
          <w:iCs/>
        </w:rPr>
        <w:t>Predictably irrational</w:t>
      </w:r>
      <w:r w:rsidRPr="007C07B4">
        <w:t>. HarperCollins New York, 2008.</w:t>
      </w:r>
    </w:p>
    <w:p w14:paraId="119B9480" w14:textId="77777777" w:rsidR="007C07B4" w:rsidRPr="007C07B4" w:rsidRDefault="007C07B4" w:rsidP="007C07B4">
      <w:pPr>
        <w:pStyle w:val="Bibliography"/>
      </w:pPr>
      <w:r w:rsidRPr="007C07B4">
        <w:t>[106]</w:t>
      </w:r>
      <w:r w:rsidRPr="007C07B4">
        <w:tab/>
        <w:t xml:space="preserve">Grant, A. M., “The significance of task significance: Job performance effects, relational mechanisms, and boundary conditions.,” </w:t>
      </w:r>
      <w:r w:rsidRPr="007C07B4">
        <w:rPr>
          <w:i/>
          <w:iCs/>
        </w:rPr>
        <w:t>APA PsycNet</w:t>
      </w:r>
      <w:r w:rsidRPr="007C07B4">
        <w:t>, vol. 93, no. 1, pp. 108–124, 2008.</w:t>
      </w:r>
    </w:p>
    <w:p w14:paraId="189CAE38" w14:textId="77777777" w:rsidR="007C07B4" w:rsidRPr="007C07B4" w:rsidRDefault="007C07B4" w:rsidP="007C07B4">
      <w:pPr>
        <w:pStyle w:val="Bibliography"/>
      </w:pPr>
      <w:r w:rsidRPr="007C07B4">
        <w:t>[107]</w:t>
      </w:r>
      <w:r w:rsidRPr="007C07B4">
        <w:tab/>
        <w:t xml:space="preserve">D. Diez, M. Cetinkaya-Rundel, and C. Barr, </w:t>
      </w:r>
      <w:r w:rsidRPr="007C07B4">
        <w:rPr>
          <w:i/>
          <w:iCs/>
        </w:rPr>
        <w:t>OpenIntro Statistics</w:t>
      </w:r>
      <w:r w:rsidRPr="007C07B4">
        <w:t>, 4th ed. [Online]. Available: https://leanpub.com/os</w:t>
      </w:r>
    </w:p>
    <w:p w14:paraId="4DD46B44" w14:textId="77777777" w:rsidR="007C07B4" w:rsidRPr="007C07B4" w:rsidRDefault="007C07B4" w:rsidP="007C07B4">
      <w:pPr>
        <w:pStyle w:val="Bibliography"/>
      </w:pPr>
      <w:r w:rsidRPr="007C07B4">
        <w:t>[108]</w:t>
      </w:r>
      <w:r w:rsidRPr="007C07B4">
        <w:tab/>
        <w:t xml:space="preserve">D. Rumsey, “Statistical Literacy as a Goal for Introductory Statistics Courses,” </w:t>
      </w:r>
      <w:r w:rsidRPr="007C07B4">
        <w:rPr>
          <w:i/>
          <w:iCs/>
        </w:rPr>
        <w:t>J. Stat. Educ.</w:t>
      </w:r>
      <w:r w:rsidRPr="007C07B4">
        <w:t>, vol. 10, no. 3, 2002.</w:t>
      </w:r>
    </w:p>
    <w:p w14:paraId="6923F022" w14:textId="77777777" w:rsidR="007C07B4" w:rsidRPr="007C07B4" w:rsidRDefault="007C07B4" w:rsidP="007C07B4">
      <w:pPr>
        <w:pStyle w:val="Bibliography"/>
      </w:pPr>
      <w:r w:rsidRPr="007C07B4">
        <w:t>[109]</w:t>
      </w:r>
      <w:r w:rsidRPr="007C07B4">
        <w:tab/>
        <w:t xml:space="preserve">A. Agresti, C. Franklin, and B. Klingenberg, </w:t>
      </w:r>
      <w:r w:rsidRPr="007C07B4">
        <w:rPr>
          <w:i/>
          <w:iCs/>
        </w:rPr>
        <w:t>Statistics: The Art and Science of Learning from Data</w:t>
      </w:r>
      <w:r w:rsidRPr="007C07B4">
        <w:t>, 5th ed. Pearson, 2021.</w:t>
      </w:r>
    </w:p>
    <w:p w14:paraId="22C03FCA" w14:textId="77777777" w:rsidR="007C07B4" w:rsidRPr="007C07B4" w:rsidRDefault="007C07B4" w:rsidP="007C07B4">
      <w:pPr>
        <w:pStyle w:val="Bibliography"/>
      </w:pPr>
      <w:r w:rsidRPr="007C07B4">
        <w:t>[110]</w:t>
      </w:r>
      <w:r w:rsidRPr="007C07B4">
        <w:tab/>
        <w:t xml:space="preserve">S. Greenland </w:t>
      </w:r>
      <w:r w:rsidRPr="007C07B4">
        <w:rPr>
          <w:i/>
          <w:iCs/>
        </w:rPr>
        <w:t>et al.</w:t>
      </w:r>
      <w:r w:rsidRPr="007C07B4">
        <w:t xml:space="preserve">, “Statistical tests, P values, confidence intervals, and power: a guide to misinterpretations,” </w:t>
      </w:r>
      <w:r w:rsidRPr="007C07B4">
        <w:rPr>
          <w:i/>
          <w:iCs/>
        </w:rPr>
        <w:t>Eur. J. Epidemiol.</w:t>
      </w:r>
      <w:r w:rsidRPr="007C07B4">
        <w:t>, vol. 31, no. 4, pp. 337–350, Apr. 2016, doi: 10.1007/s10654-016-0149-3.</w:t>
      </w:r>
    </w:p>
    <w:p w14:paraId="445BF064" w14:textId="77777777" w:rsidR="007C07B4" w:rsidRPr="007C07B4" w:rsidRDefault="007C07B4" w:rsidP="007C07B4">
      <w:pPr>
        <w:pStyle w:val="Bibliography"/>
      </w:pPr>
      <w:r w:rsidRPr="007C07B4">
        <w:t>[111]</w:t>
      </w:r>
      <w:r w:rsidRPr="007C07B4">
        <w:tab/>
        <w:t>R. L. Wasserstein, A. L. Schirm, and N. A. Lazar, “Moving to a World Beyond ‘p</w:t>
      </w:r>
      <w:r w:rsidRPr="007C07B4">
        <w:rPr>
          <w:rFonts w:cs="Arial"/>
        </w:rPr>
        <w:t> </w:t>
      </w:r>
      <w:r w:rsidRPr="007C07B4">
        <w:t>&lt;</w:t>
      </w:r>
      <w:r w:rsidRPr="007C07B4">
        <w:rPr>
          <w:rFonts w:cs="Arial"/>
        </w:rPr>
        <w:t> </w:t>
      </w:r>
      <w:r w:rsidRPr="007C07B4">
        <w:t>0.05,</w:t>
      </w:r>
      <w:r w:rsidRPr="007C07B4">
        <w:rPr>
          <w:rFonts w:cs="Aptos"/>
        </w:rPr>
        <w:t>’”</w:t>
      </w:r>
      <w:r w:rsidRPr="007C07B4">
        <w:t xml:space="preserve"> </w:t>
      </w:r>
      <w:r w:rsidRPr="007C07B4">
        <w:rPr>
          <w:i/>
          <w:iCs/>
        </w:rPr>
        <w:t>Am. Stat.</w:t>
      </w:r>
      <w:r w:rsidRPr="007C07B4">
        <w:t>, vol. 73, no. sup1, pp. 1–19, Mar. 2019, doi: 10.1080/00031305.2019.1583913.</w:t>
      </w:r>
    </w:p>
    <w:p w14:paraId="1621F529" w14:textId="77777777" w:rsidR="007C07B4" w:rsidRPr="007C07B4" w:rsidRDefault="007C07B4" w:rsidP="007C07B4">
      <w:pPr>
        <w:pStyle w:val="Bibliography"/>
      </w:pPr>
      <w:r w:rsidRPr="007C07B4">
        <w:t>[112]</w:t>
      </w:r>
      <w:r w:rsidRPr="007C07B4">
        <w:tab/>
        <w:t>S. Siegel, “N. Castellan J (1988). Non parametric statistics for the Behavioural Sciences”.</w:t>
      </w:r>
    </w:p>
    <w:p w14:paraId="2FC6EEA7" w14:textId="77777777" w:rsidR="007C07B4" w:rsidRPr="007C07B4" w:rsidRDefault="007C07B4" w:rsidP="007C07B4">
      <w:pPr>
        <w:pStyle w:val="Bibliography"/>
      </w:pPr>
      <w:r w:rsidRPr="007C07B4">
        <w:t>[113]</w:t>
      </w:r>
      <w:r w:rsidRPr="007C07B4">
        <w:tab/>
        <w:t xml:space="preserve">D. Lakens, “Calculating and reporting effect sizes to facilitate cumulative science: a practical primer for t-tests and ANOVAs,” </w:t>
      </w:r>
      <w:r w:rsidRPr="007C07B4">
        <w:rPr>
          <w:i/>
          <w:iCs/>
        </w:rPr>
        <w:t>Front. Psychol.</w:t>
      </w:r>
      <w:r w:rsidRPr="007C07B4">
        <w:t>, vol. 4, p. 62627, 2013.</w:t>
      </w:r>
    </w:p>
    <w:p w14:paraId="7DBE3E74" w14:textId="77777777" w:rsidR="007C07B4" w:rsidRPr="007C07B4" w:rsidRDefault="007C07B4" w:rsidP="007C07B4">
      <w:pPr>
        <w:pStyle w:val="Bibliography"/>
      </w:pPr>
      <w:r w:rsidRPr="007C07B4">
        <w:lastRenderedPageBreak/>
        <w:t>[114]</w:t>
      </w:r>
      <w:r w:rsidRPr="007C07B4">
        <w:tab/>
        <w:t xml:space="preserve">M. S. G. Kimmel, “The perilous world where boys become men,” </w:t>
      </w:r>
      <w:r w:rsidRPr="007C07B4">
        <w:rPr>
          <w:i/>
          <w:iCs/>
        </w:rPr>
        <w:t>HarperCollins</w:t>
      </w:r>
      <w:r w:rsidRPr="007C07B4">
        <w:t>, 2008.</w:t>
      </w:r>
    </w:p>
    <w:p w14:paraId="066ED46A" w14:textId="77777777" w:rsidR="007C07B4" w:rsidRPr="007C07B4" w:rsidRDefault="007C07B4" w:rsidP="007C07B4">
      <w:pPr>
        <w:pStyle w:val="Bibliography"/>
      </w:pPr>
      <w:r w:rsidRPr="007C07B4">
        <w:t>[115]</w:t>
      </w:r>
      <w:r w:rsidRPr="007C07B4">
        <w:tab/>
        <w:t xml:space="preserve">J. Lofland, “Analytic ethnography: Features, failings, and futures,” </w:t>
      </w:r>
      <w:r w:rsidRPr="007C07B4">
        <w:rPr>
          <w:i/>
          <w:iCs/>
        </w:rPr>
        <w:t>J. Contemp. Ethnogr.</w:t>
      </w:r>
      <w:r w:rsidRPr="007C07B4">
        <w:t>, vol. 24, no. 1, pp. 30–67, 1995.</w:t>
      </w:r>
    </w:p>
    <w:p w14:paraId="64D7AC1D" w14:textId="77777777" w:rsidR="007C07B4" w:rsidRPr="007C07B4" w:rsidRDefault="007C07B4" w:rsidP="007C07B4">
      <w:pPr>
        <w:pStyle w:val="Bibliography"/>
      </w:pPr>
      <w:r w:rsidRPr="007C07B4">
        <w:t>[116]</w:t>
      </w:r>
      <w:r w:rsidRPr="007C07B4">
        <w:tab/>
        <w:t>J. Buchanan and M. L. Jones, “The efficacy of utilising Nvivo for interview data from the electronic gaming industry in two jurisdictions,” 2010.</w:t>
      </w:r>
    </w:p>
    <w:p w14:paraId="40F2CAEC" w14:textId="77777777" w:rsidR="007C07B4" w:rsidRPr="007C07B4" w:rsidRDefault="007C07B4" w:rsidP="007C07B4">
      <w:pPr>
        <w:pStyle w:val="Bibliography"/>
      </w:pPr>
      <w:r w:rsidRPr="007C07B4">
        <w:t>[117]</w:t>
      </w:r>
      <w:r w:rsidRPr="007C07B4">
        <w:tab/>
        <w:t xml:space="preserve">F. Anyan, “The Influence of Power Shifts in Data Collection and Analysis Stages: A Focus on Qualitative Research Interview.,” </w:t>
      </w:r>
      <w:r w:rsidRPr="007C07B4">
        <w:rPr>
          <w:i/>
          <w:iCs/>
        </w:rPr>
        <w:t>Qual. Rep.</w:t>
      </w:r>
      <w:r w:rsidRPr="007C07B4">
        <w:t>, vol. 18, p. 36, 2013.</w:t>
      </w:r>
    </w:p>
    <w:p w14:paraId="3D5F9946" w14:textId="77777777" w:rsidR="007C07B4" w:rsidRPr="007C07B4" w:rsidRDefault="007C07B4" w:rsidP="007C07B4">
      <w:pPr>
        <w:pStyle w:val="Bibliography"/>
      </w:pPr>
      <w:r w:rsidRPr="007C07B4">
        <w:t>[118]</w:t>
      </w:r>
      <w:r w:rsidRPr="007C07B4">
        <w:tab/>
        <w:t xml:space="preserve">R. Berger, “Now I see it, now I don’t: researcher’s position and reflexivity in qualitative research,” </w:t>
      </w:r>
      <w:r w:rsidRPr="007C07B4">
        <w:rPr>
          <w:i/>
          <w:iCs/>
        </w:rPr>
        <w:t>Qual. Res.</w:t>
      </w:r>
      <w:r w:rsidRPr="007C07B4">
        <w:t>, vol. 15, no. 2, pp. 219–234, Apr. 2015, doi: 10.1177/1468794112468475.</w:t>
      </w:r>
    </w:p>
    <w:p w14:paraId="1787EE98" w14:textId="77777777" w:rsidR="007C07B4" w:rsidRPr="007C07B4" w:rsidRDefault="007C07B4" w:rsidP="007C07B4">
      <w:pPr>
        <w:pStyle w:val="Bibliography"/>
      </w:pPr>
      <w:r w:rsidRPr="007C07B4">
        <w:t>[119]</w:t>
      </w:r>
      <w:r w:rsidRPr="007C07B4">
        <w:tab/>
        <w:t xml:space="preserve">L. Birt, S. Scott, D. Cavers, C. Campbell, and F. Walter, “Member Checking: A Tool to Enhance Trustworthiness or Merely a Nod to Validation?,” </w:t>
      </w:r>
      <w:r w:rsidRPr="007C07B4">
        <w:rPr>
          <w:i/>
          <w:iCs/>
        </w:rPr>
        <w:t>Qual. Health Res.</w:t>
      </w:r>
      <w:r w:rsidRPr="007C07B4">
        <w:t>, vol. 26, no. 13, pp. 1802–1811, Nov. 2016, doi: 10.1177/1049732316654870.</w:t>
      </w:r>
    </w:p>
    <w:p w14:paraId="54D900BA" w14:textId="77777777" w:rsidR="007C07B4" w:rsidRPr="007C07B4" w:rsidRDefault="007C07B4" w:rsidP="007C07B4">
      <w:pPr>
        <w:pStyle w:val="Bibliography"/>
      </w:pPr>
      <w:r w:rsidRPr="007C07B4">
        <w:t>[120]</w:t>
      </w:r>
      <w:r w:rsidRPr="007C07B4">
        <w:tab/>
        <w:t xml:space="preserve">M. M. Archibald, R. C. Ambagtsheer, M. G. Casey, and M. Lawless, “Using Zoom Videoconferencing for Qualitative Data Collection: Perceptions and Experiences of Researchers and Participants,” </w:t>
      </w:r>
      <w:r w:rsidRPr="007C07B4">
        <w:rPr>
          <w:i/>
          <w:iCs/>
        </w:rPr>
        <w:t>Int. J. Qual. Methods</w:t>
      </w:r>
      <w:r w:rsidRPr="007C07B4">
        <w:t>, vol. 18, p. 1609406919874596, Jan. 2019, doi: 10.1177/1609406919874596.</w:t>
      </w:r>
    </w:p>
    <w:p w14:paraId="23FDD2AA" w14:textId="77777777" w:rsidR="007C07B4" w:rsidRPr="007C07B4" w:rsidRDefault="007C07B4" w:rsidP="007C07B4">
      <w:pPr>
        <w:pStyle w:val="Bibliography"/>
      </w:pPr>
      <w:r w:rsidRPr="007C07B4">
        <w:t>[121]</w:t>
      </w:r>
      <w:r w:rsidRPr="007C07B4">
        <w:tab/>
        <w:t xml:space="preserve">B. Lobe, D. Morgan, and K. A. Hoffman, “Qualitative Data Collection in an Era of Social Distancing,” </w:t>
      </w:r>
      <w:r w:rsidRPr="007C07B4">
        <w:rPr>
          <w:i/>
          <w:iCs/>
        </w:rPr>
        <w:t>Int. J. Qual. Methods</w:t>
      </w:r>
      <w:r w:rsidRPr="007C07B4">
        <w:t>, vol. 19, p. 1609406920937875, Jan. 2020, doi: 10.1177/1609406920937875.</w:t>
      </w:r>
    </w:p>
    <w:p w14:paraId="5B87773B" w14:textId="77777777" w:rsidR="007C07B4" w:rsidRPr="007C07B4" w:rsidRDefault="007C07B4" w:rsidP="007C07B4">
      <w:pPr>
        <w:pStyle w:val="Bibliography"/>
      </w:pPr>
      <w:r w:rsidRPr="007C07B4">
        <w:t>[122]</w:t>
      </w:r>
      <w:r w:rsidRPr="007C07B4">
        <w:tab/>
        <w:t xml:space="preserve">D. L. Morgan, “Focus groups,” </w:t>
      </w:r>
      <w:r w:rsidRPr="007C07B4">
        <w:rPr>
          <w:i/>
          <w:iCs/>
        </w:rPr>
        <w:t>Annu. Rev. Sociol.</w:t>
      </w:r>
      <w:r w:rsidRPr="007C07B4">
        <w:t>, vol. 22, no. 1, pp. 129–152, 1996.</w:t>
      </w:r>
    </w:p>
    <w:p w14:paraId="76F60A77" w14:textId="77777777" w:rsidR="007C07B4" w:rsidRPr="007C07B4" w:rsidRDefault="007C07B4" w:rsidP="007C07B4">
      <w:pPr>
        <w:pStyle w:val="Bibliography"/>
      </w:pPr>
      <w:r w:rsidRPr="007C07B4">
        <w:t>[123]</w:t>
      </w:r>
      <w:r w:rsidRPr="007C07B4">
        <w:tab/>
        <w:t xml:space="preserve">K. Gallopel-Morvan, P. Gabriel, M. Le Gall-Ely, S. Rieunier, and B. Urien, “The use of visual warnings in social marketing: The case of tobacco,” </w:t>
      </w:r>
      <w:r w:rsidRPr="007C07B4">
        <w:rPr>
          <w:i/>
          <w:iCs/>
        </w:rPr>
        <w:t>J. Bus. Res.</w:t>
      </w:r>
      <w:r w:rsidRPr="007C07B4">
        <w:t>, vol. 64, no. 1, pp. 7–11, 2011.</w:t>
      </w:r>
    </w:p>
    <w:p w14:paraId="57FC76FB" w14:textId="77777777" w:rsidR="007C07B4" w:rsidRPr="007C07B4" w:rsidRDefault="007C07B4" w:rsidP="007C07B4">
      <w:pPr>
        <w:pStyle w:val="Bibliography"/>
      </w:pPr>
      <w:r w:rsidRPr="007C07B4">
        <w:t>[124]</w:t>
      </w:r>
      <w:r w:rsidRPr="007C07B4">
        <w:tab/>
        <w:t xml:space="preserve">A. C. Sylvetsky </w:t>
      </w:r>
      <w:r w:rsidRPr="007C07B4">
        <w:rPr>
          <w:i/>
          <w:iCs/>
        </w:rPr>
        <w:t>et al.</w:t>
      </w:r>
      <w:r w:rsidRPr="007C07B4">
        <w:t xml:space="preserve">, “Youth understanding of healthy eating and obesity: a focus group study.,” </w:t>
      </w:r>
      <w:r w:rsidRPr="007C07B4">
        <w:rPr>
          <w:i/>
          <w:iCs/>
        </w:rPr>
        <w:t>J. Obes.</w:t>
      </w:r>
      <w:r w:rsidRPr="007C07B4">
        <w:t>, vol. 2013, p. 670295, 2013, doi: 10.1155/2013/670295.</w:t>
      </w:r>
    </w:p>
    <w:p w14:paraId="0B6D6FDA" w14:textId="77777777" w:rsidR="007C07B4" w:rsidRPr="007C07B4" w:rsidRDefault="007C07B4" w:rsidP="007C07B4">
      <w:pPr>
        <w:pStyle w:val="Bibliography"/>
      </w:pPr>
      <w:r w:rsidRPr="007C07B4">
        <w:t>[125]</w:t>
      </w:r>
      <w:r w:rsidRPr="007C07B4">
        <w:tab/>
        <w:t xml:space="preserve">A. Wutich, T. Lant, D. D. White, K. L. Larson, and M. Gartin, “Comparing focus group and individual responses on sensitive topics: a study of water decision makers in a desert city,” </w:t>
      </w:r>
      <w:r w:rsidRPr="007C07B4">
        <w:rPr>
          <w:i/>
          <w:iCs/>
        </w:rPr>
        <w:t>Field Methods</w:t>
      </w:r>
      <w:r w:rsidRPr="007C07B4">
        <w:t>, vol. 22, no. 1, pp. 88–110, 2010.</w:t>
      </w:r>
    </w:p>
    <w:p w14:paraId="0068AA8F" w14:textId="77777777" w:rsidR="007C07B4" w:rsidRPr="007C07B4" w:rsidRDefault="007C07B4" w:rsidP="007C07B4">
      <w:pPr>
        <w:pStyle w:val="Bibliography"/>
      </w:pPr>
      <w:r w:rsidRPr="007C07B4">
        <w:t>[126]</w:t>
      </w:r>
      <w:r w:rsidRPr="007C07B4">
        <w:tab/>
        <w:t xml:space="preserve">A. Hochschild and A. Machung, </w:t>
      </w:r>
      <w:r w:rsidRPr="007C07B4">
        <w:rPr>
          <w:i/>
          <w:iCs/>
        </w:rPr>
        <w:t>The second shift: Working families and the revolution at home</w:t>
      </w:r>
      <w:r w:rsidRPr="007C07B4">
        <w:t>. Penguin, 2012.</w:t>
      </w:r>
    </w:p>
    <w:p w14:paraId="4A63D171" w14:textId="77777777" w:rsidR="007C07B4" w:rsidRPr="007C07B4" w:rsidRDefault="007C07B4" w:rsidP="007C07B4">
      <w:pPr>
        <w:pStyle w:val="Bibliography"/>
      </w:pPr>
      <w:r w:rsidRPr="007C07B4">
        <w:t>[127]</w:t>
      </w:r>
      <w:r w:rsidRPr="007C07B4">
        <w:tab/>
        <w:t xml:space="preserve">L. Baker, “Observation: A complex research method,” </w:t>
      </w:r>
      <w:r w:rsidRPr="007C07B4">
        <w:rPr>
          <w:i/>
          <w:iCs/>
        </w:rPr>
        <w:t>Libr. Trends</w:t>
      </w:r>
      <w:r w:rsidRPr="007C07B4">
        <w:t>, vol. 55, no. 1, pp. 171–189, 2006.</w:t>
      </w:r>
    </w:p>
    <w:p w14:paraId="7266BD4E" w14:textId="77777777" w:rsidR="007C07B4" w:rsidRPr="007C07B4" w:rsidRDefault="007C07B4" w:rsidP="007C07B4">
      <w:pPr>
        <w:pStyle w:val="Bibliography"/>
      </w:pPr>
      <w:r w:rsidRPr="007C07B4">
        <w:t>[128]</w:t>
      </w:r>
      <w:r w:rsidRPr="007C07B4">
        <w:tab/>
        <w:t xml:space="preserve">H. F. Wolcott, </w:t>
      </w:r>
      <w:r w:rsidRPr="007C07B4">
        <w:rPr>
          <w:i/>
          <w:iCs/>
        </w:rPr>
        <w:t>Ethnography: A way of seeing</w:t>
      </w:r>
      <w:r w:rsidRPr="007C07B4">
        <w:t>. Rowman Altamira, 1999.</w:t>
      </w:r>
    </w:p>
    <w:p w14:paraId="6A795F15" w14:textId="77777777" w:rsidR="007C07B4" w:rsidRPr="007C07B4" w:rsidRDefault="007C07B4" w:rsidP="007C07B4">
      <w:pPr>
        <w:pStyle w:val="Bibliography"/>
      </w:pPr>
      <w:r w:rsidRPr="007C07B4">
        <w:t>[129]</w:t>
      </w:r>
      <w:r w:rsidRPr="007C07B4">
        <w:tab/>
        <w:t xml:space="preserve">F. Boas, </w:t>
      </w:r>
      <w:r w:rsidRPr="007C07B4">
        <w:rPr>
          <w:i/>
          <w:iCs/>
        </w:rPr>
        <w:t>The central eskimo</w:t>
      </w:r>
      <w:r w:rsidRPr="007C07B4">
        <w:t>, vol. 196. e-artnow sro, 1964.</w:t>
      </w:r>
    </w:p>
    <w:p w14:paraId="4D418B4F" w14:textId="77777777" w:rsidR="007C07B4" w:rsidRPr="007C07B4" w:rsidRDefault="007C07B4" w:rsidP="007C07B4">
      <w:pPr>
        <w:pStyle w:val="Bibliography"/>
      </w:pPr>
      <w:r w:rsidRPr="007C07B4">
        <w:t>[130]</w:t>
      </w:r>
      <w:r w:rsidRPr="007C07B4">
        <w:tab/>
        <w:t xml:space="preserve">B. Malinowski, </w:t>
      </w:r>
      <w:r w:rsidRPr="007C07B4">
        <w:rPr>
          <w:i/>
          <w:iCs/>
        </w:rPr>
        <w:t>Argonauts of the western Pacific</w:t>
      </w:r>
      <w:r w:rsidRPr="007C07B4">
        <w:t>. Routledge, 2014.</w:t>
      </w:r>
    </w:p>
    <w:p w14:paraId="668A3801" w14:textId="77777777" w:rsidR="007C07B4" w:rsidRPr="007C07B4" w:rsidRDefault="007C07B4" w:rsidP="007C07B4">
      <w:pPr>
        <w:pStyle w:val="Bibliography"/>
      </w:pPr>
      <w:r w:rsidRPr="007C07B4">
        <w:t>[131]</w:t>
      </w:r>
      <w:r w:rsidRPr="007C07B4">
        <w:tab/>
        <w:t xml:space="preserve">W. F. Whyte, </w:t>
      </w:r>
      <w:r w:rsidRPr="007C07B4">
        <w:rPr>
          <w:i/>
          <w:iCs/>
        </w:rPr>
        <w:t>Street Corner Society.</w:t>
      </w:r>
      <w:r w:rsidRPr="007C07B4">
        <w:t xml:space="preserve"> in Street Corner Society. University of Chicago Press: Chicago, 1943.</w:t>
      </w:r>
    </w:p>
    <w:p w14:paraId="5F936430" w14:textId="77777777" w:rsidR="007C07B4" w:rsidRPr="007C07B4" w:rsidRDefault="007C07B4" w:rsidP="007C07B4">
      <w:pPr>
        <w:pStyle w:val="Bibliography"/>
      </w:pPr>
      <w:r w:rsidRPr="007C07B4">
        <w:t>[132]</w:t>
      </w:r>
      <w:r w:rsidRPr="007C07B4">
        <w:tab/>
        <w:t xml:space="preserve">Goffman, Alice, </w:t>
      </w:r>
      <w:r w:rsidRPr="007C07B4">
        <w:rPr>
          <w:i/>
          <w:iCs/>
        </w:rPr>
        <w:t>On the Run: Fugitive Life in an American City</w:t>
      </w:r>
      <w:r w:rsidRPr="007C07B4">
        <w:t>. CHicago: The University of Chicago Press, 2014.</w:t>
      </w:r>
    </w:p>
    <w:p w14:paraId="34777FDF" w14:textId="77777777" w:rsidR="007C07B4" w:rsidRPr="007C07B4" w:rsidRDefault="007C07B4" w:rsidP="007C07B4">
      <w:pPr>
        <w:pStyle w:val="Bibliography"/>
      </w:pPr>
      <w:r w:rsidRPr="007C07B4">
        <w:t>[133]</w:t>
      </w:r>
      <w:r w:rsidRPr="007C07B4">
        <w:tab/>
        <w:t xml:space="preserve">E. Liebow, </w:t>
      </w:r>
      <w:r w:rsidRPr="007C07B4">
        <w:rPr>
          <w:i/>
          <w:iCs/>
        </w:rPr>
        <w:t>Tell them who I am:  The lives of homeless women.</w:t>
      </w:r>
      <w:r w:rsidRPr="007C07B4">
        <w:t xml:space="preserve"> in Tell them who I am:  The lives of homeless women. New York,  NY,  US: Free Press, 1993, pp. xxi, 339.</w:t>
      </w:r>
    </w:p>
    <w:p w14:paraId="67716035" w14:textId="77777777" w:rsidR="007C07B4" w:rsidRPr="007C07B4" w:rsidRDefault="007C07B4" w:rsidP="007C07B4">
      <w:pPr>
        <w:pStyle w:val="Bibliography"/>
      </w:pPr>
      <w:r w:rsidRPr="007C07B4">
        <w:t>[134]</w:t>
      </w:r>
      <w:r w:rsidRPr="007C07B4">
        <w:tab/>
        <w:t xml:space="preserve">S. Venkatesh, </w:t>
      </w:r>
      <w:r w:rsidRPr="007C07B4">
        <w:rPr>
          <w:i/>
          <w:iCs/>
        </w:rPr>
        <w:t>Gang leader for a day: A rogue sociologist takes to the streets.</w:t>
      </w:r>
      <w:r w:rsidRPr="007C07B4">
        <w:t xml:space="preserve"> in Gang leader for a day: A rogue sociologist takes to the streets. New York,  NY,  US: Penguin Press, 2008, pp. xiv, 302.</w:t>
      </w:r>
    </w:p>
    <w:p w14:paraId="0384B510" w14:textId="77777777" w:rsidR="007C07B4" w:rsidRPr="007C07B4" w:rsidRDefault="007C07B4" w:rsidP="007C07B4">
      <w:pPr>
        <w:pStyle w:val="Bibliography"/>
      </w:pPr>
      <w:r w:rsidRPr="007C07B4">
        <w:t>[135]</w:t>
      </w:r>
      <w:r w:rsidRPr="007C07B4">
        <w:tab/>
        <w:t xml:space="preserve">J. Taylor, “The intimate insider: negotiating the ethics of friendship when doing insider research,” </w:t>
      </w:r>
      <w:r w:rsidRPr="007C07B4">
        <w:rPr>
          <w:i/>
          <w:iCs/>
        </w:rPr>
        <w:t>Qual. Res.</w:t>
      </w:r>
      <w:r w:rsidRPr="007C07B4">
        <w:t>, vol. 11, no. 1, pp. 3–22, 2011.</w:t>
      </w:r>
    </w:p>
    <w:p w14:paraId="1522D831" w14:textId="77777777" w:rsidR="007C07B4" w:rsidRPr="007C07B4" w:rsidRDefault="007C07B4" w:rsidP="007C07B4">
      <w:pPr>
        <w:pStyle w:val="Bibliography"/>
      </w:pPr>
      <w:r w:rsidRPr="007C07B4">
        <w:t>[136]</w:t>
      </w:r>
      <w:r w:rsidRPr="007C07B4">
        <w:tab/>
        <w:t xml:space="preserve">M. Sanjari, F. Bahramnezhad, F. K. Fomani, M. Shoghi, and M. A. Cheraghi, “Ethical challenges of researchers in qualitative studies: the necessity to develop a specific guideline,” </w:t>
      </w:r>
      <w:r w:rsidRPr="007C07B4">
        <w:rPr>
          <w:i/>
          <w:iCs/>
        </w:rPr>
        <w:t>J. Med. Ethics Hist. Med.</w:t>
      </w:r>
      <w:r w:rsidRPr="007C07B4">
        <w:t>, vol. 7, 2014.</w:t>
      </w:r>
    </w:p>
    <w:p w14:paraId="74CC9E2C" w14:textId="77777777" w:rsidR="007C07B4" w:rsidRPr="007C07B4" w:rsidRDefault="007C07B4" w:rsidP="007C07B4">
      <w:pPr>
        <w:pStyle w:val="Bibliography"/>
      </w:pPr>
      <w:r w:rsidRPr="007C07B4">
        <w:lastRenderedPageBreak/>
        <w:t>[137]</w:t>
      </w:r>
      <w:r w:rsidRPr="007C07B4">
        <w:tab/>
        <w:t xml:space="preserve">M. J. Greene, “On the inside looking in: Methodological insights and challenges in conducting qualitative insider research,” </w:t>
      </w:r>
      <w:r w:rsidRPr="007C07B4">
        <w:rPr>
          <w:i/>
          <w:iCs/>
        </w:rPr>
        <w:t>Qual. Rep.</w:t>
      </w:r>
      <w:r w:rsidRPr="007C07B4">
        <w:t>, vol. 19, no. 29, pp. 1–13, 2014.</w:t>
      </w:r>
    </w:p>
    <w:p w14:paraId="68DCFE09" w14:textId="77777777" w:rsidR="007C07B4" w:rsidRPr="007C07B4" w:rsidRDefault="007C07B4" w:rsidP="007C07B4">
      <w:pPr>
        <w:pStyle w:val="Bibliography"/>
      </w:pPr>
      <w:r w:rsidRPr="007C07B4">
        <w:t>[138]</w:t>
      </w:r>
      <w:r w:rsidRPr="007C07B4">
        <w:tab/>
        <w:t xml:space="preserve">I. A. Davies and A. Crane, “Corporate social responsibility in small-and medium-size enterprises: investigating employee engagement in fair trade companies,” </w:t>
      </w:r>
      <w:r w:rsidRPr="007C07B4">
        <w:rPr>
          <w:i/>
          <w:iCs/>
        </w:rPr>
        <w:t>Bus. Ethics Eur. Rev.</w:t>
      </w:r>
      <w:r w:rsidRPr="007C07B4">
        <w:t>, vol. 19, no. 2, pp. 126–139, 2010.</w:t>
      </w:r>
    </w:p>
    <w:p w14:paraId="010A8972" w14:textId="77777777" w:rsidR="007C07B4" w:rsidRPr="007C07B4" w:rsidRDefault="007C07B4" w:rsidP="007C07B4">
      <w:pPr>
        <w:pStyle w:val="Bibliography"/>
      </w:pPr>
      <w:r w:rsidRPr="007C07B4">
        <w:t>[139]</w:t>
      </w:r>
      <w:r w:rsidRPr="007C07B4">
        <w:tab/>
        <w:t xml:space="preserve">S. Jack, S. Moult, A. R. Anderson, and S. Dodd, “An entrepreneurial network evolving: Patterns of change,” </w:t>
      </w:r>
      <w:r w:rsidRPr="007C07B4">
        <w:rPr>
          <w:i/>
          <w:iCs/>
        </w:rPr>
        <w:t>Int. Small Bus. J.</w:t>
      </w:r>
      <w:r w:rsidRPr="007C07B4">
        <w:t>, vol. 28, no. 4, pp. 315–337, 2010.</w:t>
      </w:r>
    </w:p>
    <w:p w14:paraId="0C479CA7" w14:textId="77777777" w:rsidR="007C07B4" w:rsidRPr="007C07B4" w:rsidRDefault="007C07B4" w:rsidP="007C07B4">
      <w:pPr>
        <w:pStyle w:val="Bibliography"/>
      </w:pPr>
      <w:r w:rsidRPr="007C07B4">
        <w:t>[140]</w:t>
      </w:r>
      <w:r w:rsidRPr="007C07B4">
        <w:tab/>
        <w:t xml:space="preserve">E. W. Larson, “Time and the constitution of markets: internal dynamics and external relations of stock exchanges in Fiji, Ghana and Iceland,” </w:t>
      </w:r>
      <w:r w:rsidRPr="007C07B4">
        <w:rPr>
          <w:i/>
          <w:iCs/>
        </w:rPr>
        <w:t>Econ. Soc.</w:t>
      </w:r>
      <w:r w:rsidRPr="007C07B4">
        <w:t>, vol. 39, no. 4, pp. 460–487, 2010.</w:t>
      </w:r>
    </w:p>
    <w:p w14:paraId="32517C06" w14:textId="77777777" w:rsidR="007C07B4" w:rsidRPr="007C07B4" w:rsidRDefault="007C07B4" w:rsidP="007C07B4">
      <w:pPr>
        <w:pStyle w:val="Bibliography"/>
      </w:pPr>
      <w:r w:rsidRPr="007C07B4">
        <w:t>[141]</w:t>
      </w:r>
      <w:r w:rsidRPr="007C07B4">
        <w:tab/>
        <w:t xml:space="preserve">S. Dorow, “Racialized Choices: Chinese adoption and thewhite noise’of blackness,” </w:t>
      </w:r>
      <w:r w:rsidRPr="007C07B4">
        <w:rPr>
          <w:i/>
          <w:iCs/>
        </w:rPr>
        <w:t>Crit. Sociol.</w:t>
      </w:r>
      <w:r w:rsidRPr="007C07B4">
        <w:t>, vol. 32, no. 2–3, pp. 357–379, 2006.</w:t>
      </w:r>
    </w:p>
    <w:p w14:paraId="7B0FD0D9" w14:textId="77777777" w:rsidR="007C07B4" w:rsidRPr="007C07B4" w:rsidRDefault="007C07B4" w:rsidP="007C07B4">
      <w:pPr>
        <w:pStyle w:val="Bibliography"/>
      </w:pPr>
      <w:r w:rsidRPr="007C07B4">
        <w:t>[142]</w:t>
      </w:r>
      <w:r w:rsidRPr="007C07B4">
        <w:tab/>
        <w:t xml:space="preserve">T. Gowan, </w:t>
      </w:r>
      <w:r w:rsidRPr="007C07B4">
        <w:rPr>
          <w:i/>
          <w:iCs/>
        </w:rPr>
        <w:t>Hobos, hustlers, and backsliders: Homeless in San Francisco</w:t>
      </w:r>
      <w:r w:rsidRPr="007C07B4">
        <w:t>. U of Minnesota Press, 2010.</w:t>
      </w:r>
    </w:p>
    <w:p w14:paraId="28CC1526" w14:textId="77777777" w:rsidR="007C07B4" w:rsidRPr="007C07B4" w:rsidRDefault="007C07B4" w:rsidP="007C07B4">
      <w:pPr>
        <w:pStyle w:val="Bibliography"/>
      </w:pPr>
      <w:r w:rsidRPr="007C07B4">
        <w:t>[143]</w:t>
      </w:r>
      <w:r w:rsidRPr="007C07B4">
        <w:tab/>
        <w:t xml:space="preserve">W. Shaffir and R. A. Stebbins, “An inside view of qualitative research,” </w:t>
      </w:r>
      <w:r w:rsidRPr="007C07B4">
        <w:rPr>
          <w:i/>
          <w:iCs/>
        </w:rPr>
        <w:t>Fieldwork Exp.</w:t>
      </w:r>
      <w:r w:rsidRPr="007C07B4">
        <w:t>, 1991.</w:t>
      </w:r>
    </w:p>
    <w:p w14:paraId="38541BDC" w14:textId="77777777" w:rsidR="007C07B4" w:rsidRPr="007C07B4" w:rsidRDefault="007C07B4" w:rsidP="007C07B4">
      <w:pPr>
        <w:pStyle w:val="Bibliography"/>
      </w:pPr>
      <w:r w:rsidRPr="007C07B4">
        <w:t>[144]</w:t>
      </w:r>
      <w:r w:rsidRPr="007C07B4">
        <w:tab/>
        <w:t xml:space="preserve">F. Davis, “The Martian and the convert: Ontological polarities in social research,” </w:t>
      </w:r>
      <w:r w:rsidRPr="007C07B4">
        <w:rPr>
          <w:i/>
          <w:iCs/>
        </w:rPr>
        <w:t>Urban Life Cult.</w:t>
      </w:r>
      <w:r w:rsidRPr="007C07B4">
        <w:t>, vol. 2, no. 3, pp. 333–343, 1973.</w:t>
      </w:r>
    </w:p>
    <w:p w14:paraId="0DBDA496" w14:textId="77777777" w:rsidR="007C07B4" w:rsidRPr="007C07B4" w:rsidRDefault="007C07B4" w:rsidP="007C07B4">
      <w:pPr>
        <w:pStyle w:val="Bibliography"/>
      </w:pPr>
      <w:r w:rsidRPr="007C07B4">
        <w:t>[145]</w:t>
      </w:r>
      <w:r w:rsidRPr="007C07B4">
        <w:tab/>
        <w:t xml:space="preserve">K. Kaufmann and C. Peil, “The mobile instant messaging interview (MIMI): Using WhatsApp to enhance self-reporting and explore media usage in situ,” </w:t>
      </w:r>
      <w:r w:rsidRPr="007C07B4">
        <w:rPr>
          <w:i/>
          <w:iCs/>
        </w:rPr>
        <w:t>Mob. Media Commun.</w:t>
      </w:r>
      <w:r w:rsidRPr="007C07B4">
        <w:t>, vol. 8, no. 2, pp. 229–246, May 2020, doi: 10.1177/2050157919852392.</w:t>
      </w:r>
    </w:p>
    <w:p w14:paraId="3F5FC3EB" w14:textId="77777777" w:rsidR="007C07B4" w:rsidRPr="007C07B4" w:rsidRDefault="007C07B4" w:rsidP="007C07B4">
      <w:pPr>
        <w:pStyle w:val="Bibliography"/>
      </w:pPr>
      <w:r w:rsidRPr="007C07B4">
        <w:t>[146]</w:t>
      </w:r>
      <w:r w:rsidRPr="007C07B4">
        <w:tab/>
        <w:t xml:space="preserve">M. N. Poulsen </w:t>
      </w:r>
      <w:r w:rsidRPr="007C07B4">
        <w:rPr>
          <w:i/>
          <w:iCs/>
        </w:rPr>
        <w:t>et al.</w:t>
      </w:r>
      <w:r w:rsidRPr="007C07B4">
        <w:t xml:space="preserve">, “Growing an Urban Oasis: A Qualitative Study of the Perceived Benefits of Community Gardening in Baltimore, Maryland,” </w:t>
      </w:r>
      <w:r w:rsidRPr="007C07B4">
        <w:rPr>
          <w:i/>
          <w:iCs/>
        </w:rPr>
        <w:t>Cult. Agric. Food Environ.</w:t>
      </w:r>
      <w:r w:rsidRPr="007C07B4">
        <w:t>, vol. 36, no. 2, pp. 69–82, Dec. 2014, doi: 10.1111/cuag.12035.</w:t>
      </w:r>
    </w:p>
    <w:p w14:paraId="57EBD567" w14:textId="77777777" w:rsidR="007C07B4" w:rsidRPr="007C07B4" w:rsidRDefault="007C07B4" w:rsidP="007C07B4">
      <w:pPr>
        <w:pStyle w:val="Bibliography"/>
      </w:pPr>
      <w:r w:rsidRPr="007C07B4">
        <w:t>[147]</w:t>
      </w:r>
      <w:r w:rsidRPr="007C07B4">
        <w:tab/>
        <w:t xml:space="preserve">J. Spradley, “P. 1980. Participant observation,” </w:t>
      </w:r>
      <w:r w:rsidRPr="007C07B4">
        <w:rPr>
          <w:i/>
          <w:iCs/>
        </w:rPr>
        <w:t>Wadsworth Belmont USA</w:t>
      </w:r>
      <w:r w:rsidRPr="007C07B4">
        <w:t>, 2016.</w:t>
      </w:r>
    </w:p>
    <w:p w14:paraId="0D66B1C1" w14:textId="77777777" w:rsidR="007C07B4" w:rsidRPr="007C07B4" w:rsidRDefault="007C07B4" w:rsidP="007C07B4">
      <w:pPr>
        <w:pStyle w:val="Bibliography"/>
      </w:pPr>
      <w:r w:rsidRPr="007C07B4">
        <w:t>[148]</w:t>
      </w:r>
      <w:r w:rsidRPr="007C07B4">
        <w:tab/>
        <w:t xml:space="preserve">E. A. Chatman, </w:t>
      </w:r>
      <w:r w:rsidRPr="007C07B4">
        <w:rPr>
          <w:i/>
          <w:iCs/>
        </w:rPr>
        <w:t>The information world of retired women</w:t>
      </w:r>
      <w:r w:rsidRPr="007C07B4">
        <w:t>. Greenwood Publishing Group, 1992.</w:t>
      </w:r>
    </w:p>
    <w:p w14:paraId="37BDEAB7" w14:textId="77777777" w:rsidR="007C07B4" w:rsidRPr="007C07B4" w:rsidRDefault="007C07B4" w:rsidP="007C07B4">
      <w:pPr>
        <w:pStyle w:val="Bibliography"/>
      </w:pPr>
      <w:r w:rsidRPr="007C07B4">
        <w:t>[149]</w:t>
      </w:r>
      <w:r w:rsidRPr="007C07B4">
        <w:tab/>
        <w:t xml:space="preserve">H. Mintzberg, “Managerial work: Analysis from observation,” </w:t>
      </w:r>
      <w:r w:rsidRPr="007C07B4">
        <w:rPr>
          <w:i/>
          <w:iCs/>
        </w:rPr>
        <w:t>Manag. Sci.</w:t>
      </w:r>
      <w:r w:rsidRPr="007C07B4">
        <w:t>, vol. 18, no. 2, p. B-97, 1971.</w:t>
      </w:r>
    </w:p>
    <w:p w14:paraId="0BE251C4" w14:textId="77777777" w:rsidR="007C07B4" w:rsidRPr="007C07B4" w:rsidRDefault="007C07B4" w:rsidP="007C07B4">
      <w:pPr>
        <w:pStyle w:val="Bibliography"/>
      </w:pPr>
      <w:r w:rsidRPr="007C07B4">
        <w:t>[150]</w:t>
      </w:r>
      <w:r w:rsidRPr="007C07B4">
        <w:tab/>
        <w:t xml:space="preserve">L. C. Irani and M. Silberman, “Turkopticon: Interrupting worker invisibility in amazon mechanical turk,” in </w:t>
      </w:r>
      <w:r w:rsidRPr="007C07B4">
        <w:rPr>
          <w:i/>
          <w:iCs/>
        </w:rPr>
        <w:t>Proceedings of the SIGCHI conference on human factors in computing systems</w:t>
      </w:r>
      <w:r w:rsidRPr="007C07B4">
        <w:t>, ACM, 2013, pp. 611–620.</w:t>
      </w:r>
    </w:p>
    <w:p w14:paraId="0467732B" w14:textId="77777777" w:rsidR="007C07B4" w:rsidRPr="007C07B4" w:rsidRDefault="007C07B4" w:rsidP="007C07B4">
      <w:pPr>
        <w:pStyle w:val="Bibliography"/>
      </w:pPr>
      <w:r w:rsidRPr="007C07B4">
        <w:t>[151]</w:t>
      </w:r>
      <w:r w:rsidRPr="007C07B4">
        <w:tab/>
        <w:t xml:space="preserve">M. A. Messner, </w:t>
      </w:r>
      <w:r w:rsidRPr="007C07B4">
        <w:rPr>
          <w:i/>
          <w:iCs/>
        </w:rPr>
        <w:t>Taking the field: Women, men, and sports</w:t>
      </w:r>
      <w:r w:rsidRPr="007C07B4">
        <w:t>, vol. 4. U of Minnesota Press, 2002.</w:t>
      </w:r>
    </w:p>
    <w:p w14:paraId="0FB9FD7C" w14:textId="77777777" w:rsidR="007C07B4" w:rsidRPr="007C07B4" w:rsidRDefault="007C07B4" w:rsidP="007C07B4">
      <w:pPr>
        <w:pStyle w:val="Bibliography"/>
      </w:pPr>
      <w:r w:rsidRPr="007C07B4">
        <w:t>[152]</w:t>
      </w:r>
      <w:r w:rsidRPr="007C07B4">
        <w:tab/>
        <w:t xml:space="preserve">J. A. M. Buysse and M. S. Embser-Herbert, “Constructions of gender in sport: An analysis of intercollegiate media guide cover photographs,” </w:t>
      </w:r>
      <w:r w:rsidRPr="007C07B4">
        <w:rPr>
          <w:i/>
          <w:iCs/>
        </w:rPr>
        <w:t>Gend. Soc.</w:t>
      </w:r>
      <w:r w:rsidRPr="007C07B4">
        <w:t>, vol. 18, no. 1, pp. 66–81, 2004.</w:t>
      </w:r>
    </w:p>
    <w:p w14:paraId="6D3E2EBF" w14:textId="77777777" w:rsidR="007C07B4" w:rsidRPr="007C07B4" w:rsidRDefault="007C07B4" w:rsidP="007C07B4">
      <w:pPr>
        <w:pStyle w:val="Bibliography"/>
      </w:pPr>
      <w:r w:rsidRPr="007C07B4">
        <w:t>[153]</w:t>
      </w:r>
      <w:r w:rsidRPr="007C07B4">
        <w:tab/>
        <w:t xml:space="preserve">E. Babbie, “The practice of social research (ed.),” </w:t>
      </w:r>
      <w:r w:rsidRPr="007C07B4">
        <w:rPr>
          <w:i/>
          <w:iCs/>
        </w:rPr>
        <w:t>Wadsworth Nelson Educ. Ltd</w:t>
      </w:r>
      <w:r w:rsidRPr="007C07B4">
        <w:t>, 2010.</w:t>
      </w:r>
    </w:p>
    <w:p w14:paraId="05945824" w14:textId="77777777" w:rsidR="007C07B4" w:rsidRPr="007C07B4" w:rsidRDefault="007C07B4" w:rsidP="007C07B4">
      <w:pPr>
        <w:pStyle w:val="Bibliography"/>
      </w:pPr>
      <w:r w:rsidRPr="007C07B4">
        <w:t>[154]</w:t>
      </w:r>
      <w:r w:rsidRPr="007C07B4">
        <w:tab/>
        <w:t xml:space="preserve">K. Braunsberger and B. Buckler, “What motivates consumers to participate in boycotts: Lessons from the ongoing Canadian seafood boycott,” </w:t>
      </w:r>
      <w:r w:rsidRPr="007C07B4">
        <w:rPr>
          <w:i/>
          <w:iCs/>
        </w:rPr>
        <w:t>J. Bus. Res.</w:t>
      </w:r>
      <w:r w:rsidRPr="007C07B4">
        <w:t>, vol. 64, no. 1, pp. 96–102, 2011.</w:t>
      </w:r>
    </w:p>
    <w:p w14:paraId="27060F35" w14:textId="77777777" w:rsidR="007C07B4" w:rsidRPr="007C07B4" w:rsidRDefault="007C07B4" w:rsidP="007C07B4">
      <w:pPr>
        <w:pStyle w:val="Bibliography"/>
      </w:pPr>
      <w:r w:rsidRPr="007C07B4">
        <w:t>[155]</w:t>
      </w:r>
      <w:r w:rsidRPr="007C07B4">
        <w:tab/>
        <w:t xml:space="preserve">A. D. Cheyne, L. Dorfman, E. Bukofzer, and J. L. Harris, “Marketing sugary cereals to children in the digital age: a content analysis of 17 child-targeted websites,” </w:t>
      </w:r>
      <w:r w:rsidRPr="007C07B4">
        <w:rPr>
          <w:i/>
          <w:iCs/>
        </w:rPr>
        <w:t>J. Health Commun.</w:t>
      </w:r>
      <w:r w:rsidRPr="007C07B4">
        <w:t>, vol. 18, no. 5, pp. 563–582, 2013.</w:t>
      </w:r>
    </w:p>
    <w:p w14:paraId="2E822B96" w14:textId="77777777" w:rsidR="007C07B4" w:rsidRPr="007C07B4" w:rsidRDefault="007C07B4" w:rsidP="007C07B4">
      <w:pPr>
        <w:pStyle w:val="Bibliography"/>
      </w:pPr>
      <w:r w:rsidRPr="007C07B4">
        <w:t>[156]</w:t>
      </w:r>
      <w:r w:rsidRPr="007C07B4">
        <w:tab/>
        <w:t xml:space="preserve">J. Schilling, “On the pragmatics of qualitative assessment,” </w:t>
      </w:r>
      <w:r w:rsidRPr="007C07B4">
        <w:rPr>
          <w:i/>
          <w:iCs/>
        </w:rPr>
        <w:t>Eur. J. Psychol. Assess.</w:t>
      </w:r>
      <w:r w:rsidRPr="007C07B4">
        <w:t>, vol. 22, no. 1, pp. 28–37, 2006.</w:t>
      </w:r>
    </w:p>
    <w:p w14:paraId="52CEF055" w14:textId="77777777" w:rsidR="007C07B4" w:rsidRPr="007C07B4" w:rsidRDefault="007C07B4" w:rsidP="007C07B4">
      <w:pPr>
        <w:pStyle w:val="Bibliography"/>
      </w:pPr>
      <w:r w:rsidRPr="007C07B4">
        <w:t>[157]</w:t>
      </w:r>
      <w:r w:rsidRPr="007C07B4">
        <w:tab/>
        <w:t xml:space="preserve">B. Shen and K. Bissell, “Social media, social me: A content analysis of beauty companies’ use of Facebook in marketing and branding,” </w:t>
      </w:r>
      <w:r w:rsidRPr="007C07B4">
        <w:rPr>
          <w:i/>
          <w:iCs/>
        </w:rPr>
        <w:t>J. Promot. Manag.</w:t>
      </w:r>
      <w:r w:rsidRPr="007C07B4">
        <w:t>, vol. 19, no. 5, pp. 629–651, 2013.</w:t>
      </w:r>
    </w:p>
    <w:p w14:paraId="67E6DAB9" w14:textId="77777777" w:rsidR="007C07B4" w:rsidRPr="007C07B4" w:rsidRDefault="007C07B4" w:rsidP="007C07B4">
      <w:pPr>
        <w:pStyle w:val="Bibliography"/>
      </w:pPr>
      <w:r w:rsidRPr="007C07B4">
        <w:lastRenderedPageBreak/>
        <w:t>[158]</w:t>
      </w:r>
      <w:r w:rsidRPr="007C07B4">
        <w:tab/>
        <w:t xml:space="preserve">Y. A. Park and U. Gretzel, “Success factors for destination marketing web sites: A qualitative meta-analysis,” </w:t>
      </w:r>
      <w:r w:rsidRPr="007C07B4">
        <w:rPr>
          <w:i/>
          <w:iCs/>
        </w:rPr>
        <w:t>J. Travel Res.</w:t>
      </w:r>
      <w:r w:rsidRPr="007C07B4">
        <w:t>, vol. 46, no. 1, pp. 46–63, 2007.</w:t>
      </w:r>
    </w:p>
    <w:p w14:paraId="1E61CFFD" w14:textId="77777777" w:rsidR="007C07B4" w:rsidRPr="007C07B4" w:rsidRDefault="007C07B4" w:rsidP="007C07B4">
      <w:pPr>
        <w:pStyle w:val="Bibliography"/>
      </w:pPr>
      <w:r w:rsidRPr="007C07B4">
        <w:t>[159]</w:t>
      </w:r>
      <w:r w:rsidRPr="007C07B4">
        <w:tab/>
        <w:t xml:space="preserve">A. K. Davis, J. M. Piger, and L. M. Sedor, “Beyond the numbers: Measuring the information content of earnings press release language,” </w:t>
      </w:r>
      <w:r w:rsidRPr="007C07B4">
        <w:rPr>
          <w:i/>
          <w:iCs/>
        </w:rPr>
        <w:t>Contemp. Account. Res.</w:t>
      </w:r>
      <w:r w:rsidRPr="007C07B4">
        <w:t>, vol. 29, no. 3, pp. 845–868, 2012.</w:t>
      </w:r>
    </w:p>
    <w:p w14:paraId="2974DC27" w14:textId="77777777" w:rsidR="007C07B4" w:rsidRPr="007C07B4" w:rsidRDefault="007C07B4" w:rsidP="007C07B4">
      <w:pPr>
        <w:pStyle w:val="Bibliography"/>
      </w:pPr>
      <w:r w:rsidRPr="007C07B4">
        <w:t>[160]</w:t>
      </w:r>
      <w:r w:rsidRPr="007C07B4">
        <w:tab/>
        <w:t xml:space="preserve">H. E. Brown, “Race, legality, and the social policy consequences of anti-immigration mobilization,” </w:t>
      </w:r>
      <w:r w:rsidRPr="007C07B4">
        <w:rPr>
          <w:i/>
          <w:iCs/>
        </w:rPr>
        <w:t>Am. Sociol. Rev.</w:t>
      </w:r>
      <w:r w:rsidRPr="007C07B4">
        <w:t>, vol. 78, no. 2, pp. 290–314, 2013.</w:t>
      </w:r>
    </w:p>
    <w:p w14:paraId="032E8356" w14:textId="77777777" w:rsidR="007C07B4" w:rsidRPr="007C07B4" w:rsidRDefault="007C07B4" w:rsidP="007C07B4">
      <w:pPr>
        <w:pStyle w:val="Bibliography"/>
      </w:pPr>
      <w:r w:rsidRPr="007C07B4">
        <w:t>[161]</w:t>
      </w:r>
      <w:r w:rsidRPr="007C07B4">
        <w:tab/>
        <w:t xml:space="preserve">M. Chavez, S. Whiteford, and J. Hoewe, “Reporting on immigration: A content analysis of major US newspapers’ coverage of Mexican immigration,” </w:t>
      </w:r>
      <w:r w:rsidRPr="007C07B4">
        <w:rPr>
          <w:i/>
          <w:iCs/>
        </w:rPr>
        <w:t>Norteamérica</w:t>
      </w:r>
      <w:r w:rsidRPr="007C07B4">
        <w:t>, vol. 5, no. 2, pp. 111–125, 2010.</w:t>
      </w:r>
    </w:p>
    <w:p w14:paraId="2A713271" w14:textId="77777777" w:rsidR="007C07B4" w:rsidRPr="007C07B4" w:rsidRDefault="007C07B4" w:rsidP="007C07B4">
      <w:pPr>
        <w:pStyle w:val="Bibliography"/>
      </w:pPr>
      <w:r w:rsidRPr="007C07B4">
        <w:t>[162]</w:t>
      </w:r>
      <w:r w:rsidRPr="007C07B4">
        <w:tab/>
        <w:t xml:space="preserve">M. D. Reilly and M. Wallendorf, “A comparison of group differences in food consumption using household refuse,” </w:t>
      </w:r>
      <w:r w:rsidRPr="007C07B4">
        <w:rPr>
          <w:i/>
          <w:iCs/>
        </w:rPr>
        <w:t>J. Consum. Res.</w:t>
      </w:r>
      <w:r w:rsidRPr="007C07B4">
        <w:t>, vol. 14, no. 2, pp. 289–294, 1987.</w:t>
      </w:r>
    </w:p>
    <w:p w14:paraId="53A8D55F" w14:textId="77777777" w:rsidR="007C07B4" w:rsidRPr="007C07B4" w:rsidRDefault="007C07B4" w:rsidP="007C07B4">
      <w:pPr>
        <w:pStyle w:val="Bibliography"/>
      </w:pPr>
      <w:r w:rsidRPr="007C07B4">
        <w:t>[163]</w:t>
      </w:r>
      <w:r w:rsidRPr="007C07B4">
        <w:tab/>
        <w:t xml:space="preserve">K. E. Denny, “Gender in context, content, and approach: Comparing gender messages in Girl Scout and Boy Scout handbooks,” </w:t>
      </w:r>
      <w:r w:rsidRPr="007C07B4">
        <w:rPr>
          <w:i/>
          <w:iCs/>
        </w:rPr>
        <w:t>Gend. Soc.</w:t>
      </w:r>
      <w:r w:rsidRPr="007C07B4">
        <w:t>, vol. 25, no. 1, pp. 27–47, 2011.</w:t>
      </w:r>
    </w:p>
    <w:p w14:paraId="0F0E7076" w14:textId="77777777" w:rsidR="007C07B4" w:rsidRPr="007C07B4" w:rsidRDefault="007C07B4" w:rsidP="007C07B4">
      <w:pPr>
        <w:pStyle w:val="Bibliography"/>
      </w:pPr>
      <w:r w:rsidRPr="007C07B4">
        <w:t>[164]</w:t>
      </w:r>
      <w:r w:rsidRPr="007C07B4">
        <w:tab/>
        <w:t xml:space="preserve">G. Sogari, T. Pucci, B. Aquilani, and L. Zanni, “Millennial Generation and Environmental Sustainability: The Role of Social Media in the Consumer Purchasing Behavior for Wine,” </w:t>
      </w:r>
      <w:r w:rsidRPr="007C07B4">
        <w:rPr>
          <w:i/>
          <w:iCs/>
        </w:rPr>
        <w:t>Sustainability</w:t>
      </w:r>
      <w:r w:rsidRPr="007C07B4">
        <w:t>, vol. 9, Oct. 2017, doi: 10.3390/su9101911.</w:t>
      </w:r>
    </w:p>
    <w:p w14:paraId="37FD1544" w14:textId="77777777" w:rsidR="007C07B4" w:rsidRPr="007C07B4" w:rsidRDefault="007C07B4" w:rsidP="007C07B4">
      <w:pPr>
        <w:pStyle w:val="Bibliography"/>
      </w:pPr>
      <w:r w:rsidRPr="007C07B4">
        <w:t>[165]</w:t>
      </w:r>
      <w:r w:rsidRPr="007C07B4">
        <w:tab/>
        <w:t xml:space="preserve">Nardi, Bonnie A., </w:t>
      </w:r>
      <w:r w:rsidRPr="007C07B4">
        <w:rPr>
          <w:i/>
          <w:iCs/>
        </w:rPr>
        <w:t>My Life as a Night Elf Priest: An Anthropological Account of World of Warcraft</w:t>
      </w:r>
      <w:r w:rsidRPr="007C07B4">
        <w:t>. University of Michigan Press Ebook Collection, 2010. Accessed: May 02, 2024. [Online]. Available: https://doi.org/10.3998/toi.8008655.0001.001</w:t>
      </w:r>
    </w:p>
    <w:p w14:paraId="0325A69A" w14:textId="77777777" w:rsidR="007C07B4" w:rsidRPr="007C07B4" w:rsidRDefault="007C07B4" w:rsidP="007C07B4">
      <w:pPr>
        <w:pStyle w:val="Bibliography"/>
      </w:pPr>
      <w:r w:rsidRPr="007C07B4">
        <w:t>[166]</w:t>
      </w:r>
      <w:r w:rsidRPr="007C07B4">
        <w:tab/>
        <w:t xml:space="preserve">K. Krippendorff, “Testing the reliability of content analysis data,” </w:t>
      </w:r>
      <w:r w:rsidRPr="007C07B4">
        <w:rPr>
          <w:i/>
          <w:iCs/>
        </w:rPr>
        <w:t>Content Anal. Read.</w:t>
      </w:r>
      <w:r w:rsidRPr="007C07B4">
        <w:t>, pp. 350–357, 2009.</w:t>
      </w:r>
    </w:p>
    <w:p w14:paraId="56750DB4" w14:textId="77777777" w:rsidR="007C07B4" w:rsidRPr="007C07B4" w:rsidRDefault="007C07B4" w:rsidP="007C07B4">
      <w:pPr>
        <w:pStyle w:val="Bibliography"/>
      </w:pPr>
      <w:r w:rsidRPr="007C07B4">
        <w:t>[167]</w:t>
      </w:r>
      <w:r w:rsidRPr="007C07B4">
        <w:tab/>
        <w:t xml:space="preserve">G. Mascheroni and J. Vincent, “Perpetual contact as a communicative affordance: Opportunities, constraints, and emotions,” </w:t>
      </w:r>
      <w:r w:rsidRPr="007C07B4">
        <w:rPr>
          <w:i/>
          <w:iCs/>
        </w:rPr>
        <w:t>Mob. Media Commun.</w:t>
      </w:r>
      <w:r w:rsidRPr="007C07B4">
        <w:t>, vol. 4, no. 3, pp. 310–326, Sep. 2016, doi: 10.1177/2050157916639347.</w:t>
      </w:r>
    </w:p>
    <w:p w14:paraId="639B8F3A" w14:textId="77777777" w:rsidR="007C07B4" w:rsidRPr="007C07B4" w:rsidRDefault="007C07B4" w:rsidP="007C07B4">
      <w:pPr>
        <w:pStyle w:val="Bibliography"/>
      </w:pPr>
      <w:r w:rsidRPr="007C07B4">
        <w:t>[168]</w:t>
      </w:r>
      <w:r w:rsidRPr="007C07B4">
        <w:tab/>
        <w:t xml:space="preserve">K. K. Stephens, R. L. Cowan, and M. L. Houser, “Organizational Norm Congruency and Interpersonal Familiarity in E-Mail: Examining Messages from Two Different Status Perspectives,” </w:t>
      </w:r>
      <w:r w:rsidRPr="007C07B4">
        <w:rPr>
          <w:i/>
          <w:iCs/>
        </w:rPr>
        <w:t>J. Comput.-Mediat. Commun.</w:t>
      </w:r>
      <w:r w:rsidRPr="007C07B4">
        <w:t>, vol. 16, no. 2, pp. 228–249, Jan. 2011, doi: 10.1111/j.1083-6101.2011.01537.x.</w:t>
      </w:r>
    </w:p>
    <w:p w14:paraId="61D296EF" w14:textId="77777777" w:rsidR="007C07B4" w:rsidRPr="007C07B4" w:rsidRDefault="007C07B4" w:rsidP="007C07B4">
      <w:pPr>
        <w:pStyle w:val="Bibliography"/>
      </w:pPr>
      <w:r w:rsidRPr="007C07B4">
        <w:t>[169]</w:t>
      </w:r>
      <w:r w:rsidRPr="007C07B4">
        <w:tab/>
        <w:t xml:space="preserve">R. D. Evered, “An Assessment of the Scientific Merits of Action Research Gerald 1. Susman and,” </w:t>
      </w:r>
      <w:r w:rsidRPr="007C07B4">
        <w:rPr>
          <w:i/>
          <w:iCs/>
        </w:rPr>
        <w:t>Adm. Sci. Q.</w:t>
      </w:r>
      <w:r w:rsidRPr="007C07B4">
        <w:t>, vol. 23, no. 4, pp. 582–603, 1978.</w:t>
      </w:r>
    </w:p>
    <w:p w14:paraId="66F53A1F" w14:textId="77777777" w:rsidR="007C07B4" w:rsidRPr="007C07B4" w:rsidRDefault="007C07B4" w:rsidP="007C07B4">
      <w:pPr>
        <w:pStyle w:val="Bibliography"/>
      </w:pPr>
      <w:r w:rsidRPr="007C07B4">
        <w:t>[170]</w:t>
      </w:r>
      <w:r w:rsidRPr="007C07B4">
        <w:tab/>
        <w:t xml:space="preserve">M. Bluebond-Langner, </w:t>
      </w:r>
      <w:r w:rsidRPr="007C07B4">
        <w:rPr>
          <w:i/>
          <w:iCs/>
        </w:rPr>
        <w:t>In the shadow of illness: Parents and siblings of the chronically ill child</w:t>
      </w:r>
      <w:r w:rsidRPr="007C07B4">
        <w:t>. Princeton University Press, 2000.</w:t>
      </w:r>
    </w:p>
    <w:p w14:paraId="68C3954B" w14:textId="77777777" w:rsidR="007C07B4" w:rsidRPr="007C07B4" w:rsidRDefault="007C07B4" w:rsidP="007C07B4">
      <w:pPr>
        <w:pStyle w:val="Bibliography"/>
      </w:pPr>
      <w:r w:rsidRPr="007C07B4">
        <w:t>[171]</w:t>
      </w:r>
      <w:r w:rsidRPr="007C07B4">
        <w:tab/>
        <w:t xml:space="preserve">C. Riessman, </w:t>
      </w:r>
      <w:r w:rsidRPr="007C07B4">
        <w:rPr>
          <w:i/>
          <w:iCs/>
        </w:rPr>
        <w:t>Divorce talk: Women and men make sense of personal relationships</w:t>
      </w:r>
      <w:r w:rsidRPr="007C07B4">
        <w:t>. Rutgers University Press, 1990.</w:t>
      </w:r>
    </w:p>
    <w:p w14:paraId="32435CE0" w14:textId="77777777" w:rsidR="007C07B4" w:rsidRPr="007C07B4" w:rsidRDefault="007C07B4" w:rsidP="007C07B4">
      <w:pPr>
        <w:pStyle w:val="Bibliography"/>
      </w:pPr>
      <w:r w:rsidRPr="007C07B4">
        <w:t>[172]</w:t>
      </w:r>
      <w:r w:rsidRPr="007C07B4">
        <w:tab/>
        <w:t xml:space="preserve">D. E. Polkinghorne, “Narrative configuration in qualitative analysis,” </w:t>
      </w:r>
      <w:r w:rsidRPr="007C07B4">
        <w:rPr>
          <w:i/>
          <w:iCs/>
        </w:rPr>
        <w:t>Int. J. Qual. Stud. Educ.</w:t>
      </w:r>
      <w:r w:rsidRPr="007C07B4">
        <w:t>, vol. 8, no. 1, pp. 5–23, 1995.</w:t>
      </w:r>
    </w:p>
    <w:p w14:paraId="5D4ED62A" w14:textId="77777777" w:rsidR="007C07B4" w:rsidRPr="007C07B4" w:rsidRDefault="007C07B4" w:rsidP="007C07B4">
      <w:pPr>
        <w:pStyle w:val="Bibliography"/>
      </w:pPr>
      <w:r w:rsidRPr="007C07B4">
        <w:t>[173]</w:t>
      </w:r>
      <w:r w:rsidRPr="007C07B4">
        <w:tab/>
        <w:t xml:space="preserve">A. Giorgi and B. Giorgi, </w:t>
      </w:r>
      <w:r w:rsidRPr="007C07B4">
        <w:rPr>
          <w:i/>
          <w:iCs/>
        </w:rPr>
        <w:t>Phenomenology.</w:t>
      </w:r>
      <w:r w:rsidRPr="007C07B4">
        <w:t xml:space="preserve"> Sage Publications, Inc, 2003.</w:t>
      </w:r>
    </w:p>
    <w:p w14:paraId="347AEC77" w14:textId="77777777" w:rsidR="007C07B4" w:rsidRPr="007C07B4" w:rsidRDefault="007C07B4" w:rsidP="007C07B4">
      <w:pPr>
        <w:pStyle w:val="Bibliography"/>
      </w:pPr>
      <w:r w:rsidRPr="007C07B4">
        <w:t>[174]</w:t>
      </w:r>
      <w:r w:rsidRPr="007C07B4">
        <w:tab/>
        <w:t xml:space="preserve">Y. S. Lincoln, “Naturalistic inquiry,” </w:t>
      </w:r>
      <w:r w:rsidRPr="007C07B4">
        <w:rPr>
          <w:i/>
          <w:iCs/>
        </w:rPr>
        <w:t>Blackwell Encycl. Sociol.</w:t>
      </w:r>
      <w:r w:rsidRPr="007C07B4">
        <w:t>, 1985.</w:t>
      </w:r>
    </w:p>
    <w:p w14:paraId="6ACE5796" w14:textId="77777777" w:rsidR="007C07B4" w:rsidRPr="007C07B4" w:rsidRDefault="007C07B4" w:rsidP="007C07B4">
      <w:pPr>
        <w:pStyle w:val="Bibliography"/>
      </w:pPr>
      <w:r w:rsidRPr="007C07B4">
        <w:t>[175]</w:t>
      </w:r>
      <w:r w:rsidRPr="007C07B4">
        <w:tab/>
        <w:t xml:space="preserve">L. Finlay, “Negotiating the swamp: the opportunity and challenge of reflexivity in research practice,” </w:t>
      </w:r>
      <w:r w:rsidRPr="007C07B4">
        <w:rPr>
          <w:i/>
          <w:iCs/>
        </w:rPr>
        <w:t>Qual. Res.</w:t>
      </w:r>
      <w:r w:rsidRPr="007C07B4">
        <w:t>, vol. 2, no. 2, pp. 209–230, 2002.</w:t>
      </w:r>
    </w:p>
    <w:p w14:paraId="090304D7" w14:textId="77777777" w:rsidR="007C07B4" w:rsidRPr="007C07B4" w:rsidRDefault="007C07B4" w:rsidP="007C07B4">
      <w:pPr>
        <w:pStyle w:val="Bibliography"/>
      </w:pPr>
      <w:r w:rsidRPr="007C07B4">
        <w:t>[176]</w:t>
      </w:r>
      <w:r w:rsidRPr="007C07B4">
        <w:tab/>
        <w:t xml:space="preserve">C. G. Christians, “In qualitative research,” </w:t>
      </w:r>
      <w:r w:rsidRPr="007C07B4">
        <w:rPr>
          <w:i/>
          <w:iCs/>
        </w:rPr>
        <w:t>Sage Handb Qual. Res</w:t>
      </w:r>
      <w:r w:rsidRPr="007C07B4">
        <w:t>, vol. 139, pp. 139–164, 2005.</w:t>
      </w:r>
    </w:p>
    <w:p w14:paraId="53DD5C95" w14:textId="77777777" w:rsidR="007C07B4" w:rsidRPr="007C07B4" w:rsidRDefault="007C07B4" w:rsidP="007C07B4">
      <w:pPr>
        <w:pStyle w:val="Bibliography"/>
      </w:pPr>
      <w:r w:rsidRPr="007C07B4">
        <w:t>[177]</w:t>
      </w:r>
      <w:r w:rsidRPr="007C07B4">
        <w:tab/>
        <w:t xml:space="preserve">R. B. Johnson and A. J. Onwuegbuzie, “Mixed methods research: A research paradigm whose time has come,” </w:t>
      </w:r>
      <w:r w:rsidRPr="007C07B4">
        <w:rPr>
          <w:i/>
          <w:iCs/>
        </w:rPr>
        <w:t>Educ. Res.</w:t>
      </w:r>
      <w:r w:rsidRPr="007C07B4">
        <w:t>, vol. 33, no. 7, pp. 14–26, 2004.</w:t>
      </w:r>
    </w:p>
    <w:p w14:paraId="6E35ADF9" w14:textId="77777777" w:rsidR="007C07B4" w:rsidRPr="007C07B4" w:rsidRDefault="007C07B4" w:rsidP="007C07B4">
      <w:pPr>
        <w:pStyle w:val="Bibliography"/>
      </w:pPr>
      <w:r w:rsidRPr="007C07B4">
        <w:t>[178]</w:t>
      </w:r>
      <w:r w:rsidRPr="007C07B4">
        <w:tab/>
        <w:t xml:space="preserve">V. Venkatesh, S. A. Brown, and H. Bala, “Bridging the qualitative-quantitative divide: Guidelines for conducting mixed methods research in information systems.,” </w:t>
      </w:r>
      <w:r w:rsidRPr="007C07B4">
        <w:rPr>
          <w:i/>
          <w:iCs/>
        </w:rPr>
        <w:t>MIS Q.</w:t>
      </w:r>
      <w:r w:rsidRPr="007C07B4">
        <w:t>, vol. 37, no. 1, 2013.</w:t>
      </w:r>
    </w:p>
    <w:p w14:paraId="1C600E3D" w14:textId="77777777" w:rsidR="007C07B4" w:rsidRPr="007C07B4" w:rsidRDefault="007C07B4" w:rsidP="007C07B4">
      <w:pPr>
        <w:pStyle w:val="Bibliography"/>
      </w:pPr>
      <w:r w:rsidRPr="007C07B4">
        <w:lastRenderedPageBreak/>
        <w:t>[179]</w:t>
      </w:r>
      <w:r w:rsidRPr="007C07B4">
        <w:tab/>
        <w:t xml:space="preserve">J. W. Creswell, M. D. Fetters, and N. V. Ivankova, “Designing a mixed methods study in primary care,” </w:t>
      </w:r>
      <w:r w:rsidRPr="007C07B4">
        <w:rPr>
          <w:i/>
          <w:iCs/>
        </w:rPr>
        <w:t>Ann. Fam. Med.</w:t>
      </w:r>
      <w:r w:rsidRPr="007C07B4">
        <w:t>, vol. 2, no. 1, pp. 7–12, 2004.</w:t>
      </w:r>
    </w:p>
    <w:p w14:paraId="2C0EF97A" w14:textId="77777777" w:rsidR="007C07B4" w:rsidRPr="007C07B4" w:rsidRDefault="007C07B4" w:rsidP="007C07B4">
      <w:pPr>
        <w:pStyle w:val="Bibliography"/>
      </w:pPr>
      <w:r w:rsidRPr="007C07B4">
        <w:t>[180]</w:t>
      </w:r>
      <w:r w:rsidRPr="007C07B4">
        <w:tab/>
        <w:t xml:space="preserve">A. Tashakkori, C. Teddlie, and C. B. Teddlie, </w:t>
      </w:r>
      <w:r w:rsidRPr="007C07B4">
        <w:rPr>
          <w:i/>
          <w:iCs/>
        </w:rPr>
        <w:t>Mixed methodology: Combining qualitative and quantitative approaches</w:t>
      </w:r>
      <w:r w:rsidRPr="007C07B4">
        <w:t>, vol. 46. Sage, 1998.</w:t>
      </w:r>
    </w:p>
    <w:p w14:paraId="55858374" w14:textId="77777777" w:rsidR="007C07B4" w:rsidRPr="007C07B4" w:rsidRDefault="007C07B4" w:rsidP="007C07B4">
      <w:pPr>
        <w:pStyle w:val="Bibliography"/>
      </w:pPr>
      <w:r w:rsidRPr="007C07B4">
        <w:t>[181]</w:t>
      </w:r>
      <w:r w:rsidRPr="007C07B4">
        <w:tab/>
        <w:t xml:space="preserve">A. O’cathain, E. Murphy, and J. Nicholl, “The quality of mixed methods studies in health services research,” </w:t>
      </w:r>
      <w:r w:rsidRPr="007C07B4">
        <w:rPr>
          <w:i/>
          <w:iCs/>
        </w:rPr>
        <w:t>J. Health Serv. Res. Policy</w:t>
      </w:r>
      <w:r w:rsidRPr="007C07B4">
        <w:t>, vol. 13, no. 2, pp. 92–98, 2008.</w:t>
      </w:r>
    </w:p>
    <w:p w14:paraId="7E10D393" w14:textId="77777777" w:rsidR="007C07B4" w:rsidRPr="007C07B4" w:rsidRDefault="007C07B4" w:rsidP="007C07B4">
      <w:pPr>
        <w:pStyle w:val="Bibliography"/>
      </w:pPr>
      <w:r w:rsidRPr="007C07B4">
        <w:t>[182]</w:t>
      </w:r>
      <w:r w:rsidRPr="007C07B4">
        <w:tab/>
        <w:t xml:space="preserve">Q. N. Hong </w:t>
      </w:r>
      <w:r w:rsidRPr="007C07B4">
        <w:rPr>
          <w:i/>
          <w:iCs/>
        </w:rPr>
        <w:t>et al.</w:t>
      </w:r>
      <w:r w:rsidRPr="007C07B4">
        <w:t xml:space="preserve">, “The Mixed Methods Appraisal Tool (MMAT) version 2018 for information professionals and researchers,” </w:t>
      </w:r>
      <w:r w:rsidRPr="007C07B4">
        <w:rPr>
          <w:i/>
          <w:iCs/>
        </w:rPr>
        <w:t>Educ. Inf.</w:t>
      </w:r>
      <w:r w:rsidRPr="007C07B4">
        <w:t>, vol. 34, no. 4, pp. 285–291, 2018.</w:t>
      </w:r>
    </w:p>
    <w:p w14:paraId="6691B7D2" w14:textId="77777777" w:rsidR="007C07B4" w:rsidRPr="007C07B4" w:rsidRDefault="007C07B4" w:rsidP="007C07B4">
      <w:pPr>
        <w:pStyle w:val="Bibliography"/>
      </w:pPr>
      <w:r w:rsidRPr="007C07B4">
        <w:t>[183]</w:t>
      </w:r>
      <w:r w:rsidRPr="007C07B4">
        <w:tab/>
        <w:t xml:space="preserve">J. E. Hirsch, “An index to quantify an individual’s scientific research output,” </w:t>
      </w:r>
      <w:r w:rsidRPr="007C07B4">
        <w:rPr>
          <w:i/>
          <w:iCs/>
        </w:rPr>
        <w:t>Proc. Natl. Acad. Sci.</w:t>
      </w:r>
      <w:r w:rsidRPr="007C07B4">
        <w:t>, vol. 102, no. 46, pp. 16569–16572, 2005.</w:t>
      </w:r>
    </w:p>
    <w:p w14:paraId="7F45D238" w14:textId="77777777" w:rsidR="007C07B4" w:rsidRPr="007C07B4" w:rsidRDefault="007C07B4" w:rsidP="007C07B4">
      <w:pPr>
        <w:pStyle w:val="Bibliography"/>
      </w:pPr>
      <w:r w:rsidRPr="007C07B4">
        <w:t>[184]</w:t>
      </w:r>
      <w:r w:rsidRPr="007C07B4">
        <w:tab/>
        <w:t>J. Priem, “Altmetrics,” 2014.</w:t>
      </w:r>
    </w:p>
    <w:p w14:paraId="7CA169D5" w14:textId="47671980" w:rsidR="006015D7" w:rsidRPr="006015D7" w:rsidRDefault="006015D7" w:rsidP="006015D7">
      <w:r>
        <w:fldChar w:fldCharType="end"/>
      </w:r>
    </w:p>
    <w:p w14:paraId="5CF29EC2" w14:textId="77777777" w:rsidR="00F212F5" w:rsidRDefault="00F212F5" w:rsidP="00286379">
      <w:pPr>
        <w:ind w:left="720" w:hanging="720"/>
      </w:pPr>
    </w:p>
    <w:sectPr w:rsidR="00F212F5" w:rsidSect="00FD08D0">
      <w:headerReference w:type="default" r:id="rId312"/>
      <w:pgSz w:w="12240" w:h="15840" w:code="1"/>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D005DA" w14:textId="77777777" w:rsidR="007469CC" w:rsidRDefault="007469CC">
      <w:pPr>
        <w:spacing w:after="0" w:line="240" w:lineRule="auto"/>
      </w:pPr>
      <w:r>
        <w:separator/>
      </w:r>
    </w:p>
  </w:endnote>
  <w:endnote w:type="continuationSeparator" w:id="0">
    <w:p w14:paraId="0F855B7F" w14:textId="77777777" w:rsidR="007469CC" w:rsidRDefault="007469CC">
      <w:pPr>
        <w:spacing w:after="0" w:line="240" w:lineRule="auto"/>
      </w:pPr>
      <w:r>
        <w:continuationSeparator/>
      </w:r>
    </w:p>
  </w:endnote>
  <w:endnote w:type="continuationNotice" w:id="1">
    <w:p w14:paraId="334286DD" w14:textId="77777777" w:rsidR="007469CC" w:rsidRDefault="007469C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B208FC" w14:textId="7371FF11" w:rsidR="003610E3" w:rsidRDefault="00223C6E">
    <w:pPr>
      <w:pStyle w:val="Footer"/>
    </w:pPr>
    <w:r>
      <w:tab/>
    </w:r>
    <w:r w:rsidR="003610E3">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B91FF9" w14:textId="65D6EA64" w:rsidR="003610E3" w:rsidRDefault="003610E3">
    <w:pPr>
      <w:pStyle w:val="Footer"/>
    </w:pPr>
    <w:r>
      <w:ptab w:relativeTo="margin" w:alignment="center"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2DE4E" w14:textId="1CAE32DB" w:rsidR="00153675" w:rsidRDefault="00153675">
    <w:pPr>
      <w:pStyle w:val="Footer"/>
    </w:pPr>
    <w:r>
      <w:tab/>
    </w:r>
    <w:r>
      <w:rPr>
        <w:color w:val="7F7F7F" w:themeColor="background1" w:themeShade="7F"/>
        <w:spacing w:val="60"/>
      </w:rPr>
      <w:t>Page</w:t>
    </w:r>
    <w:r>
      <w:t xml:space="preserve"> | </w:t>
    </w:r>
    <w:r>
      <w:fldChar w:fldCharType="begin"/>
    </w:r>
    <w:r>
      <w:instrText xml:space="preserve"> PAGE  \* Arabic  \* MERGEFORMAT </w:instrText>
    </w:r>
    <w:r>
      <w:fldChar w:fldCharType="separate"/>
    </w:r>
    <w:r>
      <w:rPr>
        <w:noProof/>
      </w:rPr>
      <w:t>19</w:t>
    </w:r>
    <w:r>
      <w:fldChar w:fldCharType="end"/>
    </w:r>
    <w:r>
      <w:tab/>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455D0F" w14:textId="77777777" w:rsidR="00223C6E" w:rsidRDefault="00223C6E">
    <w:pPr>
      <w:pStyle w:val="Footer"/>
    </w:pPr>
    <w:r>
      <w:ptab w:relativeTo="margin" w:alignment="center"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164F4C" w14:textId="650355E3" w:rsidR="00223C6E" w:rsidRDefault="00223C6E">
    <w:pPr>
      <w:pStyle w:val="Footer"/>
    </w:pPr>
    <w:r>
      <w:tab/>
    </w:r>
    <w:r w:rsidR="004141A4">
      <w:rPr>
        <w:color w:val="7F7F7F" w:themeColor="background1" w:themeShade="7F"/>
        <w:spacing w:val="60"/>
      </w:rPr>
      <w:t>Page</w:t>
    </w:r>
    <w:r w:rsidR="004141A4">
      <w:t xml:space="preserve"> | </w:t>
    </w:r>
    <w:r w:rsidR="004141A4">
      <w:fldChar w:fldCharType="begin"/>
    </w:r>
    <w:r w:rsidR="004141A4">
      <w:instrText xml:space="preserve"> PAGE   \* MERGEFORMAT </w:instrText>
    </w:r>
    <w:r w:rsidR="004141A4">
      <w:fldChar w:fldCharType="separate"/>
    </w:r>
    <w:r w:rsidR="004141A4">
      <w:rPr>
        <w:b/>
        <w:bCs/>
        <w:noProof/>
      </w:rPr>
      <w:t>1</w:t>
    </w:r>
    <w:r w:rsidR="004141A4">
      <w:rPr>
        <w:b/>
        <w:bCs/>
        <w:noProof/>
      </w:rPr>
      <w:fldChar w:fldCharType="end"/>
    </w: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79AC61" w14:textId="77777777" w:rsidR="002D4930" w:rsidRDefault="002D4930">
    <w:pPr>
      <w:pStyle w:val="Footer"/>
    </w:pPr>
    <w:r>
      <w:tab/>
    </w:r>
    <w:r w:rsidRPr="0092209F">
      <w:rPr>
        <w:color w:val="7F7F7F" w:themeColor="background1" w:themeShade="7F"/>
        <w:spacing w:val="60"/>
      </w:rPr>
      <w:t>Page</w:t>
    </w:r>
    <w:r w:rsidRPr="0092209F">
      <w:t xml:space="preserve"> | </w:t>
    </w:r>
    <w:r w:rsidRPr="0092209F">
      <w:fldChar w:fldCharType="begin"/>
    </w:r>
    <w:r w:rsidRPr="0092209F">
      <w:instrText xml:space="preserve"> PAGE   \* MERGEFORMAT </w:instrText>
    </w:r>
    <w:r w:rsidRPr="0092209F">
      <w:fldChar w:fldCharType="separate"/>
    </w:r>
    <w:r w:rsidRPr="0092209F">
      <w:rPr>
        <w:b/>
        <w:bCs/>
        <w:noProof/>
      </w:rPr>
      <w:t>1</w:t>
    </w:r>
    <w:r w:rsidRPr="0092209F">
      <w:rPr>
        <w:b/>
        <w:bCs/>
        <w:noProof/>
      </w:rPr>
      <w:fldChar w:fldCharType="end"/>
    </w:r>
    <w:r>
      <w:ptab w:relativeTo="margin" w:alignment="center" w:leader="none"/>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993199" w14:textId="546D7240" w:rsidR="002033D2" w:rsidRPr="002033D2" w:rsidRDefault="004F684B" w:rsidP="002033D2">
    <w:pPr>
      <w:pStyle w:val="Footer"/>
    </w:pPr>
    <w:r>
      <w:tab/>
    </w: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1</w:t>
    </w:r>
    <w:r>
      <w:rPr>
        <w:b/>
        <w:bCs/>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094CB" w14:textId="055C8AD2" w:rsidR="003610E3" w:rsidRDefault="003610E3">
    <w:pPr>
      <w:pStyle w:val="Footer"/>
    </w:pPr>
    <w:r>
      <w:tab/>
    </w:r>
    <w:r>
      <w:rPr>
        <w:color w:val="7F7F7F" w:themeColor="background1" w:themeShade="7F"/>
        <w:spacing w:val="60"/>
      </w:rPr>
      <w:t>Page</w:t>
    </w:r>
    <w:r>
      <w:t xml:space="preserve"> | </w:t>
    </w:r>
    <w:r w:rsidR="003E551F">
      <w:fldChar w:fldCharType="begin"/>
    </w:r>
    <w:r w:rsidR="003E551F">
      <w:instrText xml:space="preserve"> PAGE   \* MERGEFORMAT </w:instrText>
    </w:r>
    <w:r w:rsidR="003E551F">
      <w:fldChar w:fldCharType="separate"/>
    </w:r>
    <w:r w:rsidR="003E551F">
      <w:rPr>
        <w:noProof/>
      </w:rPr>
      <w:t>2</w:t>
    </w:r>
    <w:r w:rsidR="003E551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38B245" w14:textId="77777777" w:rsidR="007469CC" w:rsidRDefault="007469CC">
      <w:pPr>
        <w:tabs>
          <w:tab w:val="center" w:pos="1047"/>
          <w:tab w:val="center" w:pos="3288"/>
          <w:tab w:val="center" w:pos="5594"/>
        </w:tabs>
        <w:spacing w:after="0"/>
      </w:pPr>
      <w:r>
        <w:separator/>
      </w:r>
    </w:p>
  </w:footnote>
  <w:footnote w:type="continuationSeparator" w:id="0">
    <w:p w14:paraId="4628C4CB" w14:textId="77777777" w:rsidR="007469CC" w:rsidRDefault="007469CC">
      <w:pPr>
        <w:tabs>
          <w:tab w:val="center" w:pos="1047"/>
          <w:tab w:val="center" w:pos="3288"/>
          <w:tab w:val="center" w:pos="5594"/>
        </w:tabs>
        <w:spacing w:after="0"/>
      </w:pPr>
      <w:r>
        <w:continuationSeparator/>
      </w:r>
    </w:p>
  </w:footnote>
  <w:footnote w:type="continuationNotice" w:id="1">
    <w:p w14:paraId="507EC4C9" w14:textId="77777777" w:rsidR="007469CC" w:rsidRDefault="007469CC">
      <w:pPr>
        <w:spacing w:after="0" w:line="240" w:lineRule="auto"/>
      </w:pPr>
    </w:p>
  </w:footnote>
  <w:footnote w:id="2">
    <w:p w14:paraId="7AB6020C" w14:textId="2ACD1263" w:rsidR="00B53BB9" w:rsidRDefault="00B53BB9" w:rsidP="00B53BB9">
      <w:pPr>
        <w:pStyle w:val="FootnoteText"/>
      </w:pPr>
      <w:r>
        <w:rPr>
          <w:rStyle w:val="FootnoteReference"/>
        </w:rPr>
        <w:footnoteRef/>
      </w:r>
      <w:r>
        <w:t xml:space="preserve"> </w:t>
      </w:r>
      <w:r>
        <w:rPr>
          <w:sz w:val="18"/>
        </w:rPr>
        <w:t xml:space="preserve">This section of the book was adapted from information found at the </w:t>
      </w:r>
      <w:r>
        <w:rPr>
          <w:i/>
          <w:sz w:val="18"/>
        </w:rPr>
        <w:t xml:space="preserve">Kirklees Council </w:t>
      </w:r>
      <w:r>
        <w:rPr>
          <w:sz w:val="18"/>
        </w:rPr>
        <w:t>website</w:t>
      </w:r>
      <w:sdt>
        <w:sdtPr>
          <w:rPr>
            <w:sz w:val="18"/>
          </w:rPr>
          <w:id w:val="-205417059"/>
          <w:citation/>
        </w:sdtPr>
        <w:sdtContent>
          <w:r>
            <w:rPr>
              <w:sz w:val="18"/>
            </w:rPr>
            <w:fldChar w:fldCharType="begin"/>
          </w:r>
          <w:r>
            <w:rPr>
              <w:sz w:val="18"/>
            </w:rPr>
            <w:instrText xml:space="preserve"> CITATION council_ethical_2019 \l 1033 </w:instrText>
          </w:r>
          <w:r>
            <w:rPr>
              <w:sz w:val="18"/>
            </w:rPr>
            <w:fldChar w:fldCharType="separate"/>
          </w:r>
          <w:r w:rsidR="00980002">
            <w:rPr>
              <w:noProof/>
              <w:sz w:val="18"/>
            </w:rPr>
            <w:t xml:space="preserve"> </w:t>
          </w:r>
          <w:r w:rsidR="00980002" w:rsidRPr="00980002">
            <w:rPr>
              <w:noProof/>
              <w:sz w:val="18"/>
            </w:rPr>
            <w:t>(Council, Ethical Issues in Research, 2019)</w:t>
          </w:r>
          <w:r>
            <w:rPr>
              <w:sz w:val="18"/>
            </w:rPr>
            <w:fldChar w:fldCharType="end"/>
          </w:r>
        </w:sdtContent>
      </w:sdt>
      <w:r>
        <w:rPr>
          <w:sz w:val="18"/>
        </w:rPr>
        <w:t>.</w:t>
      </w:r>
    </w:p>
  </w:footnote>
  <w:footnote w:id="3">
    <w:p w14:paraId="3C6D9182" w14:textId="24F661A5" w:rsidR="009D4DC4" w:rsidRDefault="009D4DC4">
      <w:pPr>
        <w:pStyle w:val="FootnoteText"/>
      </w:pPr>
      <w:r>
        <w:rPr>
          <w:rStyle w:val="FootnoteReference"/>
        </w:rPr>
        <w:footnoteRef/>
      </w:r>
      <w:r>
        <w:t xml:space="preserve"> </w:t>
      </w:r>
      <w:r>
        <w:rPr>
          <w:sz w:val="18"/>
        </w:rPr>
        <w:t xml:space="preserve">This section of the book was adapted from information found at the </w:t>
      </w:r>
      <w:r>
        <w:rPr>
          <w:i/>
          <w:sz w:val="18"/>
        </w:rPr>
        <w:t xml:space="preserve">Kirklees Council </w:t>
      </w:r>
      <w:r>
        <w:rPr>
          <w:sz w:val="18"/>
        </w:rPr>
        <w:t>website</w:t>
      </w:r>
      <w:sdt>
        <w:sdtPr>
          <w:rPr>
            <w:sz w:val="18"/>
          </w:rPr>
          <w:id w:val="-371926062"/>
          <w:citation/>
        </w:sdtPr>
        <w:sdtContent>
          <w:r>
            <w:rPr>
              <w:sz w:val="18"/>
            </w:rPr>
            <w:fldChar w:fldCharType="begin"/>
          </w:r>
          <w:r>
            <w:rPr>
              <w:sz w:val="18"/>
            </w:rPr>
            <w:instrText xml:space="preserve"> CITATION council_ethical_2019 \l 1033 </w:instrText>
          </w:r>
          <w:r>
            <w:rPr>
              <w:sz w:val="18"/>
            </w:rPr>
            <w:fldChar w:fldCharType="separate"/>
          </w:r>
          <w:r w:rsidR="00980002">
            <w:rPr>
              <w:noProof/>
              <w:sz w:val="18"/>
            </w:rPr>
            <w:t xml:space="preserve"> </w:t>
          </w:r>
          <w:r w:rsidR="00980002" w:rsidRPr="00980002">
            <w:rPr>
              <w:noProof/>
              <w:sz w:val="18"/>
            </w:rPr>
            <w:t>(Council, Ethical Issues in Research, 2019)</w:t>
          </w:r>
          <w:r>
            <w:rPr>
              <w:sz w:val="18"/>
            </w:rPr>
            <w:fldChar w:fldCharType="end"/>
          </w:r>
        </w:sdtContent>
      </w:sdt>
      <w:r>
        <w:rPr>
          <w:sz w:val="18"/>
        </w:rPr>
        <w:t>.</w:t>
      </w:r>
    </w:p>
  </w:footnote>
  <w:footnote w:id="4">
    <w:p w14:paraId="0C6D8AE2" w14:textId="75571F39" w:rsidR="003610E3" w:rsidRDefault="003610E3">
      <w:pPr>
        <w:pStyle w:val="FootnoteText"/>
      </w:pPr>
      <w:r>
        <w:rPr>
          <w:rStyle w:val="FootnoteReference"/>
        </w:rPr>
        <w:footnoteRef/>
      </w:r>
      <w:r>
        <w:t xml:space="preserve"> </w:t>
      </w:r>
      <w:r>
        <w:rPr>
          <w:sz w:val="18"/>
        </w:rPr>
        <w:t xml:space="preserve">Interestingly, Philip Zimbardo and Stanley Milgram, mentioned earlier in this chapter, were classmates at James Monroe High School in the Bronx. Zimbardo recalled the Milgram was “. . . considered the smartest kid and I voted the most popular.” </w:t>
      </w:r>
      <w:sdt>
        <w:sdtPr>
          <w:rPr>
            <w:sz w:val="18"/>
          </w:rPr>
          <w:id w:val="794110396"/>
          <w:citation/>
        </w:sdtPr>
        <w:sdtContent>
          <w:r>
            <w:rPr>
              <w:sz w:val="18"/>
            </w:rPr>
            <w:fldChar w:fldCharType="begin"/>
          </w:r>
          <w:r>
            <w:rPr>
              <w:sz w:val="18"/>
            </w:rPr>
            <w:instrText xml:space="preserve"> CITATION zimbardo_reflections_2000 \l 1033 </w:instrText>
          </w:r>
          <w:r>
            <w:rPr>
              <w:sz w:val="18"/>
            </w:rPr>
            <w:fldChar w:fldCharType="separate"/>
          </w:r>
          <w:r w:rsidR="00980002" w:rsidRPr="00980002">
            <w:rPr>
              <w:noProof/>
              <w:sz w:val="18"/>
            </w:rPr>
            <w:t>(Zimbardo, Maslach, &amp; Haney, 2000)</w:t>
          </w:r>
          <w:r>
            <w:rPr>
              <w:sz w:val="18"/>
            </w:rPr>
            <w:fldChar w:fldCharType="end"/>
          </w:r>
        </w:sdtContent>
      </w:sdt>
    </w:p>
  </w:footnote>
  <w:footnote w:id="5">
    <w:p w14:paraId="2BF58A04" w14:textId="01A77059" w:rsidR="003610E3" w:rsidRDefault="003610E3">
      <w:pPr>
        <w:pStyle w:val="FootnoteText"/>
      </w:pPr>
      <w:r>
        <w:rPr>
          <w:rStyle w:val="FootnoteReference"/>
        </w:rPr>
        <w:footnoteRef/>
      </w:r>
      <w:r>
        <w:t xml:space="preserve"> </w:t>
      </w:r>
      <w:r>
        <w:rPr>
          <w:sz w:val="18"/>
        </w:rPr>
        <w:t xml:space="preserve">This incident was widely reported in the popular press, including Forbes </w:t>
      </w:r>
      <w:sdt>
        <w:sdtPr>
          <w:rPr>
            <w:sz w:val="18"/>
          </w:rPr>
          <w:id w:val="1754402018"/>
          <w:citation/>
        </w:sdtPr>
        <w:sdtContent>
          <w:r>
            <w:rPr>
              <w:sz w:val="18"/>
            </w:rPr>
            <w:fldChar w:fldCharType="begin"/>
          </w:r>
          <w:r>
            <w:rPr>
              <w:sz w:val="18"/>
            </w:rPr>
            <w:instrText xml:space="preserve"> CITATION hill_how_2012 \l 1033 </w:instrText>
          </w:r>
          <w:r>
            <w:rPr>
              <w:sz w:val="18"/>
            </w:rPr>
            <w:fldChar w:fldCharType="separate"/>
          </w:r>
          <w:r w:rsidR="00980002" w:rsidRPr="00980002">
            <w:rPr>
              <w:noProof/>
              <w:sz w:val="18"/>
            </w:rPr>
            <w:t>(Hill, 2012)</w:t>
          </w:r>
          <w:r>
            <w:rPr>
              <w:sz w:val="18"/>
            </w:rPr>
            <w:fldChar w:fldCharType="end"/>
          </w:r>
        </w:sdtContent>
      </w:sdt>
      <w:r>
        <w:rPr>
          <w:sz w:val="18"/>
        </w:rPr>
        <w:t xml:space="preserve"> and the New York Times </w:t>
      </w:r>
      <w:sdt>
        <w:sdtPr>
          <w:rPr>
            <w:sz w:val="18"/>
          </w:rPr>
          <w:id w:val="628211287"/>
          <w:citation/>
        </w:sdtPr>
        <w:sdtContent>
          <w:r>
            <w:rPr>
              <w:sz w:val="18"/>
            </w:rPr>
            <w:fldChar w:fldCharType="begin"/>
          </w:r>
          <w:r>
            <w:rPr>
              <w:sz w:val="18"/>
            </w:rPr>
            <w:instrText xml:space="preserve"> CITATION duhigg_how_2012 \l 1033 </w:instrText>
          </w:r>
          <w:r>
            <w:rPr>
              <w:sz w:val="18"/>
            </w:rPr>
            <w:fldChar w:fldCharType="separate"/>
          </w:r>
          <w:r w:rsidR="00980002" w:rsidRPr="00980002">
            <w:rPr>
              <w:noProof/>
              <w:sz w:val="18"/>
            </w:rPr>
            <w:t>(Duhigg, 2012)</w:t>
          </w:r>
          <w:r>
            <w:rPr>
              <w:sz w:val="18"/>
            </w:rPr>
            <w:fldChar w:fldCharType="end"/>
          </w:r>
        </w:sdtContent>
      </w:sdt>
      <w:r>
        <w:rPr>
          <w:sz w:val="18"/>
        </w:rPr>
        <w:t>.</w:t>
      </w:r>
    </w:p>
  </w:footnote>
  <w:footnote w:id="6">
    <w:p w14:paraId="6AD6FECC" w14:textId="0063972B" w:rsidR="003610E3" w:rsidRDefault="003610E3" w:rsidP="005A2878">
      <w:pPr>
        <w:pStyle w:val="FootnoteText"/>
      </w:pPr>
      <w:r>
        <w:rPr>
          <w:rStyle w:val="FootnoteReference"/>
        </w:rPr>
        <w:footnoteRef/>
      </w:r>
      <w:r>
        <w:t xml:space="preserve"> It is understood that Facebook did not break any laws or physically harm any customers with this research project.</w:t>
      </w:r>
    </w:p>
  </w:footnote>
  <w:footnote w:id="7">
    <w:p w14:paraId="1E6613FD" w14:textId="77777777" w:rsidR="006D5C4C" w:rsidRDefault="006D5C4C" w:rsidP="006D5C4C">
      <w:pPr>
        <w:pStyle w:val="FootnoteText"/>
      </w:pPr>
      <w:r>
        <w:rPr>
          <w:rStyle w:val="FootnoteReference"/>
        </w:rPr>
        <w:footnoteRef/>
      </w:r>
      <w:r>
        <w:t xml:space="preserve"> </w:t>
      </w:r>
      <w:r>
        <w:rPr>
          <w:sz w:val="18"/>
        </w:rPr>
        <w:t>Researchers engaged in interpretive projects, as described later in this chapter, may not start with a hypothesis, but one would be developed as the research project proceeded.</w:t>
      </w:r>
    </w:p>
  </w:footnote>
  <w:footnote w:id="8">
    <w:p w14:paraId="5DC6F3E5" w14:textId="77777777" w:rsidR="00F321E0" w:rsidRDefault="00F321E0" w:rsidP="00F321E0">
      <w:pPr>
        <w:pStyle w:val="FootnoteText"/>
      </w:pPr>
      <w:r>
        <w:rPr>
          <w:rStyle w:val="FootnoteReference"/>
        </w:rPr>
        <w:footnoteRef/>
      </w:r>
      <w:r>
        <w:t xml:space="preserve"> It is important to keep in mind that case research is not the same as a university class discussing a case study. Case research is the process of going to a site, gathering data about that site, and analyzing that data.</w:t>
      </w:r>
    </w:p>
  </w:footnote>
  <w:footnote w:id="9">
    <w:p w14:paraId="3766D670" w14:textId="4CECD70D" w:rsidR="000C216B" w:rsidRDefault="000C216B">
      <w:pPr>
        <w:pStyle w:val="FootnoteText"/>
      </w:pPr>
      <w:r>
        <w:rPr>
          <w:rStyle w:val="FootnoteReference"/>
        </w:rPr>
        <w:footnoteRef/>
      </w:r>
      <w:r>
        <w:t xml:space="preserve"> </w:t>
      </w:r>
      <w:r>
        <w:rPr>
          <w:sz w:val="18"/>
        </w:rPr>
        <w:t xml:space="preserve">Students interested in how this number was derived can find help online. One source is an online calculator: </w:t>
      </w:r>
      <w:hyperlink r:id="rId1">
        <w:r w:rsidR="00ED5EDA">
          <w:rPr>
            <w:rStyle w:val="Hyperlink"/>
          </w:rPr>
          <w:t>https://www.calculator.net/standard-deviation-calculator.html</w:t>
        </w:r>
      </w:hyperlink>
    </w:p>
  </w:footnote>
  <w:footnote w:id="10">
    <w:p w14:paraId="3211AD49" w14:textId="4B704166" w:rsidR="002011A0" w:rsidRDefault="002011A0">
      <w:pPr>
        <w:pStyle w:val="FootnoteText"/>
      </w:pPr>
      <w:r>
        <w:rPr>
          <w:rStyle w:val="FootnoteReference"/>
        </w:rPr>
        <w:footnoteRef/>
      </w:r>
      <w:r>
        <w:t xml:space="preserve"> </w:t>
      </w:r>
      <w:r w:rsidR="00256548">
        <w:t xml:space="preserve">See: </w:t>
      </w:r>
      <w:hyperlink r:id="rId2">
        <w:r w:rsidR="00256548">
          <w:rPr>
            <w:rStyle w:val="Hyperlink"/>
          </w:rPr>
          <w:t>https://www.offthemark.com/cartoon/leisure-hobbies/home-garden/2006-05-30</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B9A47" w14:textId="342079BE" w:rsidR="003610E3" w:rsidRDefault="003610E3">
    <w:pPr>
      <w:pStyle w:val="Header"/>
    </w:pPr>
    <w:r>
      <w:t>Chapter 2: Foundations</w:t>
    </w:r>
    <w:r>
      <w:tab/>
    </w:r>
    <w:r>
      <w:tab/>
      <w:t>Research Methods for Business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9A0C5E" w14:textId="36CCD54B" w:rsidR="003610E3" w:rsidRDefault="003610E3">
    <w:pPr>
      <w:pStyle w:val="Header"/>
    </w:pPr>
    <w:r>
      <w:t>Chapter 2: Foundations</w:t>
    </w:r>
    <w:r>
      <w:tab/>
    </w:r>
    <w:r>
      <w:tab/>
      <w:t>Research Methods for Business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4D47A4" w14:textId="58DE7328" w:rsidR="003610E3" w:rsidRPr="00386859" w:rsidRDefault="003610E3" w:rsidP="0038685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CE877F" w14:textId="586F62E3" w:rsidR="003610E3" w:rsidRDefault="003610E3">
    <w:pPr>
      <w:pStyle w:val="Header"/>
    </w:pPr>
    <w:r>
      <w:t>Chapter 3: Research Ethics</w:t>
    </w:r>
    <w:r>
      <w:tab/>
    </w:r>
    <w:r>
      <w:tab/>
      <w:t>Research Methods for Business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D95611" w14:textId="37A15A12" w:rsidR="003610E3" w:rsidRPr="00C77970" w:rsidRDefault="003610E3" w:rsidP="00C7797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49E75" w14:textId="77777777" w:rsidR="003610E3" w:rsidRDefault="003610E3">
    <w:pPr>
      <w:pStyle w:val="Header"/>
    </w:pPr>
    <w:r>
      <w:t>Chapter 4: Research Design</w:t>
    </w:r>
    <w:r>
      <w:tab/>
    </w:r>
    <w:r>
      <w:tab/>
      <w:t>Research Methods for Business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651E2D" w14:textId="6C9FFA4F" w:rsidR="003610E3" w:rsidRDefault="003610E3">
    <w:pPr>
      <w:pStyle w:val="Header"/>
    </w:pPr>
    <w:r>
      <w:t>Chapter 5: Defining and Measuring Concepts</w:t>
    </w:r>
    <w:r>
      <w:tab/>
    </w:r>
    <w:r>
      <w:tab/>
      <w:t>Research Methods for Business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ED9BD7" w14:textId="608A0600" w:rsidR="003610E3" w:rsidRDefault="003610E3">
    <w:pPr>
      <w:pStyle w:val="Header"/>
    </w:pPr>
    <w:r>
      <w:t>Chapter 6: Data</w:t>
    </w:r>
    <w:r>
      <w:tab/>
    </w:r>
    <w:r>
      <w:tab/>
      <w:t>Research Methods for Business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6D0900" w14:textId="77777777" w:rsidR="003610E3" w:rsidRPr="00C77970" w:rsidRDefault="003610E3" w:rsidP="00C7797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95295" w14:textId="36783A6A" w:rsidR="003610E3" w:rsidRDefault="003610E3">
    <w:pPr>
      <w:pStyle w:val="Header"/>
    </w:pPr>
    <w:r>
      <w:t>Chapter 7: Sampling</w:t>
    </w:r>
    <w:r>
      <w:tab/>
    </w:r>
    <w:r>
      <w:tab/>
      <w:t>Research Methods for Business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A80801" w14:textId="62D0F11C" w:rsidR="003610E3" w:rsidRDefault="003610E3">
    <w:pPr>
      <w:pStyle w:val="Header"/>
    </w:pPr>
    <w:r>
      <w:t>Chapter 8: Survey Research</w:t>
    </w:r>
    <w:r>
      <w:tab/>
    </w:r>
    <w:r>
      <w:tab/>
      <w:t>Research Methods for Business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88187A" w14:textId="75FB0A7D" w:rsidR="00B754FF" w:rsidRDefault="00B754FF" w:rsidP="00325348">
    <w:pPr>
      <w:pStyle w:val="Header"/>
    </w:pPr>
    <w:r>
      <w:t>Foreword</w:t>
    </w:r>
    <w:r>
      <w:tab/>
    </w:r>
    <w:r>
      <w:tab/>
      <w:t>Research Methods for Business</w:t>
    </w:r>
  </w:p>
  <w:p w14:paraId="021FF80F" w14:textId="77777777" w:rsidR="00B754FF" w:rsidRDefault="00B754F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B03D09" w14:textId="17A41329" w:rsidR="003610E3" w:rsidRDefault="003610E3">
    <w:pPr>
      <w:pStyle w:val="Header"/>
    </w:pPr>
    <w:r>
      <w:t xml:space="preserve">Chapter </w:t>
    </w:r>
    <w:r w:rsidR="006E629B">
      <w:t>9</w:t>
    </w:r>
    <w:r>
      <w:t xml:space="preserve">: </w:t>
    </w:r>
    <w:r w:rsidR="006E629B">
      <w:t>Experimental Research</w:t>
    </w:r>
    <w:r>
      <w:tab/>
    </w:r>
    <w:r>
      <w:tab/>
      <w:t>Research Methods for Business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EE0D34" w14:textId="77777777" w:rsidR="006E629B" w:rsidRDefault="006E629B">
    <w:pPr>
      <w:pStyle w:val="Header"/>
    </w:pPr>
    <w:r>
      <w:t>Chapter 10: The Role of Statistics in Research</w:t>
    </w:r>
    <w:r>
      <w:tab/>
    </w:r>
    <w:r>
      <w:tab/>
      <w:t>Research Methods for Business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6C7D4E" w14:textId="0AB947D4" w:rsidR="003610E3" w:rsidRDefault="003610E3">
    <w:pPr>
      <w:pStyle w:val="Header"/>
    </w:pPr>
    <w:r>
      <w:t>Chapter 1</w:t>
    </w:r>
    <w:r w:rsidR="00C26ED6">
      <w:t>1</w:t>
    </w:r>
    <w:r>
      <w:t>: Interviews</w:t>
    </w:r>
    <w:r>
      <w:tab/>
    </w:r>
    <w:r>
      <w:tab/>
      <w:t>Research Methods for Business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59B16F" w14:textId="1B0069D5" w:rsidR="003610E3" w:rsidRDefault="003610E3">
    <w:pPr>
      <w:pStyle w:val="Header"/>
    </w:pPr>
    <w:r>
      <w:t>Chapter 1</w:t>
    </w:r>
    <w:r w:rsidR="00C26ED6">
      <w:t>2</w:t>
    </w:r>
    <w:r>
      <w:t>: Field Research</w:t>
    </w:r>
    <w:r>
      <w:tab/>
    </w:r>
    <w:r>
      <w:tab/>
      <w:t>Research Methods for Business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31B9E9" w14:textId="319DEF72" w:rsidR="003610E3" w:rsidRDefault="003610E3">
    <w:pPr>
      <w:pStyle w:val="Header"/>
    </w:pPr>
    <w:r>
      <w:t>Chapter 1</w:t>
    </w:r>
    <w:r w:rsidR="00C26ED6">
      <w:t>3</w:t>
    </w:r>
    <w:r>
      <w:t>: Unobtrusive Research</w:t>
    </w:r>
    <w:r>
      <w:tab/>
    </w:r>
    <w:r>
      <w:tab/>
      <w:t>Research Methods for Business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05A892" w14:textId="399D862D" w:rsidR="003610E3" w:rsidRDefault="003610E3">
    <w:pPr>
      <w:pStyle w:val="Header"/>
    </w:pPr>
    <w:r>
      <w:t>Chapter</w:t>
    </w:r>
    <w:r w:rsidR="005162AF">
      <w:t xml:space="preserve"> </w:t>
    </w:r>
    <w:r>
      <w:t>1</w:t>
    </w:r>
    <w:r w:rsidR="001112CA">
      <w:t>4</w:t>
    </w:r>
    <w:r>
      <w:t>: Interpretive Research</w:t>
    </w:r>
    <w:r>
      <w:tab/>
    </w:r>
    <w:r>
      <w:tab/>
      <w:t>Research Methods for Business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D46A3" w14:textId="006A6F59" w:rsidR="003610E3" w:rsidRDefault="003610E3">
    <w:pPr>
      <w:pStyle w:val="Header"/>
    </w:pPr>
    <w:r>
      <w:t>Chapter 1</w:t>
    </w:r>
    <w:r w:rsidR="001112CA">
      <w:t>5</w:t>
    </w:r>
    <w:r>
      <w:t>: Mixed Methods</w:t>
    </w:r>
    <w:r>
      <w:tab/>
    </w:r>
    <w:r>
      <w:tab/>
      <w:t>Research Methods for Business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3C28C7" w14:textId="55C38C28" w:rsidR="003610E3" w:rsidRDefault="003610E3">
    <w:pPr>
      <w:pStyle w:val="Header"/>
    </w:pPr>
    <w:r>
      <w:t>Chapter 1</w:t>
    </w:r>
    <w:r w:rsidR="001112CA">
      <w:t>6</w:t>
    </w:r>
    <w:r>
      <w:t>: Presenting Research</w:t>
    </w:r>
    <w:r>
      <w:tab/>
    </w:r>
    <w:r>
      <w:tab/>
      <w:t>Research Methods for Business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1B08E" w14:textId="7AF1BBEB" w:rsidR="003610E3" w:rsidRPr="00386859" w:rsidRDefault="001112CA" w:rsidP="00386859">
    <w:pPr>
      <w:pStyle w:val="Header"/>
    </w:pPr>
    <w:r>
      <w:t>Chapter 16: Presenting Research</w:t>
    </w:r>
    <w:r w:rsidR="00BC0429">
      <w:tab/>
    </w:r>
    <w:r w:rsidR="00BC0429">
      <w:tab/>
      <w:t>Research Methods for Business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59C22" w14:textId="1A290AE1" w:rsidR="00B12FA9" w:rsidRDefault="0032532A">
    <w:pPr>
      <w:pStyle w:val="Header"/>
    </w:pPr>
    <w:r>
      <w:t>Glossary</w:t>
    </w:r>
    <w:r w:rsidR="00B12FA9">
      <w:tab/>
    </w:r>
    <w:r w:rsidR="00B12FA9">
      <w:tab/>
      <w:t>Research Methods for Business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CA1F0" w14:textId="77777777" w:rsidR="00613335" w:rsidRPr="00362743" w:rsidRDefault="00613335" w:rsidP="00362743">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6B735" w14:textId="77777777" w:rsidR="0068696C" w:rsidRDefault="0068696C">
    <w:pPr>
      <w:pStyle w:val="Header"/>
    </w:pPr>
    <w:r>
      <w:t>Bibliography</w:t>
    </w:r>
    <w:r>
      <w:tab/>
    </w:r>
    <w:r>
      <w:tab/>
      <w:t>Research Methods for Business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FD2A1D" w14:textId="77777777" w:rsidR="00B754FF" w:rsidRDefault="00B754FF" w:rsidP="00325348">
    <w:pPr>
      <w:pStyle w:val="Header"/>
    </w:pPr>
    <w:r>
      <w:t>Contents</w:t>
    </w:r>
    <w:r>
      <w:tab/>
    </w:r>
    <w:r>
      <w:tab/>
      <w:t>Research Methods for Business</w:t>
    </w:r>
  </w:p>
  <w:p w14:paraId="40455E45" w14:textId="77777777" w:rsidR="00B754FF" w:rsidRDefault="00B754F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C70D1" w14:textId="6D40B626" w:rsidR="003610E3" w:rsidRPr="00362743" w:rsidRDefault="003610E3" w:rsidP="0036274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B88FD7" w14:textId="77777777" w:rsidR="002033D2" w:rsidRDefault="002033D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6BD57E" w14:textId="3F88D4DE" w:rsidR="003610E3" w:rsidRPr="00362743" w:rsidRDefault="003610E3" w:rsidP="0036274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895065" w14:textId="77777777" w:rsidR="003610E3" w:rsidRDefault="003610E3">
    <w:pPr>
      <w:pStyle w:val="Header"/>
    </w:pPr>
    <w:r>
      <w:t>Chapter 1: Introduction</w:t>
    </w:r>
    <w:r>
      <w:tab/>
    </w:r>
    <w:r>
      <w:tab/>
      <w:t>Research Methods for Business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E6AC40" w14:textId="77777777" w:rsidR="003610E3" w:rsidRDefault="003610E3">
    <w:pPr>
      <w:pStyle w:val="Header"/>
    </w:pPr>
    <w:r>
      <w:t>Chapter 2: Foundations</w:t>
    </w:r>
    <w:r>
      <w:tab/>
    </w:r>
    <w:r>
      <w:tab/>
      <w:t>Research Methods for Business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870E1"/>
    <w:multiLevelType w:val="hybridMultilevel"/>
    <w:tmpl w:val="7A8E3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9B6743"/>
    <w:multiLevelType w:val="hybridMultilevel"/>
    <w:tmpl w:val="9920F068"/>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E8720C"/>
    <w:multiLevelType w:val="hybridMultilevel"/>
    <w:tmpl w:val="2A1AB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FE4BBD"/>
    <w:multiLevelType w:val="hybridMultilevel"/>
    <w:tmpl w:val="98D4A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CE7CC1"/>
    <w:multiLevelType w:val="hybridMultilevel"/>
    <w:tmpl w:val="93209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F95569"/>
    <w:multiLevelType w:val="hybridMultilevel"/>
    <w:tmpl w:val="BF5C9B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2E504A"/>
    <w:multiLevelType w:val="hybridMultilevel"/>
    <w:tmpl w:val="F29AA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423DD8"/>
    <w:multiLevelType w:val="hybridMultilevel"/>
    <w:tmpl w:val="9C82C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440A1A"/>
    <w:multiLevelType w:val="hybridMultilevel"/>
    <w:tmpl w:val="505095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2911CCB"/>
    <w:multiLevelType w:val="hybridMultilevel"/>
    <w:tmpl w:val="957402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C32E7E"/>
    <w:multiLevelType w:val="hybridMultilevel"/>
    <w:tmpl w:val="980A2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061B26"/>
    <w:multiLevelType w:val="hybridMultilevel"/>
    <w:tmpl w:val="63922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311AC2"/>
    <w:multiLevelType w:val="hybridMultilevel"/>
    <w:tmpl w:val="565EC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35F0C6F"/>
    <w:multiLevelType w:val="hybridMultilevel"/>
    <w:tmpl w:val="5DF28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376786A"/>
    <w:multiLevelType w:val="hybridMultilevel"/>
    <w:tmpl w:val="7D629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3841530"/>
    <w:multiLevelType w:val="hybridMultilevel"/>
    <w:tmpl w:val="F490D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3A62C3A"/>
    <w:multiLevelType w:val="hybridMultilevel"/>
    <w:tmpl w:val="F3247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45557A4"/>
    <w:multiLevelType w:val="hybridMultilevel"/>
    <w:tmpl w:val="001A258C"/>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4B375A5"/>
    <w:multiLevelType w:val="hybridMultilevel"/>
    <w:tmpl w:val="1DB0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4D5112E"/>
    <w:multiLevelType w:val="hybridMultilevel"/>
    <w:tmpl w:val="94CE3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4FC5E25"/>
    <w:multiLevelType w:val="hybridMultilevel"/>
    <w:tmpl w:val="E7CC2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517760F"/>
    <w:multiLevelType w:val="hybridMultilevel"/>
    <w:tmpl w:val="EB269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5321031"/>
    <w:multiLevelType w:val="hybridMultilevel"/>
    <w:tmpl w:val="BA027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56D673C"/>
    <w:multiLevelType w:val="hybridMultilevel"/>
    <w:tmpl w:val="711EF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5FC4140"/>
    <w:multiLevelType w:val="hybridMultilevel"/>
    <w:tmpl w:val="EDF20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60D60E9"/>
    <w:multiLevelType w:val="hybridMultilevel"/>
    <w:tmpl w:val="1C927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6CA2417"/>
    <w:multiLevelType w:val="hybridMultilevel"/>
    <w:tmpl w:val="5C861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6ED5DB3"/>
    <w:multiLevelType w:val="hybridMultilevel"/>
    <w:tmpl w:val="E5080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71D1D9E"/>
    <w:multiLevelType w:val="hybridMultilevel"/>
    <w:tmpl w:val="BAC0E5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7A91451"/>
    <w:multiLevelType w:val="hybridMultilevel"/>
    <w:tmpl w:val="2B1AD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88B5DD3"/>
    <w:multiLevelType w:val="hybridMultilevel"/>
    <w:tmpl w:val="6A3AC2F2"/>
    <w:lvl w:ilvl="0" w:tplc="7A2A4148">
      <w:start w:val="1"/>
      <w:numFmt w:val="bullet"/>
      <w:lvlText w:val=""/>
      <w:lvlJc w:val="left"/>
      <w:pPr>
        <w:tabs>
          <w:tab w:val="num" w:pos="720"/>
        </w:tabs>
        <w:ind w:left="720" w:hanging="360"/>
      </w:pPr>
      <w:rPr>
        <w:rFonts w:ascii="Symbol" w:hAnsi="Symbol" w:hint="default"/>
      </w:rPr>
    </w:lvl>
    <w:lvl w:ilvl="1" w:tplc="E618BA6C" w:tentative="1">
      <w:start w:val="1"/>
      <w:numFmt w:val="bullet"/>
      <w:lvlText w:val=""/>
      <w:lvlJc w:val="left"/>
      <w:pPr>
        <w:tabs>
          <w:tab w:val="num" w:pos="1440"/>
        </w:tabs>
        <w:ind w:left="1440" w:hanging="360"/>
      </w:pPr>
      <w:rPr>
        <w:rFonts w:ascii="Symbol" w:hAnsi="Symbol" w:hint="default"/>
      </w:rPr>
    </w:lvl>
    <w:lvl w:ilvl="2" w:tplc="780CFF8C" w:tentative="1">
      <w:start w:val="1"/>
      <w:numFmt w:val="bullet"/>
      <w:lvlText w:val=""/>
      <w:lvlJc w:val="left"/>
      <w:pPr>
        <w:tabs>
          <w:tab w:val="num" w:pos="2160"/>
        </w:tabs>
        <w:ind w:left="2160" w:hanging="360"/>
      </w:pPr>
      <w:rPr>
        <w:rFonts w:ascii="Symbol" w:hAnsi="Symbol" w:hint="default"/>
      </w:rPr>
    </w:lvl>
    <w:lvl w:ilvl="3" w:tplc="5F466C46" w:tentative="1">
      <w:start w:val="1"/>
      <w:numFmt w:val="bullet"/>
      <w:lvlText w:val=""/>
      <w:lvlJc w:val="left"/>
      <w:pPr>
        <w:tabs>
          <w:tab w:val="num" w:pos="2880"/>
        </w:tabs>
        <w:ind w:left="2880" w:hanging="360"/>
      </w:pPr>
      <w:rPr>
        <w:rFonts w:ascii="Symbol" w:hAnsi="Symbol" w:hint="default"/>
      </w:rPr>
    </w:lvl>
    <w:lvl w:ilvl="4" w:tplc="127EB190" w:tentative="1">
      <w:start w:val="1"/>
      <w:numFmt w:val="bullet"/>
      <w:lvlText w:val=""/>
      <w:lvlJc w:val="left"/>
      <w:pPr>
        <w:tabs>
          <w:tab w:val="num" w:pos="3600"/>
        </w:tabs>
        <w:ind w:left="3600" w:hanging="360"/>
      </w:pPr>
      <w:rPr>
        <w:rFonts w:ascii="Symbol" w:hAnsi="Symbol" w:hint="default"/>
      </w:rPr>
    </w:lvl>
    <w:lvl w:ilvl="5" w:tplc="8EC4951E" w:tentative="1">
      <w:start w:val="1"/>
      <w:numFmt w:val="bullet"/>
      <w:lvlText w:val=""/>
      <w:lvlJc w:val="left"/>
      <w:pPr>
        <w:tabs>
          <w:tab w:val="num" w:pos="4320"/>
        </w:tabs>
        <w:ind w:left="4320" w:hanging="360"/>
      </w:pPr>
      <w:rPr>
        <w:rFonts w:ascii="Symbol" w:hAnsi="Symbol" w:hint="default"/>
      </w:rPr>
    </w:lvl>
    <w:lvl w:ilvl="6" w:tplc="28A0FB3C" w:tentative="1">
      <w:start w:val="1"/>
      <w:numFmt w:val="bullet"/>
      <w:lvlText w:val=""/>
      <w:lvlJc w:val="left"/>
      <w:pPr>
        <w:tabs>
          <w:tab w:val="num" w:pos="5040"/>
        </w:tabs>
        <w:ind w:left="5040" w:hanging="360"/>
      </w:pPr>
      <w:rPr>
        <w:rFonts w:ascii="Symbol" w:hAnsi="Symbol" w:hint="default"/>
      </w:rPr>
    </w:lvl>
    <w:lvl w:ilvl="7" w:tplc="DDF0FB3E" w:tentative="1">
      <w:start w:val="1"/>
      <w:numFmt w:val="bullet"/>
      <w:lvlText w:val=""/>
      <w:lvlJc w:val="left"/>
      <w:pPr>
        <w:tabs>
          <w:tab w:val="num" w:pos="5760"/>
        </w:tabs>
        <w:ind w:left="5760" w:hanging="360"/>
      </w:pPr>
      <w:rPr>
        <w:rFonts w:ascii="Symbol" w:hAnsi="Symbol" w:hint="default"/>
      </w:rPr>
    </w:lvl>
    <w:lvl w:ilvl="8" w:tplc="131A4698"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093A31C8"/>
    <w:multiLevelType w:val="hybridMultilevel"/>
    <w:tmpl w:val="F5EE7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95B2246"/>
    <w:multiLevelType w:val="hybridMultilevel"/>
    <w:tmpl w:val="40345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97172B3"/>
    <w:multiLevelType w:val="hybridMultilevel"/>
    <w:tmpl w:val="3DF08A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9A655A7"/>
    <w:multiLevelType w:val="hybridMultilevel"/>
    <w:tmpl w:val="783047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09F22D30"/>
    <w:multiLevelType w:val="hybridMultilevel"/>
    <w:tmpl w:val="A4106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A01709E"/>
    <w:multiLevelType w:val="hybridMultilevel"/>
    <w:tmpl w:val="4E4E5A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A062D65"/>
    <w:multiLevelType w:val="hybridMultilevel"/>
    <w:tmpl w:val="81A2B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A26178D"/>
    <w:multiLevelType w:val="hybridMultilevel"/>
    <w:tmpl w:val="7138F96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A8B32FC"/>
    <w:multiLevelType w:val="hybridMultilevel"/>
    <w:tmpl w:val="5D224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B01549E"/>
    <w:multiLevelType w:val="hybridMultilevel"/>
    <w:tmpl w:val="ED6E3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0B951688"/>
    <w:multiLevelType w:val="hybridMultilevel"/>
    <w:tmpl w:val="956002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C530F23"/>
    <w:multiLevelType w:val="hybridMultilevel"/>
    <w:tmpl w:val="E94C9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C944155"/>
    <w:multiLevelType w:val="hybridMultilevel"/>
    <w:tmpl w:val="5874E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CA55AC0"/>
    <w:multiLevelType w:val="hybridMultilevel"/>
    <w:tmpl w:val="67209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0CD463F9"/>
    <w:multiLevelType w:val="hybridMultilevel"/>
    <w:tmpl w:val="0644D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0D440C04"/>
    <w:multiLevelType w:val="hybridMultilevel"/>
    <w:tmpl w:val="3CBA2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0D954D67"/>
    <w:multiLevelType w:val="hybridMultilevel"/>
    <w:tmpl w:val="6BDA0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0F5155DE"/>
    <w:multiLevelType w:val="hybridMultilevel"/>
    <w:tmpl w:val="BED45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0F735D3D"/>
    <w:multiLevelType w:val="hybridMultilevel"/>
    <w:tmpl w:val="76B8E77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00F4EDA"/>
    <w:multiLevelType w:val="hybridMultilevel"/>
    <w:tmpl w:val="B254E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0460F0F"/>
    <w:multiLevelType w:val="hybridMultilevel"/>
    <w:tmpl w:val="B8F079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0DA3FE4"/>
    <w:multiLevelType w:val="hybridMultilevel"/>
    <w:tmpl w:val="F424AC5A"/>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 w15:restartNumberingAfterBreak="0">
    <w:nsid w:val="10FD6A01"/>
    <w:multiLevelType w:val="hybridMultilevel"/>
    <w:tmpl w:val="DD349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13C4D58"/>
    <w:multiLevelType w:val="hybridMultilevel"/>
    <w:tmpl w:val="B7F81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1661E12"/>
    <w:multiLevelType w:val="hybridMultilevel"/>
    <w:tmpl w:val="081800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19D6DE4"/>
    <w:multiLevelType w:val="hybridMultilevel"/>
    <w:tmpl w:val="46021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1B755DC"/>
    <w:multiLevelType w:val="hybridMultilevel"/>
    <w:tmpl w:val="06540A9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 w15:restartNumberingAfterBreak="0">
    <w:nsid w:val="12464B6D"/>
    <w:multiLevelType w:val="hybridMultilevel"/>
    <w:tmpl w:val="9AD8B7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2933A8E"/>
    <w:multiLevelType w:val="hybridMultilevel"/>
    <w:tmpl w:val="1A581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2D0726E"/>
    <w:multiLevelType w:val="hybridMultilevel"/>
    <w:tmpl w:val="6A001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3805473"/>
    <w:multiLevelType w:val="hybridMultilevel"/>
    <w:tmpl w:val="ECA86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3891C64"/>
    <w:multiLevelType w:val="hybridMultilevel"/>
    <w:tmpl w:val="40A6AB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3D047E3"/>
    <w:multiLevelType w:val="hybridMultilevel"/>
    <w:tmpl w:val="A2809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4482F6A"/>
    <w:multiLevelType w:val="hybridMultilevel"/>
    <w:tmpl w:val="44246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14CF6A8A"/>
    <w:multiLevelType w:val="hybridMultilevel"/>
    <w:tmpl w:val="DF241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51A28D6"/>
    <w:multiLevelType w:val="hybridMultilevel"/>
    <w:tmpl w:val="97E0F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59E1328"/>
    <w:multiLevelType w:val="hybridMultilevel"/>
    <w:tmpl w:val="2A461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5A74C54"/>
    <w:multiLevelType w:val="hybridMultilevel"/>
    <w:tmpl w:val="EE748D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606272A"/>
    <w:multiLevelType w:val="hybridMultilevel"/>
    <w:tmpl w:val="7012E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69C1CC8"/>
    <w:multiLevelType w:val="hybridMultilevel"/>
    <w:tmpl w:val="A3081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74272C4"/>
    <w:multiLevelType w:val="hybridMultilevel"/>
    <w:tmpl w:val="51F47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74B5F3D"/>
    <w:multiLevelType w:val="hybridMultilevel"/>
    <w:tmpl w:val="E2A0B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83608EA"/>
    <w:multiLevelType w:val="hybridMultilevel"/>
    <w:tmpl w:val="43940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83C6B0E"/>
    <w:multiLevelType w:val="hybridMultilevel"/>
    <w:tmpl w:val="87648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8733808"/>
    <w:multiLevelType w:val="hybridMultilevel"/>
    <w:tmpl w:val="8D208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90F0F83"/>
    <w:multiLevelType w:val="hybridMultilevel"/>
    <w:tmpl w:val="A4D65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A682E40"/>
    <w:multiLevelType w:val="hybridMultilevel"/>
    <w:tmpl w:val="1EF86DC0"/>
    <w:lvl w:ilvl="0" w:tplc="C5DE6F2A">
      <w:start w:val="1"/>
      <w:numFmt w:val="bullet"/>
      <w:lvlText w:val=""/>
      <w:lvlJc w:val="left"/>
      <w:pPr>
        <w:tabs>
          <w:tab w:val="num" w:pos="720"/>
        </w:tabs>
        <w:ind w:left="720" w:hanging="360"/>
      </w:pPr>
      <w:rPr>
        <w:rFonts w:ascii="Symbol" w:hAnsi="Symbol" w:hint="default"/>
      </w:rPr>
    </w:lvl>
    <w:lvl w:ilvl="1" w:tplc="02EA2966" w:tentative="1">
      <w:start w:val="1"/>
      <w:numFmt w:val="bullet"/>
      <w:lvlText w:val=""/>
      <w:lvlJc w:val="left"/>
      <w:pPr>
        <w:tabs>
          <w:tab w:val="num" w:pos="1440"/>
        </w:tabs>
        <w:ind w:left="1440" w:hanging="360"/>
      </w:pPr>
      <w:rPr>
        <w:rFonts w:ascii="Symbol" w:hAnsi="Symbol" w:hint="default"/>
      </w:rPr>
    </w:lvl>
    <w:lvl w:ilvl="2" w:tplc="80F49400" w:tentative="1">
      <w:start w:val="1"/>
      <w:numFmt w:val="bullet"/>
      <w:lvlText w:val=""/>
      <w:lvlJc w:val="left"/>
      <w:pPr>
        <w:tabs>
          <w:tab w:val="num" w:pos="2160"/>
        </w:tabs>
        <w:ind w:left="2160" w:hanging="360"/>
      </w:pPr>
      <w:rPr>
        <w:rFonts w:ascii="Symbol" w:hAnsi="Symbol" w:hint="default"/>
      </w:rPr>
    </w:lvl>
    <w:lvl w:ilvl="3" w:tplc="6F2C54CE" w:tentative="1">
      <w:start w:val="1"/>
      <w:numFmt w:val="bullet"/>
      <w:lvlText w:val=""/>
      <w:lvlJc w:val="left"/>
      <w:pPr>
        <w:tabs>
          <w:tab w:val="num" w:pos="2880"/>
        </w:tabs>
        <w:ind w:left="2880" w:hanging="360"/>
      </w:pPr>
      <w:rPr>
        <w:rFonts w:ascii="Symbol" w:hAnsi="Symbol" w:hint="default"/>
      </w:rPr>
    </w:lvl>
    <w:lvl w:ilvl="4" w:tplc="FB7A11B2" w:tentative="1">
      <w:start w:val="1"/>
      <w:numFmt w:val="bullet"/>
      <w:lvlText w:val=""/>
      <w:lvlJc w:val="left"/>
      <w:pPr>
        <w:tabs>
          <w:tab w:val="num" w:pos="3600"/>
        </w:tabs>
        <w:ind w:left="3600" w:hanging="360"/>
      </w:pPr>
      <w:rPr>
        <w:rFonts w:ascii="Symbol" w:hAnsi="Symbol" w:hint="default"/>
      </w:rPr>
    </w:lvl>
    <w:lvl w:ilvl="5" w:tplc="5CBAA6A4" w:tentative="1">
      <w:start w:val="1"/>
      <w:numFmt w:val="bullet"/>
      <w:lvlText w:val=""/>
      <w:lvlJc w:val="left"/>
      <w:pPr>
        <w:tabs>
          <w:tab w:val="num" w:pos="4320"/>
        </w:tabs>
        <w:ind w:left="4320" w:hanging="360"/>
      </w:pPr>
      <w:rPr>
        <w:rFonts w:ascii="Symbol" w:hAnsi="Symbol" w:hint="default"/>
      </w:rPr>
    </w:lvl>
    <w:lvl w:ilvl="6" w:tplc="77AC7E0E" w:tentative="1">
      <w:start w:val="1"/>
      <w:numFmt w:val="bullet"/>
      <w:lvlText w:val=""/>
      <w:lvlJc w:val="left"/>
      <w:pPr>
        <w:tabs>
          <w:tab w:val="num" w:pos="5040"/>
        </w:tabs>
        <w:ind w:left="5040" w:hanging="360"/>
      </w:pPr>
      <w:rPr>
        <w:rFonts w:ascii="Symbol" w:hAnsi="Symbol" w:hint="default"/>
      </w:rPr>
    </w:lvl>
    <w:lvl w:ilvl="7" w:tplc="4CAA7324" w:tentative="1">
      <w:start w:val="1"/>
      <w:numFmt w:val="bullet"/>
      <w:lvlText w:val=""/>
      <w:lvlJc w:val="left"/>
      <w:pPr>
        <w:tabs>
          <w:tab w:val="num" w:pos="5760"/>
        </w:tabs>
        <w:ind w:left="5760" w:hanging="360"/>
      </w:pPr>
      <w:rPr>
        <w:rFonts w:ascii="Symbol" w:hAnsi="Symbol" w:hint="default"/>
      </w:rPr>
    </w:lvl>
    <w:lvl w:ilvl="8" w:tplc="BD308E0C" w:tentative="1">
      <w:start w:val="1"/>
      <w:numFmt w:val="bullet"/>
      <w:lvlText w:val=""/>
      <w:lvlJc w:val="left"/>
      <w:pPr>
        <w:tabs>
          <w:tab w:val="num" w:pos="6480"/>
        </w:tabs>
        <w:ind w:left="6480" w:hanging="360"/>
      </w:pPr>
      <w:rPr>
        <w:rFonts w:ascii="Symbol" w:hAnsi="Symbol" w:hint="default"/>
      </w:rPr>
    </w:lvl>
  </w:abstractNum>
  <w:abstractNum w:abstractNumId="78" w15:restartNumberingAfterBreak="0">
    <w:nsid w:val="1A740655"/>
    <w:multiLevelType w:val="hybridMultilevel"/>
    <w:tmpl w:val="424CA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A864252"/>
    <w:multiLevelType w:val="hybridMultilevel"/>
    <w:tmpl w:val="2C1EE2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AD463B4"/>
    <w:multiLevelType w:val="hybridMultilevel"/>
    <w:tmpl w:val="414C8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1B734B91"/>
    <w:multiLevelType w:val="hybridMultilevel"/>
    <w:tmpl w:val="7F3A4138"/>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C01046B"/>
    <w:multiLevelType w:val="hybridMultilevel"/>
    <w:tmpl w:val="579C9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1C330CB8"/>
    <w:multiLevelType w:val="hybridMultilevel"/>
    <w:tmpl w:val="2B26A3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1C482772"/>
    <w:multiLevelType w:val="hybridMultilevel"/>
    <w:tmpl w:val="1A80E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1C6A3ABA"/>
    <w:multiLevelType w:val="hybridMultilevel"/>
    <w:tmpl w:val="790AF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1C883EB9"/>
    <w:multiLevelType w:val="hybridMultilevel"/>
    <w:tmpl w:val="142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1C9F256B"/>
    <w:multiLevelType w:val="hybridMultilevel"/>
    <w:tmpl w:val="42B0E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1D905A5C"/>
    <w:multiLevelType w:val="hybridMultilevel"/>
    <w:tmpl w:val="697420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1DAB72F8"/>
    <w:multiLevelType w:val="hybridMultilevel"/>
    <w:tmpl w:val="AA446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1DC5465B"/>
    <w:multiLevelType w:val="hybridMultilevel"/>
    <w:tmpl w:val="A9709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1E0A1A21"/>
    <w:multiLevelType w:val="hybridMultilevel"/>
    <w:tmpl w:val="347E3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1E22228C"/>
    <w:multiLevelType w:val="hybridMultilevel"/>
    <w:tmpl w:val="3642E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EE73209"/>
    <w:multiLevelType w:val="hybridMultilevel"/>
    <w:tmpl w:val="5C8E1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1F4F460E"/>
    <w:multiLevelType w:val="hybridMultilevel"/>
    <w:tmpl w:val="83886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1F5A0964"/>
    <w:multiLevelType w:val="hybridMultilevel"/>
    <w:tmpl w:val="057CE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F605072"/>
    <w:multiLevelType w:val="hybridMultilevel"/>
    <w:tmpl w:val="D9FE9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F6403F9"/>
    <w:multiLevelType w:val="hybridMultilevel"/>
    <w:tmpl w:val="4ADA1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FC73C2A"/>
    <w:multiLevelType w:val="hybridMultilevel"/>
    <w:tmpl w:val="B6B01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0064F4E"/>
    <w:multiLevelType w:val="hybridMultilevel"/>
    <w:tmpl w:val="4F0AA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0C26213"/>
    <w:multiLevelType w:val="hybridMultilevel"/>
    <w:tmpl w:val="75A24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0C844FF"/>
    <w:multiLevelType w:val="hybridMultilevel"/>
    <w:tmpl w:val="7EA63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0D6685C"/>
    <w:multiLevelType w:val="hybridMultilevel"/>
    <w:tmpl w:val="B49A3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15C730E"/>
    <w:multiLevelType w:val="hybridMultilevel"/>
    <w:tmpl w:val="3F948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1987055"/>
    <w:multiLevelType w:val="hybridMultilevel"/>
    <w:tmpl w:val="8C0C2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1987E92"/>
    <w:multiLevelType w:val="hybridMultilevel"/>
    <w:tmpl w:val="F782E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1F16291"/>
    <w:multiLevelType w:val="hybridMultilevel"/>
    <w:tmpl w:val="1B74A6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226C3BA7"/>
    <w:multiLevelType w:val="hybridMultilevel"/>
    <w:tmpl w:val="04EC0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29E37B4"/>
    <w:multiLevelType w:val="hybridMultilevel"/>
    <w:tmpl w:val="6F987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2A436A8"/>
    <w:multiLevelType w:val="hybridMultilevel"/>
    <w:tmpl w:val="1E645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35A686E"/>
    <w:multiLevelType w:val="hybridMultilevel"/>
    <w:tmpl w:val="0DFA7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3CC0335"/>
    <w:multiLevelType w:val="hybridMultilevel"/>
    <w:tmpl w:val="57E67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3EE184C"/>
    <w:multiLevelType w:val="hybridMultilevel"/>
    <w:tmpl w:val="A85C6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48B293C"/>
    <w:multiLevelType w:val="hybridMultilevel"/>
    <w:tmpl w:val="5142E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490557E"/>
    <w:multiLevelType w:val="hybridMultilevel"/>
    <w:tmpl w:val="2A6A6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4EC27E9"/>
    <w:multiLevelType w:val="hybridMultilevel"/>
    <w:tmpl w:val="58B0B03E"/>
    <w:lvl w:ilvl="0" w:tplc="0409000F">
      <w:start w:val="1"/>
      <w:numFmt w:val="decimal"/>
      <w:lvlText w:val="%1."/>
      <w:lvlJc w:val="left"/>
      <w:pPr>
        <w:ind w:left="720" w:hanging="360"/>
      </w:pPr>
      <w:rPr>
        <w:rFonts w:hint="default"/>
      </w:rPr>
    </w:lvl>
    <w:lvl w:ilvl="1" w:tplc="BA64449C">
      <w:start w:val="1"/>
      <w:numFmt w:val="lowerLetter"/>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255447C7"/>
    <w:multiLevelType w:val="hybridMultilevel"/>
    <w:tmpl w:val="8B863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5805BB7"/>
    <w:multiLevelType w:val="hybridMultilevel"/>
    <w:tmpl w:val="AD6E09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688653A"/>
    <w:multiLevelType w:val="hybridMultilevel"/>
    <w:tmpl w:val="5F863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26DA2AE5"/>
    <w:multiLevelType w:val="hybridMultilevel"/>
    <w:tmpl w:val="823A4C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26EE370C"/>
    <w:multiLevelType w:val="hybridMultilevel"/>
    <w:tmpl w:val="19149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271054ED"/>
    <w:multiLevelType w:val="hybridMultilevel"/>
    <w:tmpl w:val="B4E2DE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27540670"/>
    <w:multiLevelType w:val="hybridMultilevel"/>
    <w:tmpl w:val="30825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7F636CB"/>
    <w:multiLevelType w:val="hybridMultilevel"/>
    <w:tmpl w:val="79EA7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2803246F"/>
    <w:multiLevelType w:val="hybridMultilevel"/>
    <w:tmpl w:val="D122B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28481687"/>
    <w:multiLevelType w:val="hybridMultilevel"/>
    <w:tmpl w:val="C9F07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28767266"/>
    <w:multiLevelType w:val="hybridMultilevel"/>
    <w:tmpl w:val="0D802A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292B0AE9"/>
    <w:multiLevelType w:val="hybridMultilevel"/>
    <w:tmpl w:val="9424B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29630431"/>
    <w:multiLevelType w:val="hybridMultilevel"/>
    <w:tmpl w:val="0908C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29944E10"/>
    <w:multiLevelType w:val="hybridMultilevel"/>
    <w:tmpl w:val="F22E89A6"/>
    <w:lvl w:ilvl="0" w:tplc="3FA05EA4">
      <w:numFmt w:val="bullet"/>
      <w:lvlText w:val="•"/>
      <w:lvlJc w:val="left"/>
      <w:pPr>
        <w:ind w:left="1080" w:hanging="360"/>
      </w:pPr>
      <w:rPr>
        <w:rFonts w:ascii="Aptos" w:eastAsiaTheme="minorEastAsia" w:hAnsi="Apto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15:restartNumberingAfterBreak="0">
    <w:nsid w:val="2A5703E7"/>
    <w:multiLevelType w:val="hybridMultilevel"/>
    <w:tmpl w:val="EBC22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AA404FA"/>
    <w:multiLevelType w:val="hybridMultilevel"/>
    <w:tmpl w:val="4F584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AD574D9"/>
    <w:multiLevelType w:val="hybridMultilevel"/>
    <w:tmpl w:val="CEF89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2ADB3F53"/>
    <w:multiLevelType w:val="hybridMultilevel"/>
    <w:tmpl w:val="2440F05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2BB168C2"/>
    <w:multiLevelType w:val="hybridMultilevel"/>
    <w:tmpl w:val="3D02F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2BB752B6"/>
    <w:multiLevelType w:val="hybridMultilevel"/>
    <w:tmpl w:val="D70ECCF8"/>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2BD37D20"/>
    <w:multiLevelType w:val="hybridMultilevel"/>
    <w:tmpl w:val="EC200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2BEF3347"/>
    <w:multiLevelType w:val="hybridMultilevel"/>
    <w:tmpl w:val="CFBAB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BF0477C"/>
    <w:multiLevelType w:val="hybridMultilevel"/>
    <w:tmpl w:val="69D6A3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2C5047A8"/>
    <w:multiLevelType w:val="hybridMultilevel"/>
    <w:tmpl w:val="6E44B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2C893E2E"/>
    <w:multiLevelType w:val="hybridMultilevel"/>
    <w:tmpl w:val="61E4C4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2C894887"/>
    <w:multiLevelType w:val="hybridMultilevel"/>
    <w:tmpl w:val="FAEA68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2D4F7DCA"/>
    <w:multiLevelType w:val="hybridMultilevel"/>
    <w:tmpl w:val="00EA6F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2D567061"/>
    <w:multiLevelType w:val="hybridMultilevel"/>
    <w:tmpl w:val="2C226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2E984936"/>
    <w:multiLevelType w:val="hybridMultilevel"/>
    <w:tmpl w:val="475C21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2EFF1670"/>
    <w:multiLevelType w:val="hybridMultilevel"/>
    <w:tmpl w:val="1C486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2F574769"/>
    <w:multiLevelType w:val="hybridMultilevel"/>
    <w:tmpl w:val="AC863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2FE2401C"/>
    <w:multiLevelType w:val="hybridMultilevel"/>
    <w:tmpl w:val="4EC67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04E4BC1"/>
    <w:multiLevelType w:val="hybridMultilevel"/>
    <w:tmpl w:val="00529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09D358B"/>
    <w:multiLevelType w:val="hybridMultilevel"/>
    <w:tmpl w:val="A6E4E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0AD252D"/>
    <w:multiLevelType w:val="hybridMultilevel"/>
    <w:tmpl w:val="CC6A9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0B54258"/>
    <w:multiLevelType w:val="hybridMultilevel"/>
    <w:tmpl w:val="F3F49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0CA6C88"/>
    <w:multiLevelType w:val="hybridMultilevel"/>
    <w:tmpl w:val="D3E6D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134635C"/>
    <w:multiLevelType w:val="hybridMultilevel"/>
    <w:tmpl w:val="FE8870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31887D1B"/>
    <w:multiLevelType w:val="hybridMultilevel"/>
    <w:tmpl w:val="B37AC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2110003"/>
    <w:multiLevelType w:val="hybridMultilevel"/>
    <w:tmpl w:val="62864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21509B5"/>
    <w:multiLevelType w:val="hybridMultilevel"/>
    <w:tmpl w:val="305CAD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322908AF"/>
    <w:multiLevelType w:val="hybridMultilevel"/>
    <w:tmpl w:val="A45A7982"/>
    <w:lvl w:ilvl="0" w:tplc="3FA05EA4">
      <w:numFmt w:val="bullet"/>
      <w:lvlText w:val="•"/>
      <w:lvlJc w:val="left"/>
      <w:pPr>
        <w:ind w:left="1080" w:hanging="360"/>
      </w:pPr>
      <w:rPr>
        <w:rFonts w:ascii="Aptos" w:eastAsiaTheme="minorEastAsia" w:hAnsi="Apto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15:restartNumberingAfterBreak="0">
    <w:nsid w:val="32326087"/>
    <w:multiLevelType w:val="hybridMultilevel"/>
    <w:tmpl w:val="BEA8B6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32AF1AC2"/>
    <w:multiLevelType w:val="hybridMultilevel"/>
    <w:tmpl w:val="6DEA2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3254ADD"/>
    <w:multiLevelType w:val="hybridMultilevel"/>
    <w:tmpl w:val="87647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3503EEF"/>
    <w:multiLevelType w:val="hybridMultilevel"/>
    <w:tmpl w:val="2D4AC3C0"/>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2" w15:restartNumberingAfterBreak="0">
    <w:nsid w:val="33A21735"/>
    <w:multiLevelType w:val="hybridMultilevel"/>
    <w:tmpl w:val="27509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33C97163"/>
    <w:multiLevelType w:val="hybridMultilevel"/>
    <w:tmpl w:val="4348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33EC112B"/>
    <w:multiLevelType w:val="hybridMultilevel"/>
    <w:tmpl w:val="DA76A164"/>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34030EF4"/>
    <w:multiLevelType w:val="hybridMultilevel"/>
    <w:tmpl w:val="956002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340317E6"/>
    <w:multiLevelType w:val="hybridMultilevel"/>
    <w:tmpl w:val="8A7065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346E0D38"/>
    <w:multiLevelType w:val="hybridMultilevel"/>
    <w:tmpl w:val="7EEA74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34B36289"/>
    <w:multiLevelType w:val="hybridMultilevel"/>
    <w:tmpl w:val="FF5E7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35BA52C5"/>
    <w:multiLevelType w:val="hybridMultilevel"/>
    <w:tmpl w:val="24368ED2"/>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366744E9"/>
    <w:multiLevelType w:val="hybridMultilevel"/>
    <w:tmpl w:val="9F680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374766DF"/>
    <w:multiLevelType w:val="hybridMultilevel"/>
    <w:tmpl w:val="7B04BC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37A31AAE"/>
    <w:multiLevelType w:val="hybridMultilevel"/>
    <w:tmpl w:val="2FDA46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38751331"/>
    <w:multiLevelType w:val="hybridMultilevel"/>
    <w:tmpl w:val="FB6CE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87A5E3F"/>
    <w:multiLevelType w:val="hybridMultilevel"/>
    <w:tmpl w:val="3C307F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38D4553A"/>
    <w:multiLevelType w:val="hybridMultilevel"/>
    <w:tmpl w:val="D02EF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38DF02AC"/>
    <w:multiLevelType w:val="hybridMultilevel"/>
    <w:tmpl w:val="43F69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393E457D"/>
    <w:multiLevelType w:val="hybridMultilevel"/>
    <w:tmpl w:val="ADF8A49A"/>
    <w:lvl w:ilvl="0" w:tplc="0409000F">
      <w:start w:val="1"/>
      <w:numFmt w:val="decimal"/>
      <w:lvlText w:val="%1."/>
      <w:lvlJc w:val="left"/>
      <w:pPr>
        <w:ind w:left="720" w:hanging="360"/>
      </w:pPr>
    </w:lvl>
    <w:lvl w:ilvl="1" w:tplc="49CA536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39720EFF"/>
    <w:multiLevelType w:val="hybridMultilevel"/>
    <w:tmpl w:val="0FC67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39C03342"/>
    <w:multiLevelType w:val="hybridMultilevel"/>
    <w:tmpl w:val="756297A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3A836A0D"/>
    <w:multiLevelType w:val="hybridMultilevel"/>
    <w:tmpl w:val="6EBA3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3AEF2B01"/>
    <w:multiLevelType w:val="hybridMultilevel"/>
    <w:tmpl w:val="FC0E4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3B2833AC"/>
    <w:multiLevelType w:val="hybridMultilevel"/>
    <w:tmpl w:val="19566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3B6A1300"/>
    <w:multiLevelType w:val="hybridMultilevel"/>
    <w:tmpl w:val="2EE8D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3BBF3B7A"/>
    <w:multiLevelType w:val="hybridMultilevel"/>
    <w:tmpl w:val="E57A4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3BDA47CC"/>
    <w:multiLevelType w:val="hybridMultilevel"/>
    <w:tmpl w:val="44EC9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3C984780"/>
    <w:multiLevelType w:val="hybridMultilevel"/>
    <w:tmpl w:val="66CE7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3CD57BF4"/>
    <w:multiLevelType w:val="hybridMultilevel"/>
    <w:tmpl w:val="043A6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3D261BF4"/>
    <w:multiLevelType w:val="hybridMultilevel"/>
    <w:tmpl w:val="5148A9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3DD975D7"/>
    <w:multiLevelType w:val="hybridMultilevel"/>
    <w:tmpl w:val="F2FA0666"/>
    <w:lvl w:ilvl="0" w:tplc="3FA05EA4">
      <w:numFmt w:val="bullet"/>
      <w:lvlText w:val="•"/>
      <w:lvlJc w:val="left"/>
      <w:pPr>
        <w:ind w:left="1080" w:hanging="360"/>
      </w:pPr>
      <w:rPr>
        <w:rFonts w:ascii="Aptos" w:eastAsiaTheme="minorEastAsia" w:hAnsi="Apto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0" w15:restartNumberingAfterBreak="0">
    <w:nsid w:val="3E520726"/>
    <w:multiLevelType w:val="hybridMultilevel"/>
    <w:tmpl w:val="C1520F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3F112B02"/>
    <w:multiLevelType w:val="hybridMultilevel"/>
    <w:tmpl w:val="3916507A"/>
    <w:lvl w:ilvl="0" w:tplc="C1E2B356">
      <w:start w:val="1"/>
      <w:numFmt w:val="bullet"/>
      <w:lvlText w:val=""/>
      <w:lvlJc w:val="left"/>
      <w:pPr>
        <w:tabs>
          <w:tab w:val="num" w:pos="720"/>
        </w:tabs>
        <w:ind w:left="720" w:hanging="360"/>
      </w:pPr>
      <w:rPr>
        <w:rFonts w:ascii="Symbol" w:hAnsi="Symbol" w:hint="default"/>
      </w:rPr>
    </w:lvl>
    <w:lvl w:ilvl="1" w:tplc="7ACED42A" w:tentative="1">
      <w:start w:val="1"/>
      <w:numFmt w:val="bullet"/>
      <w:lvlText w:val=""/>
      <w:lvlJc w:val="left"/>
      <w:pPr>
        <w:tabs>
          <w:tab w:val="num" w:pos="1440"/>
        </w:tabs>
        <w:ind w:left="1440" w:hanging="360"/>
      </w:pPr>
      <w:rPr>
        <w:rFonts w:ascii="Symbol" w:hAnsi="Symbol" w:hint="default"/>
      </w:rPr>
    </w:lvl>
    <w:lvl w:ilvl="2" w:tplc="E3C8338A" w:tentative="1">
      <w:start w:val="1"/>
      <w:numFmt w:val="bullet"/>
      <w:lvlText w:val=""/>
      <w:lvlJc w:val="left"/>
      <w:pPr>
        <w:tabs>
          <w:tab w:val="num" w:pos="2160"/>
        </w:tabs>
        <w:ind w:left="2160" w:hanging="360"/>
      </w:pPr>
      <w:rPr>
        <w:rFonts w:ascii="Symbol" w:hAnsi="Symbol" w:hint="default"/>
      </w:rPr>
    </w:lvl>
    <w:lvl w:ilvl="3" w:tplc="C4E8A024" w:tentative="1">
      <w:start w:val="1"/>
      <w:numFmt w:val="bullet"/>
      <w:lvlText w:val=""/>
      <w:lvlJc w:val="left"/>
      <w:pPr>
        <w:tabs>
          <w:tab w:val="num" w:pos="2880"/>
        </w:tabs>
        <w:ind w:left="2880" w:hanging="360"/>
      </w:pPr>
      <w:rPr>
        <w:rFonts w:ascii="Symbol" w:hAnsi="Symbol" w:hint="default"/>
      </w:rPr>
    </w:lvl>
    <w:lvl w:ilvl="4" w:tplc="FAD09A58" w:tentative="1">
      <w:start w:val="1"/>
      <w:numFmt w:val="bullet"/>
      <w:lvlText w:val=""/>
      <w:lvlJc w:val="left"/>
      <w:pPr>
        <w:tabs>
          <w:tab w:val="num" w:pos="3600"/>
        </w:tabs>
        <w:ind w:left="3600" w:hanging="360"/>
      </w:pPr>
      <w:rPr>
        <w:rFonts w:ascii="Symbol" w:hAnsi="Symbol" w:hint="default"/>
      </w:rPr>
    </w:lvl>
    <w:lvl w:ilvl="5" w:tplc="D098EECC" w:tentative="1">
      <w:start w:val="1"/>
      <w:numFmt w:val="bullet"/>
      <w:lvlText w:val=""/>
      <w:lvlJc w:val="left"/>
      <w:pPr>
        <w:tabs>
          <w:tab w:val="num" w:pos="4320"/>
        </w:tabs>
        <w:ind w:left="4320" w:hanging="360"/>
      </w:pPr>
      <w:rPr>
        <w:rFonts w:ascii="Symbol" w:hAnsi="Symbol" w:hint="default"/>
      </w:rPr>
    </w:lvl>
    <w:lvl w:ilvl="6" w:tplc="B088F4A2" w:tentative="1">
      <w:start w:val="1"/>
      <w:numFmt w:val="bullet"/>
      <w:lvlText w:val=""/>
      <w:lvlJc w:val="left"/>
      <w:pPr>
        <w:tabs>
          <w:tab w:val="num" w:pos="5040"/>
        </w:tabs>
        <w:ind w:left="5040" w:hanging="360"/>
      </w:pPr>
      <w:rPr>
        <w:rFonts w:ascii="Symbol" w:hAnsi="Symbol" w:hint="default"/>
      </w:rPr>
    </w:lvl>
    <w:lvl w:ilvl="7" w:tplc="8DCC37D0" w:tentative="1">
      <w:start w:val="1"/>
      <w:numFmt w:val="bullet"/>
      <w:lvlText w:val=""/>
      <w:lvlJc w:val="left"/>
      <w:pPr>
        <w:tabs>
          <w:tab w:val="num" w:pos="5760"/>
        </w:tabs>
        <w:ind w:left="5760" w:hanging="360"/>
      </w:pPr>
      <w:rPr>
        <w:rFonts w:ascii="Symbol" w:hAnsi="Symbol" w:hint="default"/>
      </w:rPr>
    </w:lvl>
    <w:lvl w:ilvl="8" w:tplc="91CE301C" w:tentative="1">
      <w:start w:val="1"/>
      <w:numFmt w:val="bullet"/>
      <w:lvlText w:val=""/>
      <w:lvlJc w:val="left"/>
      <w:pPr>
        <w:tabs>
          <w:tab w:val="num" w:pos="6480"/>
        </w:tabs>
        <w:ind w:left="6480" w:hanging="360"/>
      </w:pPr>
      <w:rPr>
        <w:rFonts w:ascii="Symbol" w:hAnsi="Symbol" w:hint="default"/>
      </w:rPr>
    </w:lvl>
  </w:abstractNum>
  <w:abstractNum w:abstractNumId="192" w15:restartNumberingAfterBreak="0">
    <w:nsid w:val="3F3505E1"/>
    <w:multiLevelType w:val="hybridMultilevel"/>
    <w:tmpl w:val="7BF854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3F710A3A"/>
    <w:multiLevelType w:val="hybridMultilevel"/>
    <w:tmpl w:val="1F60EB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3F961D02"/>
    <w:multiLevelType w:val="hybridMultilevel"/>
    <w:tmpl w:val="FB327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3FD476BD"/>
    <w:multiLevelType w:val="hybridMultilevel"/>
    <w:tmpl w:val="01A67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3FF55822"/>
    <w:multiLevelType w:val="hybridMultilevel"/>
    <w:tmpl w:val="C2B2B3A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7" w15:restartNumberingAfterBreak="0">
    <w:nsid w:val="40007B25"/>
    <w:multiLevelType w:val="hybridMultilevel"/>
    <w:tmpl w:val="1F7E7E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401238A1"/>
    <w:multiLevelType w:val="hybridMultilevel"/>
    <w:tmpl w:val="7BC81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406235E9"/>
    <w:multiLevelType w:val="hybridMultilevel"/>
    <w:tmpl w:val="BC1AB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408E433C"/>
    <w:multiLevelType w:val="hybridMultilevel"/>
    <w:tmpl w:val="3B103AF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40AE0D0D"/>
    <w:multiLevelType w:val="hybridMultilevel"/>
    <w:tmpl w:val="BB368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14D775C"/>
    <w:multiLevelType w:val="hybridMultilevel"/>
    <w:tmpl w:val="D2F6C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41E372A0"/>
    <w:multiLevelType w:val="hybridMultilevel"/>
    <w:tmpl w:val="46F6D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41EF319A"/>
    <w:multiLevelType w:val="hybridMultilevel"/>
    <w:tmpl w:val="3974A708"/>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42171BE1"/>
    <w:multiLevelType w:val="hybridMultilevel"/>
    <w:tmpl w:val="C9044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4232475A"/>
    <w:multiLevelType w:val="hybridMultilevel"/>
    <w:tmpl w:val="37E01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42707447"/>
    <w:multiLevelType w:val="hybridMultilevel"/>
    <w:tmpl w:val="4E1848D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8" w15:restartNumberingAfterBreak="0">
    <w:nsid w:val="42AD1CFC"/>
    <w:multiLevelType w:val="hybridMultilevel"/>
    <w:tmpl w:val="38DA4D2E"/>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9" w15:restartNumberingAfterBreak="0">
    <w:nsid w:val="430C76C1"/>
    <w:multiLevelType w:val="hybridMultilevel"/>
    <w:tmpl w:val="0EECB10E"/>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43427EB3"/>
    <w:multiLevelType w:val="hybridMultilevel"/>
    <w:tmpl w:val="B9F46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43A70D58"/>
    <w:multiLevelType w:val="hybridMultilevel"/>
    <w:tmpl w:val="1E109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43E02E5E"/>
    <w:multiLevelType w:val="hybridMultilevel"/>
    <w:tmpl w:val="0E9A7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44094C16"/>
    <w:multiLevelType w:val="hybridMultilevel"/>
    <w:tmpl w:val="6C4C3D4E"/>
    <w:lvl w:ilvl="0" w:tplc="3FA05EA4">
      <w:numFmt w:val="bullet"/>
      <w:lvlText w:val="•"/>
      <w:lvlJc w:val="left"/>
      <w:pPr>
        <w:ind w:left="1080" w:hanging="360"/>
      </w:pPr>
      <w:rPr>
        <w:rFonts w:ascii="Aptos" w:eastAsiaTheme="minorEastAsia" w:hAnsi="Apto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4" w15:restartNumberingAfterBreak="0">
    <w:nsid w:val="44401C62"/>
    <w:multiLevelType w:val="hybridMultilevel"/>
    <w:tmpl w:val="422E6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45075DB6"/>
    <w:multiLevelType w:val="hybridMultilevel"/>
    <w:tmpl w:val="C0D403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45330270"/>
    <w:multiLevelType w:val="hybridMultilevel"/>
    <w:tmpl w:val="86E6A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45AE6FB2"/>
    <w:multiLevelType w:val="hybridMultilevel"/>
    <w:tmpl w:val="C090E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45D967B8"/>
    <w:multiLevelType w:val="hybridMultilevel"/>
    <w:tmpl w:val="96DCF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45F76259"/>
    <w:multiLevelType w:val="hybridMultilevel"/>
    <w:tmpl w:val="9224E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46BF4975"/>
    <w:multiLevelType w:val="hybridMultilevel"/>
    <w:tmpl w:val="91143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46C94AA8"/>
    <w:multiLevelType w:val="hybridMultilevel"/>
    <w:tmpl w:val="4C0CBC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46DF1928"/>
    <w:multiLevelType w:val="hybridMultilevel"/>
    <w:tmpl w:val="922C2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475A1144"/>
    <w:multiLevelType w:val="hybridMultilevel"/>
    <w:tmpl w:val="3DDC8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47927DFE"/>
    <w:multiLevelType w:val="hybridMultilevel"/>
    <w:tmpl w:val="8CFE9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47AA7E93"/>
    <w:multiLevelType w:val="hybridMultilevel"/>
    <w:tmpl w:val="652A9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47D925E1"/>
    <w:multiLevelType w:val="hybridMultilevel"/>
    <w:tmpl w:val="D59EC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47E44B2B"/>
    <w:multiLevelType w:val="hybridMultilevel"/>
    <w:tmpl w:val="DA42D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47E73AC9"/>
    <w:multiLevelType w:val="hybridMultilevel"/>
    <w:tmpl w:val="D36084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48E13023"/>
    <w:multiLevelType w:val="hybridMultilevel"/>
    <w:tmpl w:val="B9CEA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497308E4"/>
    <w:multiLevelType w:val="hybridMultilevel"/>
    <w:tmpl w:val="79B0C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49964556"/>
    <w:multiLevelType w:val="hybridMultilevel"/>
    <w:tmpl w:val="6E8667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4A0143D6"/>
    <w:multiLevelType w:val="hybridMultilevel"/>
    <w:tmpl w:val="91D629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4B345401"/>
    <w:multiLevelType w:val="hybridMultilevel"/>
    <w:tmpl w:val="C1E62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4BCB67CF"/>
    <w:multiLevelType w:val="hybridMultilevel"/>
    <w:tmpl w:val="5E8C8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4C0346A4"/>
    <w:multiLevelType w:val="hybridMultilevel"/>
    <w:tmpl w:val="91FAA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4C174A12"/>
    <w:multiLevelType w:val="hybridMultilevel"/>
    <w:tmpl w:val="93E416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4C645B73"/>
    <w:multiLevelType w:val="hybridMultilevel"/>
    <w:tmpl w:val="47944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4C971504"/>
    <w:multiLevelType w:val="hybridMultilevel"/>
    <w:tmpl w:val="F3E4F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4CE24321"/>
    <w:multiLevelType w:val="hybridMultilevel"/>
    <w:tmpl w:val="567078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0" w15:restartNumberingAfterBreak="0">
    <w:nsid w:val="4CEB09FD"/>
    <w:multiLevelType w:val="hybridMultilevel"/>
    <w:tmpl w:val="CE1454A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1" w15:restartNumberingAfterBreak="0">
    <w:nsid w:val="4CFB6C8C"/>
    <w:multiLevelType w:val="hybridMultilevel"/>
    <w:tmpl w:val="26AC1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4D784789"/>
    <w:multiLevelType w:val="hybridMultilevel"/>
    <w:tmpl w:val="2368AF9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4D9C2843"/>
    <w:multiLevelType w:val="hybridMultilevel"/>
    <w:tmpl w:val="ACCCBF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4D9D4FE1"/>
    <w:multiLevelType w:val="hybridMultilevel"/>
    <w:tmpl w:val="85A0BD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4E3D46E7"/>
    <w:multiLevelType w:val="hybridMultilevel"/>
    <w:tmpl w:val="849AA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4E433193"/>
    <w:multiLevelType w:val="hybridMultilevel"/>
    <w:tmpl w:val="065E8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4F430CBF"/>
    <w:multiLevelType w:val="hybridMultilevel"/>
    <w:tmpl w:val="736E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4F9018C5"/>
    <w:multiLevelType w:val="hybridMultilevel"/>
    <w:tmpl w:val="E0A23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4FF36AE4"/>
    <w:multiLevelType w:val="hybridMultilevel"/>
    <w:tmpl w:val="CDCEF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506F0574"/>
    <w:multiLevelType w:val="hybridMultilevel"/>
    <w:tmpl w:val="BC384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509D6443"/>
    <w:multiLevelType w:val="hybridMultilevel"/>
    <w:tmpl w:val="3FD42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509F3892"/>
    <w:multiLevelType w:val="hybridMultilevel"/>
    <w:tmpl w:val="F6CA4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50A92327"/>
    <w:multiLevelType w:val="hybridMultilevel"/>
    <w:tmpl w:val="6B9CC5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50C4483A"/>
    <w:multiLevelType w:val="hybridMultilevel"/>
    <w:tmpl w:val="49FE2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0F175E9"/>
    <w:multiLevelType w:val="hybridMultilevel"/>
    <w:tmpl w:val="0A56F68C"/>
    <w:lvl w:ilvl="0" w:tplc="0409000F">
      <w:start w:val="1"/>
      <w:numFmt w:val="decimal"/>
      <w:lvlText w:val="%1."/>
      <w:lvlJc w:val="left"/>
      <w:pPr>
        <w:ind w:left="720" w:hanging="360"/>
      </w:pPr>
    </w:lvl>
    <w:lvl w:ilvl="1" w:tplc="F1D4181C">
      <w:numFmt w:val="bullet"/>
      <w:lvlText w:val="–"/>
      <w:lvlJc w:val="left"/>
      <w:pPr>
        <w:ind w:left="1440" w:hanging="360"/>
      </w:pPr>
      <w:rPr>
        <w:rFonts w:ascii="Calibri" w:eastAsiaTheme="minorEastAsia"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15:restartNumberingAfterBreak="0">
    <w:nsid w:val="517F4044"/>
    <w:multiLevelType w:val="hybridMultilevel"/>
    <w:tmpl w:val="62D03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51894276"/>
    <w:multiLevelType w:val="hybridMultilevel"/>
    <w:tmpl w:val="C8E0F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518A64A2"/>
    <w:multiLevelType w:val="hybridMultilevel"/>
    <w:tmpl w:val="AE1E310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9" w15:restartNumberingAfterBreak="0">
    <w:nsid w:val="51B4314E"/>
    <w:multiLevelType w:val="hybridMultilevel"/>
    <w:tmpl w:val="632C1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51C947F4"/>
    <w:multiLevelType w:val="hybridMultilevel"/>
    <w:tmpl w:val="232E2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51E44C66"/>
    <w:multiLevelType w:val="hybridMultilevel"/>
    <w:tmpl w:val="699CF0A8"/>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52234E74"/>
    <w:multiLevelType w:val="hybridMultilevel"/>
    <w:tmpl w:val="0338C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525A0B47"/>
    <w:multiLevelType w:val="hybridMultilevel"/>
    <w:tmpl w:val="C5B68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52A6758F"/>
    <w:multiLevelType w:val="hybridMultilevel"/>
    <w:tmpl w:val="8B8AB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52BA6FD2"/>
    <w:multiLevelType w:val="hybridMultilevel"/>
    <w:tmpl w:val="538A3C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15:restartNumberingAfterBreak="0">
    <w:nsid w:val="52F55205"/>
    <w:multiLevelType w:val="hybridMultilevel"/>
    <w:tmpl w:val="947CC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530A732C"/>
    <w:multiLevelType w:val="hybridMultilevel"/>
    <w:tmpl w:val="7FE62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53163BBC"/>
    <w:multiLevelType w:val="hybridMultilevel"/>
    <w:tmpl w:val="4A8A06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9" w15:restartNumberingAfterBreak="0">
    <w:nsid w:val="535361D8"/>
    <w:multiLevelType w:val="hybridMultilevel"/>
    <w:tmpl w:val="EC16A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53633D5C"/>
    <w:multiLevelType w:val="hybridMultilevel"/>
    <w:tmpl w:val="09345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53714F45"/>
    <w:multiLevelType w:val="hybridMultilevel"/>
    <w:tmpl w:val="8E5E1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54464C79"/>
    <w:multiLevelType w:val="hybridMultilevel"/>
    <w:tmpl w:val="0BE6FA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15:restartNumberingAfterBreak="0">
    <w:nsid w:val="550909E8"/>
    <w:multiLevelType w:val="hybridMultilevel"/>
    <w:tmpl w:val="6E44B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55294D67"/>
    <w:multiLevelType w:val="hybridMultilevel"/>
    <w:tmpl w:val="4198B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55D04E64"/>
    <w:multiLevelType w:val="hybridMultilevel"/>
    <w:tmpl w:val="24DC84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568E44DD"/>
    <w:multiLevelType w:val="hybridMultilevel"/>
    <w:tmpl w:val="E2547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56BD65F7"/>
    <w:multiLevelType w:val="hybridMultilevel"/>
    <w:tmpl w:val="15CEF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56E84339"/>
    <w:multiLevelType w:val="hybridMultilevel"/>
    <w:tmpl w:val="26F86C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5705142D"/>
    <w:multiLevelType w:val="hybridMultilevel"/>
    <w:tmpl w:val="7F0ED7AA"/>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570815EB"/>
    <w:multiLevelType w:val="hybridMultilevel"/>
    <w:tmpl w:val="1EE23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570C2792"/>
    <w:multiLevelType w:val="hybridMultilevel"/>
    <w:tmpl w:val="94527C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15:restartNumberingAfterBreak="0">
    <w:nsid w:val="57214BFF"/>
    <w:multiLevelType w:val="hybridMultilevel"/>
    <w:tmpl w:val="6F14D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573B2D19"/>
    <w:multiLevelType w:val="hybridMultilevel"/>
    <w:tmpl w:val="C00ADE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575179D4"/>
    <w:multiLevelType w:val="hybridMultilevel"/>
    <w:tmpl w:val="0A56F68C"/>
    <w:lvl w:ilvl="0" w:tplc="0409000F">
      <w:start w:val="1"/>
      <w:numFmt w:val="decimal"/>
      <w:lvlText w:val="%1."/>
      <w:lvlJc w:val="left"/>
      <w:pPr>
        <w:ind w:left="720" w:hanging="360"/>
      </w:pPr>
    </w:lvl>
    <w:lvl w:ilvl="1" w:tplc="F1D4181C">
      <w:numFmt w:val="bullet"/>
      <w:lvlText w:val="–"/>
      <w:lvlJc w:val="left"/>
      <w:pPr>
        <w:ind w:left="1440" w:hanging="360"/>
      </w:pPr>
      <w:rPr>
        <w:rFonts w:ascii="Calibri" w:eastAsiaTheme="minorEastAsia"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57BB63B8"/>
    <w:multiLevelType w:val="hybridMultilevel"/>
    <w:tmpl w:val="9508E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58673C47"/>
    <w:multiLevelType w:val="hybridMultilevel"/>
    <w:tmpl w:val="80CEC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587D7E7E"/>
    <w:multiLevelType w:val="hybridMultilevel"/>
    <w:tmpl w:val="04521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589F021F"/>
    <w:multiLevelType w:val="hybridMultilevel"/>
    <w:tmpl w:val="351CC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58FC758F"/>
    <w:multiLevelType w:val="hybridMultilevel"/>
    <w:tmpl w:val="76D07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58FF6AAD"/>
    <w:multiLevelType w:val="hybridMultilevel"/>
    <w:tmpl w:val="644A0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596E2277"/>
    <w:multiLevelType w:val="hybridMultilevel"/>
    <w:tmpl w:val="BBA07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599C7394"/>
    <w:multiLevelType w:val="hybridMultilevel"/>
    <w:tmpl w:val="9A482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5A0539F1"/>
    <w:multiLevelType w:val="hybridMultilevel"/>
    <w:tmpl w:val="04BABC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15:restartNumberingAfterBreak="0">
    <w:nsid w:val="5A0953CF"/>
    <w:multiLevelType w:val="hybridMultilevel"/>
    <w:tmpl w:val="986E23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5" w15:restartNumberingAfterBreak="0">
    <w:nsid w:val="5A386CD2"/>
    <w:multiLevelType w:val="hybridMultilevel"/>
    <w:tmpl w:val="12D02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15:restartNumberingAfterBreak="0">
    <w:nsid w:val="5A8C77F4"/>
    <w:multiLevelType w:val="hybridMultilevel"/>
    <w:tmpl w:val="60FC2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5B1509C7"/>
    <w:multiLevelType w:val="hybridMultilevel"/>
    <w:tmpl w:val="76B09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5B2140BD"/>
    <w:multiLevelType w:val="hybridMultilevel"/>
    <w:tmpl w:val="8BC0C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15:restartNumberingAfterBreak="0">
    <w:nsid w:val="5B6C75E7"/>
    <w:multiLevelType w:val="hybridMultilevel"/>
    <w:tmpl w:val="F2B0D5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5BB73EC0"/>
    <w:multiLevelType w:val="hybridMultilevel"/>
    <w:tmpl w:val="34645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5BC966AF"/>
    <w:multiLevelType w:val="hybridMultilevel"/>
    <w:tmpl w:val="4B08D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5C323C19"/>
    <w:multiLevelType w:val="hybridMultilevel"/>
    <w:tmpl w:val="8910D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5CCF48C5"/>
    <w:multiLevelType w:val="hybridMultilevel"/>
    <w:tmpl w:val="EC7AA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5CFF5AF8"/>
    <w:multiLevelType w:val="hybridMultilevel"/>
    <w:tmpl w:val="5756E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15:restartNumberingAfterBreak="0">
    <w:nsid w:val="5D315E43"/>
    <w:multiLevelType w:val="hybridMultilevel"/>
    <w:tmpl w:val="E81E4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5DA13681"/>
    <w:multiLevelType w:val="hybridMultilevel"/>
    <w:tmpl w:val="59487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5DCE7D2F"/>
    <w:multiLevelType w:val="hybridMultilevel"/>
    <w:tmpl w:val="9F48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15:restartNumberingAfterBreak="0">
    <w:nsid w:val="5DE30F23"/>
    <w:multiLevelType w:val="hybridMultilevel"/>
    <w:tmpl w:val="C6A4FF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15:restartNumberingAfterBreak="0">
    <w:nsid w:val="5E3428FE"/>
    <w:multiLevelType w:val="hybridMultilevel"/>
    <w:tmpl w:val="AF76F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5E467069"/>
    <w:multiLevelType w:val="hybridMultilevel"/>
    <w:tmpl w:val="9DDC9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5EDE47A1"/>
    <w:multiLevelType w:val="hybridMultilevel"/>
    <w:tmpl w:val="80BAC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5EED79F8"/>
    <w:multiLevelType w:val="hybridMultilevel"/>
    <w:tmpl w:val="D2FA49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3" w15:restartNumberingAfterBreak="0">
    <w:nsid w:val="5F3F450E"/>
    <w:multiLevelType w:val="hybridMultilevel"/>
    <w:tmpl w:val="B4ACC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5FCB31BC"/>
    <w:multiLevelType w:val="hybridMultilevel"/>
    <w:tmpl w:val="7CEAB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5FEA4CDC"/>
    <w:multiLevelType w:val="hybridMultilevel"/>
    <w:tmpl w:val="CEFAD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605435CA"/>
    <w:multiLevelType w:val="hybridMultilevel"/>
    <w:tmpl w:val="7B38919A"/>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613B5579"/>
    <w:multiLevelType w:val="hybridMultilevel"/>
    <w:tmpl w:val="AABA2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616D63B7"/>
    <w:multiLevelType w:val="hybridMultilevel"/>
    <w:tmpl w:val="54F0E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15:restartNumberingAfterBreak="0">
    <w:nsid w:val="616E7E43"/>
    <w:multiLevelType w:val="hybridMultilevel"/>
    <w:tmpl w:val="3B42A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61FC4EF8"/>
    <w:multiLevelType w:val="hybridMultilevel"/>
    <w:tmpl w:val="A432A4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15:restartNumberingAfterBreak="0">
    <w:nsid w:val="621E5F15"/>
    <w:multiLevelType w:val="hybridMultilevel"/>
    <w:tmpl w:val="0938E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63185A0D"/>
    <w:multiLevelType w:val="hybridMultilevel"/>
    <w:tmpl w:val="FE6043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633B1C74"/>
    <w:multiLevelType w:val="hybridMultilevel"/>
    <w:tmpl w:val="6D9446D4"/>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63657836"/>
    <w:multiLevelType w:val="hybridMultilevel"/>
    <w:tmpl w:val="0D04B1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63766382"/>
    <w:multiLevelType w:val="hybridMultilevel"/>
    <w:tmpl w:val="8CCC0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15:restartNumberingAfterBreak="0">
    <w:nsid w:val="63B44BD5"/>
    <w:multiLevelType w:val="hybridMultilevel"/>
    <w:tmpl w:val="C06C8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63DB1C0E"/>
    <w:multiLevelType w:val="hybridMultilevel"/>
    <w:tmpl w:val="E1088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15:restartNumberingAfterBreak="0">
    <w:nsid w:val="63E62FD6"/>
    <w:multiLevelType w:val="hybridMultilevel"/>
    <w:tmpl w:val="738AF976"/>
    <w:lvl w:ilvl="0" w:tplc="0409000F">
      <w:start w:val="1"/>
      <w:numFmt w:val="decimal"/>
      <w:lvlText w:val="%1."/>
      <w:lvlJc w:val="left"/>
      <w:pPr>
        <w:ind w:left="720" w:hanging="360"/>
      </w:pPr>
    </w:lvl>
    <w:lvl w:ilvl="1" w:tplc="E916872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15:restartNumberingAfterBreak="0">
    <w:nsid w:val="640B3511"/>
    <w:multiLevelType w:val="hybridMultilevel"/>
    <w:tmpl w:val="F424A4EE"/>
    <w:lvl w:ilvl="0" w:tplc="C91E3496">
      <w:start w:val="1"/>
      <w:numFmt w:val="bullet"/>
      <w:lvlText w:val=""/>
      <w:lvlJc w:val="left"/>
      <w:pPr>
        <w:tabs>
          <w:tab w:val="num" w:pos="720"/>
        </w:tabs>
        <w:ind w:left="720" w:hanging="360"/>
      </w:pPr>
      <w:rPr>
        <w:rFonts w:ascii="Symbol" w:hAnsi="Symbol" w:hint="default"/>
      </w:rPr>
    </w:lvl>
    <w:lvl w:ilvl="1" w:tplc="ED6A9CCC" w:tentative="1">
      <w:start w:val="1"/>
      <w:numFmt w:val="bullet"/>
      <w:lvlText w:val=""/>
      <w:lvlJc w:val="left"/>
      <w:pPr>
        <w:tabs>
          <w:tab w:val="num" w:pos="1440"/>
        </w:tabs>
        <w:ind w:left="1440" w:hanging="360"/>
      </w:pPr>
      <w:rPr>
        <w:rFonts w:ascii="Symbol" w:hAnsi="Symbol" w:hint="default"/>
      </w:rPr>
    </w:lvl>
    <w:lvl w:ilvl="2" w:tplc="B63E1928" w:tentative="1">
      <w:start w:val="1"/>
      <w:numFmt w:val="bullet"/>
      <w:lvlText w:val=""/>
      <w:lvlJc w:val="left"/>
      <w:pPr>
        <w:tabs>
          <w:tab w:val="num" w:pos="2160"/>
        </w:tabs>
        <w:ind w:left="2160" w:hanging="360"/>
      </w:pPr>
      <w:rPr>
        <w:rFonts w:ascii="Symbol" w:hAnsi="Symbol" w:hint="default"/>
      </w:rPr>
    </w:lvl>
    <w:lvl w:ilvl="3" w:tplc="82B4D838" w:tentative="1">
      <w:start w:val="1"/>
      <w:numFmt w:val="bullet"/>
      <w:lvlText w:val=""/>
      <w:lvlJc w:val="left"/>
      <w:pPr>
        <w:tabs>
          <w:tab w:val="num" w:pos="2880"/>
        </w:tabs>
        <w:ind w:left="2880" w:hanging="360"/>
      </w:pPr>
      <w:rPr>
        <w:rFonts w:ascii="Symbol" w:hAnsi="Symbol" w:hint="default"/>
      </w:rPr>
    </w:lvl>
    <w:lvl w:ilvl="4" w:tplc="83B072C0" w:tentative="1">
      <w:start w:val="1"/>
      <w:numFmt w:val="bullet"/>
      <w:lvlText w:val=""/>
      <w:lvlJc w:val="left"/>
      <w:pPr>
        <w:tabs>
          <w:tab w:val="num" w:pos="3600"/>
        </w:tabs>
        <w:ind w:left="3600" w:hanging="360"/>
      </w:pPr>
      <w:rPr>
        <w:rFonts w:ascii="Symbol" w:hAnsi="Symbol" w:hint="default"/>
      </w:rPr>
    </w:lvl>
    <w:lvl w:ilvl="5" w:tplc="C53064DC" w:tentative="1">
      <w:start w:val="1"/>
      <w:numFmt w:val="bullet"/>
      <w:lvlText w:val=""/>
      <w:lvlJc w:val="left"/>
      <w:pPr>
        <w:tabs>
          <w:tab w:val="num" w:pos="4320"/>
        </w:tabs>
        <w:ind w:left="4320" w:hanging="360"/>
      </w:pPr>
      <w:rPr>
        <w:rFonts w:ascii="Symbol" w:hAnsi="Symbol" w:hint="default"/>
      </w:rPr>
    </w:lvl>
    <w:lvl w:ilvl="6" w:tplc="A6DCF776" w:tentative="1">
      <w:start w:val="1"/>
      <w:numFmt w:val="bullet"/>
      <w:lvlText w:val=""/>
      <w:lvlJc w:val="left"/>
      <w:pPr>
        <w:tabs>
          <w:tab w:val="num" w:pos="5040"/>
        </w:tabs>
        <w:ind w:left="5040" w:hanging="360"/>
      </w:pPr>
      <w:rPr>
        <w:rFonts w:ascii="Symbol" w:hAnsi="Symbol" w:hint="default"/>
      </w:rPr>
    </w:lvl>
    <w:lvl w:ilvl="7" w:tplc="F7A88AA0" w:tentative="1">
      <w:start w:val="1"/>
      <w:numFmt w:val="bullet"/>
      <w:lvlText w:val=""/>
      <w:lvlJc w:val="left"/>
      <w:pPr>
        <w:tabs>
          <w:tab w:val="num" w:pos="5760"/>
        </w:tabs>
        <w:ind w:left="5760" w:hanging="360"/>
      </w:pPr>
      <w:rPr>
        <w:rFonts w:ascii="Symbol" w:hAnsi="Symbol" w:hint="default"/>
      </w:rPr>
    </w:lvl>
    <w:lvl w:ilvl="8" w:tplc="89F2AF3A" w:tentative="1">
      <w:start w:val="1"/>
      <w:numFmt w:val="bullet"/>
      <w:lvlText w:val=""/>
      <w:lvlJc w:val="left"/>
      <w:pPr>
        <w:tabs>
          <w:tab w:val="num" w:pos="6480"/>
        </w:tabs>
        <w:ind w:left="6480" w:hanging="360"/>
      </w:pPr>
      <w:rPr>
        <w:rFonts w:ascii="Symbol" w:hAnsi="Symbol" w:hint="default"/>
      </w:rPr>
    </w:lvl>
  </w:abstractNum>
  <w:abstractNum w:abstractNumId="330" w15:restartNumberingAfterBreak="0">
    <w:nsid w:val="642E12F8"/>
    <w:multiLevelType w:val="hybridMultilevel"/>
    <w:tmpl w:val="C444E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6435215D"/>
    <w:multiLevelType w:val="hybridMultilevel"/>
    <w:tmpl w:val="2E7A5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646660D2"/>
    <w:multiLevelType w:val="hybridMultilevel"/>
    <w:tmpl w:val="3D7AD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647F3646"/>
    <w:multiLevelType w:val="hybridMultilevel"/>
    <w:tmpl w:val="D522F7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15:restartNumberingAfterBreak="0">
    <w:nsid w:val="648226F2"/>
    <w:multiLevelType w:val="hybridMultilevel"/>
    <w:tmpl w:val="770A5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64A72E2E"/>
    <w:multiLevelType w:val="hybridMultilevel"/>
    <w:tmpl w:val="8B524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65071784"/>
    <w:multiLevelType w:val="hybridMultilevel"/>
    <w:tmpl w:val="C4906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654A1FFF"/>
    <w:multiLevelType w:val="hybridMultilevel"/>
    <w:tmpl w:val="63EA8416"/>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15:restartNumberingAfterBreak="0">
    <w:nsid w:val="664F3759"/>
    <w:multiLevelType w:val="hybridMultilevel"/>
    <w:tmpl w:val="247C0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15:restartNumberingAfterBreak="0">
    <w:nsid w:val="67EE6252"/>
    <w:multiLevelType w:val="hybridMultilevel"/>
    <w:tmpl w:val="39FCE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15:restartNumberingAfterBreak="0">
    <w:nsid w:val="68013951"/>
    <w:multiLevelType w:val="hybridMultilevel"/>
    <w:tmpl w:val="37506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15:restartNumberingAfterBreak="0">
    <w:nsid w:val="6888743B"/>
    <w:multiLevelType w:val="hybridMultilevel"/>
    <w:tmpl w:val="7C1CBA10"/>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15:restartNumberingAfterBreak="0">
    <w:nsid w:val="695810DE"/>
    <w:multiLevelType w:val="hybridMultilevel"/>
    <w:tmpl w:val="90161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15:restartNumberingAfterBreak="0">
    <w:nsid w:val="69B0572A"/>
    <w:multiLevelType w:val="hybridMultilevel"/>
    <w:tmpl w:val="5CA81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15:restartNumberingAfterBreak="0">
    <w:nsid w:val="69E66D31"/>
    <w:multiLevelType w:val="hybridMultilevel"/>
    <w:tmpl w:val="78E44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15:restartNumberingAfterBreak="0">
    <w:nsid w:val="69EE0DD1"/>
    <w:multiLevelType w:val="hybridMultilevel"/>
    <w:tmpl w:val="7B5277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6" w15:restartNumberingAfterBreak="0">
    <w:nsid w:val="6A40547F"/>
    <w:multiLevelType w:val="hybridMultilevel"/>
    <w:tmpl w:val="83389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15:restartNumberingAfterBreak="0">
    <w:nsid w:val="6A4353C5"/>
    <w:multiLevelType w:val="hybridMultilevel"/>
    <w:tmpl w:val="D81AE5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6A4B13CE"/>
    <w:multiLevelType w:val="hybridMultilevel"/>
    <w:tmpl w:val="ED1C0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6A7440E7"/>
    <w:multiLevelType w:val="hybridMultilevel"/>
    <w:tmpl w:val="32B00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15:restartNumberingAfterBreak="0">
    <w:nsid w:val="6A9E7C02"/>
    <w:multiLevelType w:val="hybridMultilevel"/>
    <w:tmpl w:val="7C36B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6ABD1B3C"/>
    <w:multiLevelType w:val="hybridMultilevel"/>
    <w:tmpl w:val="F5C8B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15:restartNumberingAfterBreak="0">
    <w:nsid w:val="6ABE50D8"/>
    <w:multiLevelType w:val="hybridMultilevel"/>
    <w:tmpl w:val="55004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15:restartNumberingAfterBreak="0">
    <w:nsid w:val="6AFE52C9"/>
    <w:multiLevelType w:val="hybridMultilevel"/>
    <w:tmpl w:val="6CBA8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15:restartNumberingAfterBreak="0">
    <w:nsid w:val="6B487A9E"/>
    <w:multiLevelType w:val="hybridMultilevel"/>
    <w:tmpl w:val="ADD43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6B6C4FC7"/>
    <w:multiLevelType w:val="hybridMultilevel"/>
    <w:tmpl w:val="BB66E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15:restartNumberingAfterBreak="0">
    <w:nsid w:val="6B9E68FB"/>
    <w:multiLevelType w:val="hybridMultilevel"/>
    <w:tmpl w:val="7B9A2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7" w15:restartNumberingAfterBreak="0">
    <w:nsid w:val="6BE9153F"/>
    <w:multiLevelType w:val="hybridMultilevel"/>
    <w:tmpl w:val="AFE68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8" w15:restartNumberingAfterBreak="0">
    <w:nsid w:val="6C571032"/>
    <w:multiLevelType w:val="hybridMultilevel"/>
    <w:tmpl w:val="19AC1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9" w15:restartNumberingAfterBreak="0">
    <w:nsid w:val="6C77685F"/>
    <w:multiLevelType w:val="hybridMultilevel"/>
    <w:tmpl w:val="C8E6C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0" w15:restartNumberingAfterBreak="0">
    <w:nsid w:val="6CAB3BE1"/>
    <w:multiLevelType w:val="hybridMultilevel"/>
    <w:tmpl w:val="AE046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6CAF3C39"/>
    <w:multiLevelType w:val="hybridMultilevel"/>
    <w:tmpl w:val="4ECA1D8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2" w15:restartNumberingAfterBreak="0">
    <w:nsid w:val="6D286FA1"/>
    <w:multiLevelType w:val="hybridMultilevel"/>
    <w:tmpl w:val="AB705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15:restartNumberingAfterBreak="0">
    <w:nsid w:val="6D7C6DFD"/>
    <w:multiLevelType w:val="hybridMultilevel"/>
    <w:tmpl w:val="88F6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6DB62B11"/>
    <w:multiLevelType w:val="hybridMultilevel"/>
    <w:tmpl w:val="1CB6D45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5" w15:restartNumberingAfterBreak="0">
    <w:nsid w:val="6DC20837"/>
    <w:multiLevelType w:val="hybridMultilevel"/>
    <w:tmpl w:val="AAE82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6" w15:restartNumberingAfterBreak="0">
    <w:nsid w:val="6E00541C"/>
    <w:multiLevelType w:val="hybridMultilevel"/>
    <w:tmpl w:val="1D221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6E30739D"/>
    <w:multiLevelType w:val="hybridMultilevel"/>
    <w:tmpl w:val="37BC8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8" w15:restartNumberingAfterBreak="0">
    <w:nsid w:val="6E865EAD"/>
    <w:multiLevelType w:val="hybridMultilevel"/>
    <w:tmpl w:val="C7269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9" w15:restartNumberingAfterBreak="0">
    <w:nsid w:val="6E9234E0"/>
    <w:multiLevelType w:val="hybridMultilevel"/>
    <w:tmpl w:val="8C505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15:restartNumberingAfterBreak="0">
    <w:nsid w:val="6EB97E6F"/>
    <w:multiLevelType w:val="hybridMultilevel"/>
    <w:tmpl w:val="5B4AA6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1" w15:restartNumberingAfterBreak="0">
    <w:nsid w:val="6ED47D00"/>
    <w:multiLevelType w:val="hybridMultilevel"/>
    <w:tmpl w:val="6A582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15:restartNumberingAfterBreak="0">
    <w:nsid w:val="6EF9110E"/>
    <w:multiLevelType w:val="hybridMultilevel"/>
    <w:tmpl w:val="D57ED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3" w15:restartNumberingAfterBreak="0">
    <w:nsid w:val="6F061547"/>
    <w:multiLevelType w:val="hybridMultilevel"/>
    <w:tmpl w:val="FB4A0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15:restartNumberingAfterBreak="0">
    <w:nsid w:val="6F3C2D86"/>
    <w:multiLevelType w:val="hybridMultilevel"/>
    <w:tmpl w:val="3604A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15:restartNumberingAfterBreak="0">
    <w:nsid w:val="6F4D2CB3"/>
    <w:multiLevelType w:val="hybridMultilevel"/>
    <w:tmpl w:val="310E5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15:restartNumberingAfterBreak="0">
    <w:nsid w:val="6F542614"/>
    <w:multiLevelType w:val="hybridMultilevel"/>
    <w:tmpl w:val="233040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6FC07934"/>
    <w:multiLevelType w:val="hybridMultilevel"/>
    <w:tmpl w:val="4A9CA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15:restartNumberingAfterBreak="0">
    <w:nsid w:val="70862638"/>
    <w:multiLevelType w:val="hybridMultilevel"/>
    <w:tmpl w:val="EFBEE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9" w15:restartNumberingAfterBreak="0">
    <w:nsid w:val="708A1AFF"/>
    <w:multiLevelType w:val="hybridMultilevel"/>
    <w:tmpl w:val="AE825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15:restartNumberingAfterBreak="0">
    <w:nsid w:val="70937D40"/>
    <w:multiLevelType w:val="hybridMultilevel"/>
    <w:tmpl w:val="8E1E7C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15:restartNumberingAfterBreak="0">
    <w:nsid w:val="70B50E97"/>
    <w:multiLevelType w:val="hybridMultilevel"/>
    <w:tmpl w:val="F5D6A2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15:restartNumberingAfterBreak="0">
    <w:nsid w:val="70D14C3B"/>
    <w:multiLevelType w:val="hybridMultilevel"/>
    <w:tmpl w:val="630E9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15:restartNumberingAfterBreak="0">
    <w:nsid w:val="70FD76A4"/>
    <w:multiLevelType w:val="hybridMultilevel"/>
    <w:tmpl w:val="A7085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714823D8"/>
    <w:multiLevelType w:val="hybridMultilevel"/>
    <w:tmpl w:val="AF504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15:restartNumberingAfterBreak="0">
    <w:nsid w:val="715B7CF6"/>
    <w:multiLevelType w:val="hybridMultilevel"/>
    <w:tmpl w:val="092A15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6" w15:restartNumberingAfterBreak="0">
    <w:nsid w:val="715C2379"/>
    <w:multiLevelType w:val="hybridMultilevel"/>
    <w:tmpl w:val="1B722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15:restartNumberingAfterBreak="0">
    <w:nsid w:val="71761367"/>
    <w:multiLevelType w:val="hybridMultilevel"/>
    <w:tmpl w:val="FCCCA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8" w15:restartNumberingAfterBreak="0">
    <w:nsid w:val="71AA4E15"/>
    <w:multiLevelType w:val="hybridMultilevel"/>
    <w:tmpl w:val="811A3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9" w15:restartNumberingAfterBreak="0">
    <w:nsid w:val="726E4134"/>
    <w:multiLevelType w:val="hybridMultilevel"/>
    <w:tmpl w:val="68A02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15:restartNumberingAfterBreak="0">
    <w:nsid w:val="729B7808"/>
    <w:multiLevelType w:val="hybridMultilevel"/>
    <w:tmpl w:val="19C4C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1" w15:restartNumberingAfterBreak="0">
    <w:nsid w:val="72F85DF0"/>
    <w:multiLevelType w:val="hybridMultilevel"/>
    <w:tmpl w:val="5DA60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15:restartNumberingAfterBreak="0">
    <w:nsid w:val="73112C10"/>
    <w:multiLevelType w:val="hybridMultilevel"/>
    <w:tmpl w:val="CAA81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15:restartNumberingAfterBreak="0">
    <w:nsid w:val="73572BFB"/>
    <w:multiLevelType w:val="hybridMultilevel"/>
    <w:tmpl w:val="0A0A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4" w15:restartNumberingAfterBreak="0">
    <w:nsid w:val="73782517"/>
    <w:multiLevelType w:val="hybridMultilevel"/>
    <w:tmpl w:val="3C8C3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5" w15:restartNumberingAfterBreak="0">
    <w:nsid w:val="73804AEA"/>
    <w:multiLevelType w:val="hybridMultilevel"/>
    <w:tmpl w:val="687CD0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15:restartNumberingAfterBreak="0">
    <w:nsid w:val="74035B2A"/>
    <w:multiLevelType w:val="hybridMultilevel"/>
    <w:tmpl w:val="48FEB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7" w15:restartNumberingAfterBreak="0">
    <w:nsid w:val="74BE762F"/>
    <w:multiLevelType w:val="hybridMultilevel"/>
    <w:tmpl w:val="52223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8" w15:restartNumberingAfterBreak="0">
    <w:nsid w:val="74C73E8B"/>
    <w:multiLevelType w:val="hybridMultilevel"/>
    <w:tmpl w:val="3FCCE22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15:restartNumberingAfterBreak="0">
    <w:nsid w:val="7504652B"/>
    <w:multiLevelType w:val="hybridMultilevel"/>
    <w:tmpl w:val="F9C6A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0" w15:restartNumberingAfterBreak="0">
    <w:nsid w:val="75505233"/>
    <w:multiLevelType w:val="hybridMultilevel"/>
    <w:tmpl w:val="79BCB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1" w15:restartNumberingAfterBreak="0">
    <w:nsid w:val="75551E63"/>
    <w:multiLevelType w:val="hybridMultilevel"/>
    <w:tmpl w:val="C3AA0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2" w15:restartNumberingAfterBreak="0">
    <w:nsid w:val="75660BDA"/>
    <w:multiLevelType w:val="hybridMultilevel"/>
    <w:tmpl w:val="B6E62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3" w15:restartNumberingAfterBreak="0">
    <w:nsid w:val="75DA7A9E"/>
    <w:multiLevelType w:val="hybridMultilevel"/>
    <w:tmpl w:val="7EA060E0"/>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15:restartNumberingAfterBreak="0">
    <w:nsid w:val="76242597"/>
    <w:multiLevelType w:val="hybridMultilevel"/>
    <w:tmpl w:val="7E120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5" w15:restartNumberingAfterBreak="0">
    <w:nsid w:val="762B146B"/>
    <w:multiLevelType w:val="hybridMultilevel"/>
    <w:tmpl w:val="ED90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6" w15:restartNumberingAfterBreak="0">
    <w:nsid w:val="764C22B4"/>
    <w:multiLevelType w:val="hybridMultilevel"/>
    <w:tmpl w:val="30FA4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7" w15:restartNumberingAfterBreak="0">
    <w:nsid w:val="7666008E"/>
    <w:multiLevelType w:val="hybridMultilevel"/>
    <w:tmpl w:val="EF58B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8" w15:restartNumberingAfterBreak="0">
    <w:nsid w:val="76712CBC"/>
    <w:multiLevelType w:val="hybridMultilevel"/>
    <w:tmpl w:val="ED5EF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9" w15:restartNumberingAfterBreak="0">
    <w:nsid w:val="76C37B95"/>
    <w:multiLevelType w:val="hybridMultilevel"/>
    <w:tmpl w:val="C4A09F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15:restartNumberingAfterBreak="0">
    <w:nsid w:val="773D378F"/>
    <w:multiLevelType w:val="hybridMultilevel"/>
    <w:tmpl w:val="4C167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1" w15:restartNumberingAfterBreak="0">
    <w:nsid w:val="77875175"/>
    <w:multiLevelType w:val="hybridMultilevel"/>
    <w:tmpl w:val="86BC6E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2" w15:restartNumberingAfterBreak="0">
    <w:nsid w:val="77BD5EAF"/>
    <w:multiLevelType w:val="hybridMultilevel"/>
    <w:tmpl w:val="5D6443C8"/>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3" w15:restartNumberingAfterBreak="0">
    <w:nsid w:val="77CB0A4D"/>
    <w:multiLevelType w:val="hybridMultilevel"/>
    <w:tmpl w:val="9E78E7D4"/>
    <w:lvl w:ilvl="0" w:tplc="47644B58">
      <w:start w:val="1"/>
      <w:numFmt w:val="bullet"/>
      <w:lvlText w:val="•"/>
      <w:lvlJc w:val="left"/>
      <w:pPr>
        <w:tabs>
          <w:tab w:val="num" w:pos="720"/>
        </w:tabs>
        <w:ind w:left="720" w:hanging="360"/>
      </w:pPr>
      <w:rPr>
        <w:rFonts w:ascii="Times New Roman" w:hAnsi="Times New Roman" w:hint="default"/>
      </w:rPr>
    </w:lvl>
    <w:lvl w:ilvl="1" w:tplc="DE0AE072" w:tentative="1">
      <w:start w:val="1"/>
      <w:numFmt w:val="bullet"/>
      <w:lvlText w:val="•"/>
      <w:lvlJc w:val="left"/>
      <w:pPr>
        <w:tabs>
          <w:tab w:val="num" w:pos="1440"/>
        </w:tabs>
        <w:ind w:left="1440" w:hanging="360"/>
      </w:pPr>
      <w:rPr>
        <w:rFonts w:ascii="Times New Roman" w:hAnsi="Times New Roman" w:hint="default"/>
      </w:rPr>
    </w:lvl>
    <w:lvl w:ilvl="2" w:tplc="FBA484EE" w:tentative="1">
      <w:start w:val="1"/>
      <w:numFmt w:val="bullet"/>
      <w:lvlText w:val="•"/>
      <w:lvlJc w:val="left"/>
      <w:pPr>
        <w:tabs>
          <w:tab w:val="num" w:pos="2160"/>
        </w:tabs>
        <w:ind w:left="2160" w:hanging="360"/>
      </w:pPr>
      <w:rPr>
        <w:rFonts w:ascii="Times New Roman" w:hAnsi="Times New Roman" w:hint="default"/>
      </w:rPr>
    </w:lvl>
    <w:lvl w:ilvl="3" w:tplc="0670739C" w:tentative="1">
      <w:start w:val="1"/>
      <w:numFmt w:val="bullet"/>
      <w:lvlText w:val="•"/>
      <w:lvlJc w:val="left"/>
      <w:pPr>
        <w:tabs>
          <w:tab w:val="num" w:pos="2880"/>
        </w:tabs>
        <w:ind w:left="2880" w:hanging="360"/>
      </w:pPr>
      <w:rPr>
        <w:rFonts w:ascii="Times New Roman" w:hAnsi="Times New Roman" w:hint="default"/>
      </w:rPr>
    </w:lvl>
    <w:lvl w:ilvl="4" w:tplc="BEDC798C" w:tentative="1">
      <w:start w:val="1"/>
      <w:numFmt w:val="bullet"/>
      <w:lvlText w:val="•"/>
      <w:lvlJc w:val="left"/>
      <w:pPr>
        <w:tabs>
          <w:tab w:val="num" w:pos="3600"/>
        </w:tabs>
        <w:ind w:left="3600" w:hanging="360"/>
      </w:pPr>
      <w:rPr>
        <w:rFonts w:ascii="Times New Roman" w:hAnsi="Times New Roman" w:hint="default"/>
      </w:rPr>
    </w:lvl>
    <w:lvl w:ilvl="5" w:tplc="6E72A912" w:tentative="1">
      <w:start w:val="1"/>
      <w:numFmt w:val="bullet"/>
      <w:lvlText w:val="•"/>
      <w:lvlJc w:val="left"/>
      <w:pPr>
        <w:tabs>
          <w:tab w:val="num" w:pos="4320"/>
        </w:tabs>
        <w:ind w:left="4320" w:hanging="360"/>
      </w:pPr>
      <w:rPr>
        <w:rFonts w:ascii="Times New Roman" w:hAnsi="Times New Roman" w:hint="default"/>
      </w:rPr>
    </w:lvl>
    <w:lvl w:ilvl="6" w:tplc="A3D83392" w:tentative="1">
      <w:start w:val="1"/>
      <w:numFmt w:val="bullet"/>
      <w:lvlText w:val="•"/>
      <w:lvlJc w:val="left"/>
      <w:pPr>
        <w:tabs>
          <w:tab w:val="num" w:pos="5040"/>
        </w:tabs>
        <w:ind w:left="5040" w:hanging="360"/>
      </w:pPr>
      <w:rPr>
        <w:rFonts w:ascii="Times New Roman" w:hAnsi="Times New Roman" w:hint="default"/>
      </w:rPr>
    </w:lvl>
    <w:lvl w:ilvl="7" w:tplc="EC12372C" w:tentative="1">
      <w:start w:val="1"/>
      <w:numFmt w:val="bullet"/>
      <w:lvlText w:val="•"/>
      <w:lvlJc w:val="left"/>
      <w:pPr>
        <w:tabs>
          <w:tab w:val="num" w:pos="5760"/>
        </w:tabs>
        <w:ind w:left="5760" w:hanging="360"/>
      </w:pPr>
      <w:rPr>
        <w:rFonts w:ascii="Times New Roman" w:hAnsi="Times New Roman" w:hint="default"/>
      </w:rPr>
    </w:lvl>
    <w:lvl w:ilvl="8" w:tplc="FA0C20AE" w:tentative="1">
      <w:start w:val="1"/>
      <w:numFmt w:val="bullet"/>
      <w:lvlText w:val="•"/>
      <w:lvlJc w:val="left"/>
      <w:pPr>
        <w:tabs>
          <w:tab w:val="num" w:pos="6480"/>
        </w:tabs>
        <w:ind w:left="6480" w:hanging="360"/>
      </w:pPr>
      <w:rPr>
        <w:rFonts w:ascii="Times New Roman" w:hAnsi="Times New Roman" w:hint="default"/>
      </w:rPr>
    </w:lvl>
  </w:abstractNum>
  <w:abstractNum w:abstractNumId="414" w15:restartNumberingAfterBreak="0">
    <w:nsid w:val="77D7583D"/>
    <w:multiLevelType w:val="hybridMultilevel"/>
    <w:tmpl w:val="A5FC3C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15:restartNumberingAfterBreak="0">
    <w:nsid w:val="78066333"/>
    <w:multiLevelType w:val="hybridMultilevel"/>
    <w:tmpl w:val="C50E3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15:restartNumberingAfterBreak="0">
    <w:nsid w:val="78C323C2"/>
    <w:multiLevelType w:val="hybridMultilevel"/>
    <w:tmpl w:val="F19CA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7" w15:restartNumberingAfterBreak="0">
    <w:nsid w:val="790206BA"/>
    <w:multiLevelType w:val="hybridMultilevel"/>
    <w:tmpl w:val="70480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8" w15:restartNumberingAfterBreak="0">
    <w:nsid w:val="790930BE"/>
    <w:multiLevelType w:val="hybridMultilevel"/>
    <w:tmpl w:val="646AB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9" w15:restartNumberingAfterBreak="0">
    <w:nsid w:val="79157FE2"/>
    <w:multiLevelType w:val="hybridMultilevel"/>
    <w:tmpl w:val="C13A5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0" w15:restartNumberingAfterBreak="0">
    <w:nsid w:val="79521D6F"/>
    <w:multiLevelType w:val="hybridMultilevel"/>
    <w:tmpl w:val="45FC43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1" w15:restartNumberingAfterBreak="0">
    <w:nsid w:val="7A0327D6"/>
    <w:multiLevelType w:val="hybridMultilevel"/>
    <w:tmpl w:val="FA785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2" w15:restartNumberingAfterBreak="0">
    <w:nsid w:val="7A044D96"/>
    <w:multiLevelType w:val="hybridMultilevel"/>
    <w:tmpl w:val="58D2D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3" w15:restartNumberingAfterBreak="0">
    <w:nsid w:val="7AC22AF5"/>
    <w:multiLevelType w:val="hybridMultilevel"/>
    <w:tmpl w:val="6108E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4" w15:restartNumberingAfterBreak="0">
    <w:nsid w:val="7AD62553"/>
    <w:multiLevelType w:val="hybridMultilevel"/>
    <w:tmpl w:val="41281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5" w15:restartNumberingAfterBreak="0">
    <w:nsid w:val="7AE73292"/>
    <w:multiLevelType w:val="hybridMultilevel"/>
    <w:tmpl w:val="7ADE1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6" w15:restartNumberingAfterBreak="0">
    <w:nsid w:val="7B360C19"/>
    <w:multiLevelType w:val="hybridMultilevel"/>
    <w:tmpl w:val="A088F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7" w15:restartNumberingAfterBreak="0">
    <w:nsid w:val="7C1202EF"/>
    <w:multiLevelType w:val="hybridMultilevel"/>
    <w:tmpl w:val="67C20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8" w15:restartNumberingAfterBreak="0">
    <w:nsid w:val="7D114E6E"/>
    <w:multiLevelType w:val="hybridMultilevel"/>
    <w:tmpl w:val="26140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9" w15:restartNumberingAfterBreak="0">
    <w:nsid w:val="7DEE6AB4"/>
    <w:multiLevelType w:val="hybridMultilevel"/>
    <w:tmpl w:val="754C6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0" w15:restartNumberingAfterBreak="0">
    <w:nsid w:val="7E265A43"/>
    <w:multiLevelType w:val="hybridMultilevel"/>
    <w:tmpl w:val="FF4E17E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1" w15:restartNumberingAfterBreak="0">
    <w:nsid w:val="7E3E60D4"/>
    <w:multiLevelType w:val="hybridMultilevel"/>
    <w:tmpl w:val="EF226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2" w15:restartNumberingAfterBreak="0">
    <w:nsid w:val="7E637684"/>
    <w:multiLevelType w:val="hybridMultilevel"/>
    <w:tmpl w:val="D00CE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3" w15:restartNumberingAfterBreak="0">
    <w:nsid w:val="7E7D59E5"/>
    <w:multiLevelType w:val="hybridMultilevel"/>
    <w:tmpl w:val="F8B6F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15:restartNumberingAfterBreak="0">
    <w:nsid w:val="7EBB26A7"/>
    <w:multiLevelType w:val="hybridMultilevel"/>
    <w:tmpl w:val="2DCC62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15:restartNumberingAfterBreak="0">
    <w:nsid w:val="7F426DDD"/>
    <w:multiLevelType w:val="hybridMultilevel"/>
    <w:tmpl w:val="1B7A7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6" w15:restartNumberingAfterBreak="0">
    <w:nsid w:val="7F5E7D8B"/>
    <w:multiLevelType w:val="hybridMultilevel"/>
    <w:tmpl w:val="7F0ED7A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7" w15:restartNumberingAfterBreak="0">
    <w:nsid w:val="7F7455FC"/>
    <w:multiLevelType w:val="hybridMultilevel"/>
    <w:tmpl w:val="D19CE0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15:restartNumberingAfterBreak="0">
    <w:nsid w:val="7FA41926"/>
    <w:multiLevelType w:val="hybridMultilevel"/>
    <w:tmpl w:val="D764D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9" w15:restartNumberingAfterBreak="0">
    <w:nsid w:val="7FA77EE5"/>
    <w:multiLevelType w:val="hybridMultilevel"/>
    <w:tmpl w:val="C7989F6A"/>
    <w:lvl w:ilvl="0" w:tplc="3FA05EA4">
      <w:numFmt w:val="bullet"/>
      <w:lvlText w:val="•"/>
      <w:lvlJc w:val="left"/>
      <w:pPr>
        <w:ind w:left="720" w:hanging="360"/>
      </w:pPr>
      <w:rPr>
        <w:rFonts w:ascii="Aptos" w:eastAsiaTheme="minorEastAsia"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0" w15:restartNumberingAfterBreak="0">
    <w:nsid w:val="7FC2098C"/>
    <w:multiLevelType w:val="hybridMultilevel"/>
    <w:tmpl w:val="DF462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1" w15:restartNumberingAfterBreak="0">
    <w:nsid w:val="7FFE045E"/>
    <w:multiLevelType w:val="hybridMultilevel"/>
    <w:tmpl w:val="56CEA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0232789">
    <w:abstractNumId w:val="44"/>
  </w:num>
  <w:num w:numId="2" w16cid:durableId="1688170755">
    <w:abstractNumId w:val="276"/>
  </w:num>
  <w:num w:numId="3" w16cid:durableId="950164055">
    <w:abstractNumId w:val="43"/>
  </w:num>
  <w:num w:numId="4" w16cid:durableId="1333602613">
    <w:abstractNumId w:val="280"/>
  </w:num>
  <w:num w:numId="5" w16cid:durableId="1960986890">
    <w:abstractNumId w:val="234"/>
  </w:num>
  <w:num w:numId="6" w16cid:durableId="1524246814">
    <w:abstractNumId w:val="68"/>
  </w:num>
  <w:num w:numId="7" w16cid:durableId="755513749">
    <w:abstractNumId w:val="29"/>
  </w:num>
  <w:num w:numId="8" w16cid:durableId="765006365">
    <w:abstractNumId w:val="145"/>
  </w:num>
  <w:num w:numId="9" w16cid:durableId="1486898230">
    <w:abstractNumId w:val="170"/>
  </w:num>
  <w:num w:numId="10" w16cid:durableId="382368001">
    <w:abstractNumId w:val="336"/>
  </w:num>
  <w:num w:numId="11" w16cid:durableId="1365446041">
    <w:abstractNumId w:val="70"/>
  </w:num>
  <w:num w:numId="12" w16cid:durableId="545407920">
    <w:abstractNumId w:val="47"/>
  </w:num>
  <w:num w:numId="13" w16cid:durableId="209534656">
    <w:abstractNumId w:val="374"/>
  </w:num>
  <w:num w:numId="14" w16cid:durableId="1220018509">
    <w:abstractNumId w:val="379"/>
  </w:num>
  <w:num w:numId="15" w16cid:durableId="221210374">
    <w:abstractNumId w:val="6"/>
  </w:num>
  <w:num w:numId="16" w16cid:durableId="297302892">
    <w:abstractNumId w:val="148"/>
  </w:num>
  <w:num w:numId="17" w16cid:durableId="1864242231">
    <w:abstractNumId w:val="372"/>
  </w:num>
  <w:num w:numId="18" w16cid:durableId="266163742">
    <w:abstractNumId w:val="395"/>
  </w:num>
  <w:num w:numId="19" w16cid:durableId="1941987073">
    <w:abstractNumId w:val="10"/>
  </w:num>
  <w:num w:numId="20" w16cid:durableId="722172233">
    <w:abstractNumId w:val="356"/>
  </w:num>
  <w:num w:numId="21" w16cid:durableId="1190558853">
    <w:abstractNumId w:val="46"/>
  </w:num>
  <w:num w:numId="22" w16cid:durableId="515773069">
    <w:abstractNumId w:val="147"/>
  </w:num>
  <w:num w:numId="23" w16cid:durableId="1810978102">
    <w:abstractNumId w:val="246"/>
  </w:num>
  <w:num w:numId="24" w16cid:durableId="1037703670">
    <w:abstractNumId w:val="343"/>
  </w:num>
  <w:num w:numId="25" w16cid:durableId="238297404">
    <w:abstractNumId w:val="292"/>
  </w:num>
  <w:num w:numId="26" w16cid:durableId="989016846">
    <w:abstractNumId w:val="33"/>
  </w:num>
  <w:num w:numId="27" w16cid:durableId="444932281">
    <w:abstractNumId w:val="405"/>
  </w:num>
  <w:num w:numId="28" w16cid:durableId="35666795">
    <w:abstractNumId w:val="250"/>
  </w:num>
  <w:num w:numId="29" w16cid:durableId="1305741453">
    <w:abstractNumId w:val="159"/>
  </w:num>
  <w:num w:numId="30" w16cid:durableId="2013221929">
    <w:abstractNumId w:val="358"/>
  </w:num>
  <w:num w:numId="31" w16cid:durableId="1858040225">
    <w:abstractNumId w:val="310"/>
  </w:num>
  <w:num w:numId="32" w16cid:durableId="892231035">
    <w:abstractNumId w:val="86"/>
  </w:num>
  <w:num w:numId="33" w16cid:durableId="1524779026">
    <w:abstractNumId w:val="313"/>
  </w:num>
  <w:num w:numId="34" w16cid:durableId="969557380">
    <w:abstractNumId w:val="317"/>
  </w:num>
  <w:num w:numId="35" w16cid:durableId="1898857797">
    <w:abstractNumId w:val="18"/>
  </w:num>
  <w:num w:numId="36" w16cid:durableId="490873500">
    <w:abstractNumId w:val="312"/>
  </w:num>
  <w:num w:numId="37" w16cid:durableId="1884175649">
    <w:abstractNumId w:val="168"/>
  </w:num>
  <w:num w:numId="38" w16cid:durableId="129830316">
    <w:abstractNumId w:val="128"/>
  </w:num>
  <w:num w:numId="39" w16cid:durableId="500581918">
    <w:abstractNumId w:val="354"/>
  </w:num>
  <w:num w:numId="40" w16cid:durableId="148715809">
    <w:abstractNumId w:val="78"/>
  </w:num>
  <w:num w:numId="41" w16cid:durableId="1655791544">
    <w:abstractNumId w:val="139"/>
  </w:num>
  <w:num w:numId="42" w16cid:durableId="1984966508">
    <w:abstractNumId w:val="416"/>
  </w:num>
  <w:num w:numId="43" w16cid:durableId="480846845">
    <w:abstractNumId w:val="144"/>
  </w:num>
  <w:num w:numId="44" w16cid:durableId="932471470">
    <w:abstractNumId w:val="2"/>
  </w:num>
  <w:num w:numId="45" w16cid:durableId="699432239">
    <w:abstractNumId w:val="367"/>
  </w:num>
  <w:num w:numId="46" w16cid:durableId="141780570">
    <w:abstractNumId w:val="107"/>
  </w:num>
  <w:num w:numId="47" w16cid:durableId="1638759908">
    <w:abstractNumId w:val="255"/>
  </w:num>
  <w:num w:numId="48" w16cid:durableId="641279230">
    <w:abstractNumId w:val="433"/>
  </w:num>
  <w:num w:numId="49" w16cid:durableId="139813191">
    <w:abstractNumId w:val="173"/>
  </w:num>
  <w:num w:numId="50" w16cid:durableId="952128702">
    <w:abstractNumId w:val="304"/>
  </w:num>
  <w:num w:numId="51" w16cid:durableId="1328822161">
    <w:abstractNumId w:val="438"/>
  </w:num>
  <w:num w:numId="52" w16cid:durableId="119962562">
    <w:abstractNumId w:val="32"/>
  </w:num>
  <w:num w:numId="53" w16cid:durableId="958339059">
    <w:abstractNumId w:val="368"/>
  </w:num>
  <w:num w:numId="54" w16cid:durableId="1560550755">
    <w:abstractNumId w:val="212"/>
  </w:num>
  <w:num w:numId="55" w16cid:durableId="1621381440">
    <w:abstractNumId w:val="194"/>
  </w:num>
  <w:num w:numId="56" w16cid:durableId="2055812143">
    <w:abstractNumId w:val="284"/>
  </w:num>
  <w:num w:numId="57" w16cid:durableId="848955992">
    <w:abstractNumId w:val="334"/>
  </w:num>
  <w:num w:numId="58" w16cid:durableId="680474766">
    <w:abstractNumId w:val="217"/>
  </w:num>
  <w:num w:numId="59" w16cid:durableId="1396247405">
    <w:abstractNumId w:val="435"/>
  </w:num>
  <w:num w:numId="60" w16cid:durableId="1559977869">
    <w:abstractNumId w:val="424"/>
  </w:num>
  <w:num w:numId="61" w16cid:durableId="1864905573">
    <w:abstractNumId w:val="269"/>
  </w:num>
  <w:num w:numId="62" w16cid:durableId="2075931825">
    <w:abstractNumId w:val="183"/>
  </w:num>
  <w:num w:numId="63" w16cid:durableId="305398075">
    <w:abstractNumId w:val="219"/>
  </w:num>
  <w:num w:numId="64" w16cid:durableId="862326656">
    <w:abstractNumId w:val="429"/>
  </w:num>
  <w:num w:numId="65" w16cid:durableId="918638303">
    <w:abstractNumId w:val="257"/>
  </w:num>
  <w:num w:numId="66" w16cid:durableId="1113671777">
    <w:abstractNumId w:val="54"/>
  </w:num>
  <w:num w:numId="67" w16cid:durableId="251473486">
    <w:abstractNumId w:val="132"/>
  </w:num>
  <w:num w:numId="68" w16cid:durableId="194194642">
    <w:abstractNumId w:val="25"/>
  </w:num>
  <w:num w:numId="69" w16cid:durableId="1169058540">
    <w:abstractNumId w:val="202"/>
  </w:num>
  <w:num w:numId="70" w16cid:durableId="1264531865">
    <w:abstractNumId w:val="26"/>
  </w:num>
  <w:num w:numId="71" w16cid:durableId="160387424">
    <w:abstractNumId w:val="351"/>
  </w:num>
  <w:num w:numId="72" w16cid:durableId="1058747497">
    <w:abstractNumId w:val="226"/>
  </w:num>
  <w:num w:numId="73" w16cid:durableId="442190813">
    <w:abstractNumId w:val="238"/>
  </w:num>
  <w:num w:numId="74" w16cid:durableId="859590892">
    <w:abstractNumId w:val="271"/>
  </w:num>
  <w:num w:numId="75" w16cid:durableId="1098407773">
    <w:abstractNumId w:val="417"/>
  </w:num>
  <w:num w:numId="76" w16cid:durableId="487945675">
    <w:abstractNumId w:val="63"/>
  </w:num>
  <w:num w:numId="77" w16cid:durableId="1207521199">
    <w:abstractNumId w:val="11"/>
  </w:num>
  <w:num w:numId="78" w16cid:durableId="406004828">
    <w:abstractNumId w:val="397"/>
  </w:num>
  <w:num w:numId="79" w16cid:durableId="1945455685">
    <w:abstractNumId w:val="105"/>
  </w:num>
  <w:num w:numId="80" w16cid:durableId="333412572">
    <w:abstractNumId w:val="352"/>
  </w:num>
  <w:num w:numId="81" w16cid:durableId="985471432">
    <w:abstractNumId w:val="378"/>
  </w:num>
  <w:num w:numId="82" w16cid:durableId="693263169">
    <w:abstractNumId w:val="41"/>
  </w:num>
  <w:num w:numId="83" w16cid:durableId="353699023">
    <w:abstractNumId w:val="430"/>
  </w:num>
  <w:num w:numId="84" w16cid:durableId="2067676659">
    <w:abstractNumId w:val="398"/>
  </w:num>
  <w:num w:numId="85" w16cid:durableId="47921018">
    <w:abstractNumId w:val="200"/>
  </w:num>
  <w:num w:numId="86" w16cid:durableId="1020816098">
    <w:abstractNumId w:val="102"/>
  </w:num>
  <w:num w:numId="87" w16cid:durableId="1241524138">
    <w:abstractNumId w:val="94"/>
  </w:num>
  <w:num w:numId="88" w16cid:durableId="1786971051">
    <w:abstractNumId w:val="165"/>
  </w:num>
  <w:num w:numId="89" w16cid:durableId="1600866756">
    <w:abstractNumId w:val="376"/>
  </w:num>
  <w:num w:numId="90" w16cid:durableId="1152603888">
    <w:abstractNumId w:val="19"/>
  </w:num>
  <w:num w:numId="91" w16cid:durableId="901792282">
    <w:abstractNumId w:val="73"/>
  </w:num>
  <w:num w:numId="92" w16cid:durableId="1453285268">
    <w:abstractNumId w:val="84"/>
  </w:num>
  <w:num w:numId="93" w16cid:durableId="114100348">
    <w:abstractNumId w:val="120"/>
  </w:num>
  <w:num w:numId="94" w16cid:durableId="322441516">
    <w:abstractNumId w:val="101"/>
  </w:num>
  <w:num w:numId="95" w16cid:durableId="1440950706">
    <w:abstractNumId w:val="180"/>
  </w:num>
  <w:num w:numId="96" w16cid:durableId="1752044326">
    <w:abstractNumId w:val="4"/>
  </w:num>
  <w:num w:numId="97" w16cid:durableId="764035090">
    <w:abstractNumId w:val="350"/>
  </w:num>
  <w:num w:numId="98" w16cid:durableId="2064592938">
    <w:abstractNumId w:val="408"/>
  </w:num>
  <w:num w:numId="99" w16cid:durableId="2142188579">
    <w:abstractNumId w:val="275"/>
  </w:num>
  <w:num w:numId="100" w16cid:durableId="303707136">
    <w:abstractNumId w:val="9"/>
  </w:num>
  <w:num w:numId="101" w16cid:durableId="2071033411">
    <w:abstractNumId w:val="320"/>
  </w:num>
  <w:num w:numId="102" w16cid:durableId="1720474404">
    <w:abstractNumId w:val="75"/>
  </w:num>
  <w:num w:numId="103" w16cid:durableId="1582183425">
    <w:abstractNumId w:val="360"/>
  </w:num>
  <w:num w:numId="104" w16cid:durableId="1612931328">
    <w:abstractNumId w:val="418"/>
  </w:num>
  <w:num w:numId="105" w16cid:durableId="1800604918">
    <w:abstractNumId w:val="206"/>
  </w:num>
  <w:num w:numId="106" w16cid:durableId="1645506516">
    <w:abstractNumId w:val="357"/>
  </w:num>
  <w:num w:numId="107" w16cid:durableId="1849557986">
    <w:abstractNumId w:val="264"/>
  </w:num>
  <w:num w:numId="108" w16cid:durableId="1379620975">
    <w:abstractNumId w:val="198"/>
  </w:num>
  <w:num w:numId="109" w16cid:durableId="1635677800">
    <w:abstractNumId w:val="237"/>
  </w:num>
  <w:num w:numId="110" w16cid:durableId="1291015706">
    <w:abstractNumId w:val="93"/>
  </w:num>
  <w:num w:numId="111" w16cid:durableId="1353848100">
    <w:abstractNumId w:val="99"/>
  </w:num>
  <w:num w:numId="112" w16cid:durableId="2048675375">
    <w:abstractNumId w:val="298"/>
  </w:num>
  <w:num w:numId="113" w16cid:durableId="2141027294">
    <w:abstractNumId w:val="110"/>
  </w:num>
  <w:num w:numId="114" w16cid:durableId="1839928956">
    <w:abstractNumId w:val="252"/>
  </w:num>
  <w:num w:numId="115" w16cid:durableId="1134517857">
    <w:abstractNumId w:val="293"/>
  </w:num>
  <w:num w:numId="116" w16cid:durableId="1722825882">
    <w:abstractNumId w:val="375"/>
  </w:num>
  <w:num w:numId="117" w16cid:durableId="33235810">
    <w:abstractNumId w:val="221"/>
  </w:num>
  <w:num w:numId="118" w16cid:durableId="1593002390">
    <w:abstractNumId w:val="242"/>
  </w:num>
  <w:num w:numId="119" w16cid:durableId="481852664">
    <w:abstractNumId w:val="38"/>
  </w:num>
  <w:num w:numId="120" w16cid:durableId="480654743">
    <w:abstractNumId w:val="179"/>
  </w:num>
  <w:num w:numId="121" w16cid:durableId="1617906897">
    <w:abstractNumId w:val="49"/>
  </w:num>
  <w:num w:numId="122" w16cid:durableId="1012029249">
    <w:abstractNumId w:val="314"/>
  </w:num>
  <w:num w:numId="123" w16cid:durableId="520508229">
    <w:abstractNumId w:val="440"/>
  </w:num>
  <w:num w:numId="124" w16cid:durableId="1571574466">
    <w:abstractNumId w:val="441"/>
  </w:num>
  <w:num w:numId="125" w16cid:durableId="1924146921">
    <w:abstractNumId w:val="386"/>
  </w:num>
  <w:num w:numId="126" w16cid:durableId="73011272">
    <w:abstractNumId w:val="208"/>
  </w:num>
  <w:num w:numId="127" w16cid:durableId="1266232529">
    <w:abstractNumId w:val="431"/>
  </w:num>
  <w:num w:numId="128" w16cid:durableId="895429152">
    <w:abstractNumId w:val="366"/>
  </w:num>
  <w:num w:numId="129" w16cid:durableId="1163858409">
    <w:abstractNumId w:val="260"/>
  </w:num>
  <w:num w:numId="130" w16cid:durableId="667632879">
    <w:abstractNumId w:val="400"/>
  </w:num>
  <w:num w:numId="131" w16cid:durableId="1265379405">
    <w:abstractNumId w:val="415"/>
  </w:num>
  <w:num w:numId="132" w16cid:durableId="1338579588">
    <w:abstractNumId w:val="288"/>
  </w:num>
  <w:num w:numId="133" w16cid:durableId="990520663">
    <w:abstractNumId w:val="211"/>
  </w:num>
  <w:num w:numId="134" w16cid:durableId="1804887263">
    <w:abstractNumId w:val="186"/>
  </w:num>
  <w:num w:numId="135" w16cid:durableId="420031922">
    <w:abstractNumId w:val="311"/>
  </w:num>
  <w:num w:numId="136" w16cid:durableId="178399950">
    <w:abstractNumId w:val="42"/>
  </w:num>
  <w:num w:numId="137" w16cid:durableId="1401712524">
    <w:abstractNumId w:val="97"/>
  </w:num>
  <w:num w:numId="138" w16cid:durableId="1503665700">
    <w:abstractNumId w:val="402"/>
  </w:num>
  <w:num w:numId="139" w16cid:durableId="1547598648">
    <w:abstractNumId w:val="290"/>
  </w:num>
  <w:num w:numId="140" w16cid:durableId="1546912509">
    <w:abstractNumId w:val="265"/>
  </w:num>
  <w:num w:numId="141" w16cid:durableId="593903219">
    <w:abstractNumId w:val="421"/>
  </w:num>
  <w:num w:numId="142" w16cid:durableId="2074617203">
    <w:abstractNumId w:val="330"/>
  </w:num>
  <w:num w:numId="143" w16cid:durableId="1438520840">
    <w:abstractNumId w:val="394"/>
  </w:num>
  <w:num w:numId="144" w16cid:durableId="1659654032">
    <w:abstractNumId w:val="14"/>
  </w:num>
  <w:num w:numId="145" w16cid:durableId="1961718021">
    <w:abstractNumId w:val="204"/>
  </w:num>
  <w:num w:numId="146" w16cid:durableId="1659572711">
    <w:abstractNumId w:val="31"/>
  </w:num>
  <w:num w:numId="147" w16cid:durableId="1532643247">
    <w:abstractNumId w:val="291"/>
  </w:num>
  <w:num w:numId="148" w16cid:durableId="948901451">
    <w:abstractNumId w:val="393"/>
  </w:num>
  <w:num w:numId="149" w16cid:durableId="1100679581">
    <w:abstractNumId w:val="365"/>
  </w:num>
  <w:num w:numId="150" w16cid:durableId="713846232">
    <w:abstractNumId w:val="218"/>
  </w:num>
  <w:num w:numId="151" w16cid:durableId="486554466">
    <w:abstractNumId w:val="355"/>
  </w:num>
  <w:num w:numId="152" w16cid:durableId="749038057">
    <w:abstractNumId w:val="254"/>
  </w:num>
  <w:num w:numId="153" w16cid:durableId="2005428223">
    <w:abstractNumId w:val="335"/>
  </w:num>
  <w:num w:numId="154" w16cid:durableId="1325207233">
    <w:abstractNumId w:val="181"/>
  </w:num>
  <w:num w:numId="155" w16cid:durableId="1589727512">
    <w:abstractNumId w:val="205"/>
  </w:num>
  <w:num w:numId="156" w16cid:durableId="1988900465">
    <w:abstractNumId w:val="306"/>
  </w:num>
  <w:num w:numId="157" w16cid:durableId="1773932840">
    <w:abstractNumId w:val="286"/>
  </w:num>
  <w:num w:numId="158" w16cid:durableId="1831483889">
    <w:abstractNumId w:val="56"/>
  </w:num>
  <w:num w:numId="159" w16cid:durableId="2033652134">
    <w:abstractNumId w:val="154"/>
  </w:num>
  <w:num w:numId="160" w16cid:durableId="1892423053">
    <w:abstractNumId w:val="369"/>
  </w:num>
  <w:num w:numId="161" w16cid:durableId="2025013750">
    <w:abstractNumId w:val="143"/>
  </w:num>
  <w:num w:numId="162" w16cid:durableId="255988565">
    <w:abstractNumId w:val="285"/>
  </w:num>
  <w:num w:numId="163" w16cid:durableId="1624380171">
    <w:abstractNumId w:val="149"/>
  </w:num>
  <w:num w:numId="164" w16cid:durableId="1298144140">
    <w:abstractNumId w:val="35"/>
  </w:num>
  <w:num w:numId="165" w16cid:durableId="1108698456">
    <w:abstractNumId w:val="98"/>
  </w:num>
  <w:num w:numId="166" w16cid:durableId="2116825019">
    <w:abstractNumId w:val="245"/>
  </w:num>
  <w:num w:numId="167" w16cid:durableId="365758605">
    <w:abstractNumId w:val="160"/>
  </w:num>
  <w:num w:numId="168" w16cid:durableId="2013951614">
    <w:abstractNumId w:val="48"/>
  </w:num>
  <w:num w:numId="169" w16cid:durableId="1027371915">
    <w:abstractNumId w:val="331"/>
  </w:num>
  <w:num w:numId="170" w16cid:durableId="332880379">
    <w:abstractNumId w:val="199"/>
  </w:num>
  <w:num w:numId="171" w16cid:durableId="540167329">
    <w:abstractNumId w:val="21"/>
  </w:num>
  <w:num w:numId="172" w16cid:durableId="1196046015">
    <w:abstractNumId w:val="7"/>
  </w:num>
  <w:num w:numId="173" w16cid:durableId="1243489999">
    <w:abstractNumId w:val="72"/>
  </w:num>
  <w:num w:numId="174" w16cid:durableId="1707220767">
    <w:abstractNumId w:val="59"/>
  </w:num>
  <w:num w:numId="175" w16cid:durableId="1013609885">
    <w:abstractNumId w:val="333"/>
  </w:num>
  <w:num w:numId="176" w16cid:durableId="400101666">
    <w:abstractNumId w:val="411"/>
  </w:num>
  <w:num w:numId="177" w16cid:durableId="83570700">
    <w:abstractNumId w:val="8"/>
  </w:num>
  <w:num w:numId="178" w16cid:durableId="880288654">
    <w:abstractNumId w:val="178"/>
  </w:num>
  <w:num w:numId="179" w16cid:durableId="1539313199">
    <w:abstractNumId w:val="267"/>
  </w:num>
  <w:num w:numId="180" w16cid:durableId="2096855642">
    <w:abstractNumId w:val="124"/>
  </w:num>
  <w:num w:numId="181" w16cid:durableId="1689746749">
    <w:abstractNumId w:val="262"/>
  </w:num>
  <w:num w:numId="182" w16cid:durableId="1360817051">
    <w:abstractNumId w:val="289"/>
  </w:num>
  <w:num w:numId="183" w16cid:durableId="2039507965">
    <w:abstractNumId w:val="87"/>
  </w:num>
  <w:num w:numId="184" w16cid:durableId="238449400">
    <w:abstractNumId w:val="380"/>
  </w:num>
  <w:num w:numId="185" w16cid:durableId="844782054">
    <w:abstractNumId w:val="62"/>
  </w:num>
  <w:num w:numId="186" w16cid:durableId="1852060279">
    <w:abstractNumId w:val="140"/>
  </w:num>
  <w:num w:numId="187" w16cid:durableId="1396855125">
    <w:abstractNumId w:val="407"/>
  </w:num>
  <w:num w:numId="188" w16cid:durableId="1832911883">
    <w:abstractNumId w:val="175"/>
  </w:num>
  <w:num w:numId="189" w16cid:durableId="1039822607">
    <w:abstractNumId w:val="297"/>
  </w:num>
  <w:num w:numId="190" w16cid:durableId="996609626">
    <w:abstractNumId w:val="203"/>
  </w:num>
  <w:num w:numId="191" w16cid:durableId="247273840">
    <w:abstractNumId w:val="5"/>
  </w:num>
  <w:num w:numId="192" w16cid:durableId="1012682320">
    <w:abstractNumId w:val="89"/>
  </w:num>
  <w:num w:numId="193" w16cid:durableId="2088765557">
    <w:abstractNumId w:val="76"/>
  </w:num>
  <w:num w:numId="194" w16cid:durableId="1045178894">
    <w:abstractNumId w:val="112"/>
  </w:num>
  <w:num w:numId="195" w16cid:durableId="459959774">
    <w:abstractNumId w:val="155"/>
  </w:num>
  <w:num w:numId="196" w16cid:durableId="1361394969">
    <w:abstractNumId w:val="152"/>
  </w:num>
  <w:num w:numId="197" w16cid:durableId="423842947">
    <w:abstractNumId w:val="353"/>
  </w:num>
  <w:num w:numId="198" w16cid:durableId="1830513948">
    <w:abstractNumId w:val="74"/>
  </w:num>
  <w:num w:numId="199" w16cid:durableId="710770097">
    <w:abstractNumId w:val="151"/>
  </w:num>
  <w:num w:numId="200" w16cid:durableId="1323662267">
    <w:abstractNumId w:val="24"/>
  </w:num>
  <w:num w:numId="201" w16cid:durableId="1229918417">
    <w:abstractNumId w:val="326"/>
  </w:num>
  <w:num w:numId="202" w16cid:durableId="1577787436">
    <w:abstractNumId w:val="388"/>
  </w:num>
  <w:num w:numId="203" w16cid:durableId="438643335">
    <w:abstractNumId w:val="225"/>
  </w:num>
  <w:num w:numId="204" w16cid:durableId="1857696112">
    <w:abstractNumId w:val="307"/>
  </w:num>
  <w:num w:numId="205" w16cid:durableId="1532062631">
    <w:abstractNumId w:val="104"/>
  </w:num>
  <w:num w:numId="206" w16cid:durableId="955526879">
    <w:abstractNumId w:val="263"/>
  </w:num>
  <w:num w:numId="207" w16cid:durableId="232129849">
    <w:abstractNumId w:val="16"/>
  </w:num>
  <w:num w:numId="208" w16cid:durableId="1507207017">
    <w:abstractNumId w:val="113"/>
  </w:num>
  <w:num w:numId="209" w16cid:durableId="1505390814">
    <w:abstractNumId w:val="248"/>
  </w:num>
  <w:num w:numId="210" w16cid:durableId="487330790">
    <w:abstractNumId w:val="0"/>
  </w:num>
  <w:num w:numId="211" w16cid:durableId="2086678519">
    <w:abstractNumId w:val="233"/>
  </w:num>
  <w:num w:numId="212" w16cid:durableId="1221748785">
    <w:abstractNumId w:val="399"/>
  </w:num>
  <w:num w:numId="213" w16cid:durableId="1130783312">
    <w:abstractNumId w:val="338"/>
  </w:num>
  <w:num w:numId="214" w16cid:durableId="1666204340">
    <w:abstractNumId w:val="130"/>
  </w:num>
  <w:num w:numId="215" w16cid:durableId="927083284">
    <w:abstractNumId w:val="244"/>
  </w:num>
  <w:num w:numId="216" w16cid:durableId="60950850">
    <w:abstractNumId w:val="247"/>
  </w:num>
  <w:num w:numId="217" w16cid:durableId="446894236">
    <w:abstractNumId w:val="296"/>
  </w:num>
  <w:num w:numId="218" w16cid:durableId="514196860">
    <w:abstractNumId w:val="118"/>
  </w:num>
  <w:num w:numId="219" w16cid:durableId="186066365">
    <w:abstractNumId w:val="412"/>
  </w:num>
  <w:num w:numId="220" w16cid:durableId="1469470136">
    <w:abstractNumId w:val="209"/>
  </w:num>
  <w:num w:numId="221" w16cid:durableId="1096705204">
    <w:abstractNumId w:val="81"/>
  </w:num>
  <w:num w:numId="222" w16cid:durableId="2017026703">
    <w:abstractNumId w:val="253"/>
  </w:num>
  <w:num w:numId="223" w16cid:durableId="1509977768">
    <w:abstractNumId w:val="323"/>
  </w:num>
  <w:num w:numId="224" w16cid:durableId="1456211580">
    <w:abstractNumId w:val="17"/>
  </w:num>
  <w:num w:numId="225" w16cid:durableId="449594740">
    <w:abstractNumId w:val="177"/>
  </w:num>
  <w:num w:numId="226" w16cid:durableId="2033990702">
    <w:abstractNumId w:val="328"/>
  </w:num>
  <w:num w:numId="227" w16cid:durableId="1175002104">
    <w:abstractNumId w:val="162"/>
  </w:num>
  <w:num w:numId="228" w16cid:durableId="1086658172">
    <w:abstractNumId w:val="210"/>
  </w:num>
  <w:num w:numId="229" w16cid:durableId="1587298867">
    <w:abstractNumId w:val="316"/>
  </w:num>
  <w:num w:numId="230" w16cid:durableId="860048596">
    <w:abstractNumId w:val="169"/>
  </w:num>
  <w:num w:numId="231" w16cid:durableId="1113477482">
    <w:abstractNumId w:val="122"/>
  </w:num>
  <w:num w:numId="232" w16cid:durableId="1501001004">
    <w:abstractNumId w:val="371"/>
  </w:num>
  <w:num w:numId="233" w16cid:durableId="565992529">
    <w:abstractNumId w:val="348"/>
  </w:num>
  <w:num w:numId="234" w16cid:durableId="848562143">
    <w:abstractNumId w:val="66"/>
  </w:num>
  <w:num w:numId="235" w16cid:durableId="1829859134">
    <w:abstractNumId w:val="302"/>
  </w:num>
  <w:num w:numId="236" w16cid:durableId="450516081">
    <w:abstractNumId w:val="176"/>
  </w:num>
  <w:num w:numId="237" w16cid:durableId="1499619166">
    <w:abstractNumId w:val="325"/>
  </w:num>
  <w:num w:numId="238" w16cid:durableId="274411048">
    <w:abstractNumId w:val="362"/>
  </w:num>
  <w:num w:numId="239" w16cid:durableId="797071611">
    <w:abstractNumId w:val="340"/>
  </w:num>
  <w:num w:numId="240" w16cid:durableId="1241519738">
    <w:abstractNumId w:val="115"/>
  </w:num>
  <w:num w:numId="241" w16cid:durableId="2078438229">
    <w:abstractNumId w:val="283"/>
  </w:num>
  <w:num w:numId="242" w16cid:durableId="1505240355">
    <w:abstractNumId w:val="301"/>
  </w:num>
  <w:num w:numId="243" w16cid:durableId="631592115">
    <w:abstractNumId w:val="50"/>
  </w:num>
  <w:num w:numId="244" w16cid:durableId="424225402">
    <w:abstractNumId w:val="256"/>
  </w:num>
  <w:num w:numId="245" w16cid:durableId="1052773315">
    <w:abstractNumId w:val="339"/>
  </w:num>
  <w:num w:numId="246" w16cid:durableId="793523592">
    <w:abstractNumId w:val="347"/>
  </w:num>
  <w:num w:numId="247" w16cid:durableId="582842413">
    <w:abstractNumId w:val="69"/>
  </w:num>
  <w:num w:numId="248" w16cid:durableId="1538346738">
    <w:abstractNumId w:val="135"/>
  </w:num>
  <w:num w:numId="249" w16cid:durableId="1117986964">
    <w:abstractNumId w:val="39"/>
  </w:num>
  <w:num w:numId="250" w16cid:durableId="886257924">
    <w:abstractNumId w:val="71"/>
  </w:num>
  <w:num w:numId="251" w16cid:durableId="1952319030">
    <w:abstractNumId w:val="337"/>
  </w:num>
  <w:num w:numId="252" w16cid:durableId="1880782474">
    <w:abstractNumId w:val="240"/>
  </w:num>
  <w:num w:numId="253" w16cid:durableId="633563837">
    <w:abstractNumId w:val="129"/>
  </w:num>
  <w:num w:numId="254" w16cid:durableId="1851338428">
    <w:abstractNumId w:val="90"/>
  </w:num>
  <w:num w:numId="255" w16cid:durableId="1987080737">
    <w:abstractNumId w:val="189"/>
  </w:num>
  <w:num w:numId="256" w16cid:durableId="270017373">
    <w:abstractNumId w:val="261"/>
  </w:num>
  <w:num w:numId="257" w16cid:durableId="1521049394">
    <w:abstractNumId w:val="213"/>
  </w:num>
  <w:num w:numId="258" w16cid:durableId="114494470">
    <w:abstractNumId w:val="1"/>
  </w:num>
  <w:num w:numId="259" w16cid:durableId="1789617823">
    <w:abstractNumId w:val="157"/>
  </w:num>
  <w:num w:numId="260" w16cid:durableId="244188686">
    <w:abstractNumId w:val="57"/>
  </w:num>
  <w:num w:numId="261" w16cid:durableId="178551303">
    <w:abstractNumId w:val="207"/>
  </w:num>
  <w:num w:numId="262" w16cid:durableId="1094472899">
    <w:abstractNumId w:val="52"/>
  </w:num>
  <w:num w:numId="263" w16cid:durableId="1607929195">
    <w:abstractNumId w:val="196"/>
  </w:num>
  <w:num w:numId="264" w16cid:durableId="2054646623">
    <w:abstractNumId w:val="341"/>
  </w:num>
  <w:num w:numId="265" w16cid:durableId="410663882">
    <w:abstractNumId w:val="361"/>
  </w:num>
  <w:num w:numId="266" w16cid:durableId="268204133">
    <w:abstractNumId w:val="439"/>
  </w:num>
  <w:num w:numId="267" w16cid:durableId="1466004834">
    <w:abstractNumId w:val="436"/>
  </w:num>
  <w:num w:numId="268" w16cid:durableId="801849752">
    <w:abstractNumId w:val="279"/>
  </w:num>
  <w:num w:numId="269" w16cid:durableId="904921318">
    <w:abstractNumId w:val="146"/>
  </w:num>
  <w:num w:numId="270" w16cid:durableId="399984694">
    <w:abstractNumId w:val="404"/>
  </w:num>
  <w:num w:numId="271" w16cid:durableId="1056245882">
    <w:abstractNumId w:val="373"/>
  </w:num>
  <w:num w:numId="272" w16cid:durableId="629020805">
    <w:abstractNumId w:val="300"/>
  </w:num>
  <w:num w:numId="273" w16cid:durableId="987520152">
    <w:abstractNumId w:val="425"/>
  </w:num>
  <w:num w:numId="274" w16cid:durableId="760949535">
    <w:abstractNumId w:val="27"/>
  </w:num>
  <w:num w:numId="275" w16cid:durableId="1729305287">
    <w:abstractNumId w:val="20"/>
  </w:num>
  <w:num w:numId="276" w16cid:durableId="1330982400">
    <w:abstractNumId w:val="406"/>
  </w:num>
  <w:num w:numId="277" w16cid:durableId="1473979426">
    <w:abstractNumId w:val="282"/>
  </w:num>
  <w:num w:numId="278" w16cid:durableId="1933052307">
    <w:abstractNumId w:val="37"/>
  </w:num>
  <w:num w:numId="279" w16cid:durableId="1987734782">
    <w:abstractNumId w:val="61"/>
  </w:num>
  <w:num w:numId="280" w16cid:durableId="1867862852">
    <w:abstractNumId w:val="125"/>
  </w:num>
  <w:num w:numId="281" w16cid:durableId="1270701760">
    <w:abstractNumId w:val="220"/>
  </w:num>
  <w:num w:numId="282" w16cid:durableId="1144617673">
    <w:abstractNumId w:val="274"/>
  </w:num>
  <w:num w:numId="283" w16cid:durableId="1657223425">
    <w:abstractNumId w:val="60"/>
  </w:num>
  <w:num w:numId="284" w16cid:durableId="1468814772">
    <w:abstractNumId w:val="51"/>
  </w:num>
  <w:num w:numId="285" w16cid:durableId="729423496">
    <w:abstractNumId w:val="23"/>
  </w:num>
  <w:num w:numId="286" w16cid:durableId="753211125">
    <w:abstractNumId w:val="344"/>
  </w:num>
  <w:num w:numId="287" w16cid:durableId="108281304">
    <w:abstractNumId w:val="216"/>
  </w:num>
  <w:num w:numId="288" w16cid:durableId="1992249140">
    <w:abstractNumId w:val="222"/>
  </w:num>
  <w:num w:numId="289" w16cid:durableId="461266743">
    <w:abstractNumId w:val="172"/>
  </w:num>
  <w:num w:numId="290" w16cid:durableId="846408861">
    <w:abstractNumId w:val="182"/>
  </w:num>
  <w:num w:numId="291" w16cid:durableId="244536816">
    <w:abstractNumId w:val="85"/>
  </w:num>
  <w:num w:numId="292" w16cid:durableId="1164316525">
    <w:abstractNumId w:val="401"/>
  </w:num>
  <w:num w:numId="293" w16cid:durableId="1619340378">
    <w:abstractNumId w:val="109"/>
  </w:num>
  <w:num w:numId="294" w16cid:durableId="1962683545">
    <w:abstractNumId w:val="111"/>
  </w:num>
  <w:num w:numId="295" w16cid:durableId="1458063327">
    <w:abstractNumId w:val="383"/>
  </w:num>
  <w:num w:numId="296" w16cid:durableId="332683777">
    <w:abstractNumId w:val="136"/>
  </w:num>
  <w:num w:numId="297" w16cid:durableId="6947329">
    <w:abstractNumId w:val="22"/>
  </w:num>
  <w:num w:numId="298" w16cid:durableId="361322026">
    <w:abstractNumId w:val="241"/>
  </w:num>
  <w:num w:numId="299" w16cid:durableId="488641678">
    <w:abstractNumId w:val="230"/>
  </w:num>
  <w:num w:numId="300" w16cid:durableId="34426228">
    <w:abstractNumId w:val="106"/>
  </w:num>
  <w:num w:numId="301" w16cid:durableId="657079722">
    <w:abstractNumId w:val="370"/>
  </w:num>
  <w:num w:numId="302" w16cid:durableId="485754493">
    <w:abstractNumId w:val="58"/>
  </w:num>
  <w:num w:numId="303" w16cid:durableId="2017228115">
    <w:abstractNumId w:val="163"/>
  </w:num>
  <w:num w:numId="304" w16cid:durableId="808280831">
    <w:abstractNumId w:val="95"/>
  </w:num>
  <w:num w:numId="305" w16cid:durableId="1119450371">
    <w:abstractNumId w:val="187"/>
  </w:num>
  <w:num w:numId="306" w16cid:durableId="1123571341">
    <w:abstractNumId w:val="96"/>
  </w:num>
  <w:num w:numId="307" w16cid:durableId="1343437403">
    <w:abstractNumId w:val="423"/>
  </w:num>
  <w:num w:numId="308" w16cid:durableId="1111559072">
    <w:abstractNumId w:val="138"/>
  </w:num>
  <w:num w:numId="309" w16cid:durableId="662901188">
    <w:abstractNumId w:val="150"/>
  </w:num>
  <w:num w:numId="310" w16cid:durableId="218513017">
    <w:abstractNumId w:val="359"/>
  </w:num>
  <w:num w:numId="311" w16cid:durableId="13847248">
    <w:abstractNumId w:val="191"/>
  </w:num>
  <w:num w:numId="312" w16cid:durableId="1533493159">
    <w:abstractNumId w:val="30"/>
  </w:num>
  <w:num w:numId="313" w16cid:durableId="2031835491">
    <w:abstractNumId w:val="77"/>
  </w:num>
  <w:num w:numId="314" w16cid:durableId="1533223599">
    <w:abstractNumId w:val="329"/>
  </w:num>
  <w:num w:numId="315" w16cid:durableId="347413252">
    <w:abstractNumId w:val="413"/>
  </w:num>
  <w:num w:numId="316" w16cid:durableId="625739670">
    <w:abstractNumId w:val="214"/>
  </w:num>
  <w:num w:numId="317" w16cid:durableId="763653769">
    <w:abstractNumId w:val="227"/>
  </w:num>
  <w:num w:numId="318" w16cid:durableId="58327724">
    <w:abstractNumId w:val="108"/>
  </w:num>
  <w:num w:numId="319" w16cid:durableId="1109272869">
    <w:abstractNumId w:val="92"/>
  </w:num>
  <w:num w:numId="320" w16cid:durableId="1409115862">
    <w:abstractNumId w:val="387"/>
  </w:num>
  <w:num w:numId="321" w16cid:durableId="1397900598">
    <w:abstractNumId w:val="410"/>
  </w:num>
  <w:num w:numId="322" w16cid:durableId="719523910">
    <w:abstractNumId w:val="426"/>
  </w:num>
  <w:num w:numId="323" w16cid:durableId="441608808">
    <w:abstractNumId w:val="266"/>
  </w:num>
  <w:num w:numId="324" w16cid:durableId="27033072">
    <w:abstractNumId w:val="197"/>
  </w:num>
  <w:num w:numId="325" w16cid:durableId="1946618499">
    <w:abstractNumId w:val="409"/>
  </w:num>
  <w:num w:numId="326" w16cid:durableId="1911648906">
    <w:abstractNumId w:val="322"/>
  </w:num>
  <w:num w:numId="327" w16cid:durableId="2112972781">
    <w:abstractNumId w:val="153"/>
  </w:num>
  <w:num w:numId="328" w16cid:durableId="635569067">
    <w:abstractNumId w:val="295"/>
  </w:num>
  <w:num w:numId="329" w16cid:durableId="575163965">
    <w:abstractNumId w:val="156"/>
  </w:num>
  <w:num w:numId="330" w16cid:durableId="872884410">
    <w:abstractNumId w:val="83"/>
  </w:num>
  <w:num w:numId="331" w16cid:durableId="1658922893">
    <w:abstractNumId w:val="434"/>
  </w:num>
  <w:num w:numId="332" w16cid:durableId="1569464134">
    <w:abstractNumId w:val="381"/>
  </w:num>
  <w:num w:numId="333" w16cid:durableId="389816232">
    <w:abstractNumId w:val="131"/>
  </w:num>
  <w:num w:numId="334" w16cid:durableId="1443305948">
    <w:abstractNumId w:val="195"/>
  </w:num>
  <w:num w:numId="335" w16cid:durableId="687562350">
    <w:abstractNumId w:val="321"/>
  </w:num>
  <w:num w:numId="336" w16cid:durableId="452750194">
    <w:abstractNumId w:val="272"/>
  </w:num>
  <w:num w:numId="337" w16cid:durableId="47413677">
    <w:abstractNumId w:val="185"/>
  </w:num>
  <w:num w:numId="338" w16cid:durableId="1889611025">
    <w:abstractNumId w:val="117"/>
  </w:num>
  <w:num w:numId="339" w16cid:durableId="618949761">
    <w:abstractNumId w:val="318"/>
  </w:num>
  <w:num w:numId="340" w16cid:durableId="818887732">
    <w:abstractNumId w:val="243"/>
  </w:num>
  <w:num w:numId="341" w16cid:durableId="180240738">
    <w:abstractNumId w:val="133"/>
  </w:num>
  <w:num w:numId="342" w16cid:durableId="2095935057">
    <w:abstractNumId w:val="299"/>
  </w:num>
  <w:num w:numId="343" w16cid:durableId="1420298570">
    <w:abstractNumId w:val="12"/>
  </w:num>
  <w:num w:numId="344" w16cid:durableId="445739343">
    <w:abstractNumId w:val="114"/>
  </w:num>
  <w:num w:numId="345" w16cid:durableId="26027172">
    <w:abstractNumId w:val="327"/>
  </w:num>
  <w:num w:numId="346" w16cid:durableId="1126774037">
    <w:abstractNumId w:val="100"/>
  </w:num>
  <w:num w:numId="347" w16cid:durableId="10761950">
    <w:abstractNumId w:val="127"/>
  </w:num>
  <w:num w:numId="348" w16cid:durableId="170681562">
    <w:abstractNumId w:val="193"/>
  </w:num>
  <w:num w:numId="349" w16cid:durableId="88624264">
    <w:abstractNumId w:val="236"/>
  </w:num>
  <w:num w:numId="350" w16cid:durableId="275527645">
    <w:abstractNumId w:val="308"/>
  </w:num>
  <w:num w:numId="351" w16cid:durableId="451025057">
    <w:abstractNumId w:val="3"/>
  </w:num>
  <w:num w:numId="352" w16cid:durableId="765465137">
    <w:abstractNumId w:val="36"/>
  </w:num>
  <w:num w:numId="353" w16cid:durableId="146019684">
    <w:abstractNumId w:val="315"/>
  </w:num>
  <w:num w:numId="354" w16cid:durableId="469322812">
    <w:abstractNumId w:val="259"/>
  </w:num>
  <w:num w:numId="355" w16cid:durableId="1836217696">
    <w:abstractNumId w:val="224"/>
  </w:num>
  <w:num w:numId="356" w16cid:durableId="89088679">
    <w:abstractNumId w:val="342"/>
  </w:num>
  <w:num w:numId="357" w16cid:durableId="1094327966">
    <w:abstractNumId w:val="273"/>
  </w:num>
  <w:num w:numId="358" w16cid:durableId="1347906802">
    <w:abstractNumId w:val="287"/>
  </w:num>
  <w:num w:numId="359" w16cid:durableId="51076684">
    <w:abstractNumId w:val="229"/>
  </w:num>
  <w:num w:numId="360" w16cid:durableId="1231385657">
    <w:abstractNumId w:val="428"/>
  </w:num>
  <w:num w:numId="361" w16cid:durableId="90707511">
    <w:abstractNumId w:val="427"/>
  </w:num>
  <w:num w:numId="362" w16cid:durableId="1472215793">
    <w:abstractNumId w:val="324"/>
  </w:num>
  <w:num w:numId="363" w16cid:durableId="217202718">
    <w:abstractNumId w:val="389"/>
  </w:num>
  <w:num w:numId="364" w16cid:durableId="1564826119">
    <w:abstractNumId w:val="422"/>
  </w:num>
  <w:num w:numId="365" w16cid:durableId="729615065">
    <w:abstractNumId w:val="349"/>
  </w:num>
  <w:num w:numId="366" w16cid:durableId="1274633953">
    <w:abstractNumId w:val="142"/>
  </w:num>
  <w:num w:numId="367" w16cid:durableId="1773043263">
    <w:abstractNumId w:val="53"/>
  </w:num>
  <w:num w:numId="368" w16cid:durableId="458228484">
    <w:abstractNumId w:val="270"/>
  </w:num>
  <w:num w:numId="369" w16cid:durableId="637878151">
    <w:abstractNumId w:val="382"/>
  </w:num>
  <w:num w:numId="370" w16cid:durableId="1318415618">
    <w:abstractNumId w:val="116"/>
  </w:num>
  <w:num w:numId="371" w16cid:durableId="1588229790">
    <w:abstractNumId w:val="303"/>
  </w:num>
  <w:num w:numId="372" w16cid:durableId="435369412">
    <w:abstractNumId w:val="363"/>
  </w:num>
  <w:num w:numId="373" w16cid:durableId="1484548043">
    <w:abstractNumId w:val="134"/>
  </w:num>
  <w:num w:numId="374" w16cid:durableId="1943100701">
    <w:abstractNumId w:val="419"/>
  </w:num>
  <w:num w:numId="375" w16cid:durableId="345447685">
    <w:abstractNumId w:val="28"/>
  </w:num>
  <w:num w:numId="376" w16cid:durableId="260338764">
    <w:abstractNumId w:val="332"/>
  </w:num>
  <w:num w:numId="377" w16cid:durableId="1589076618">
    <w:abstractNumId w:val="67"/>
  </w:num>
  <w:num w:numId="378" w16cid:durableId="864027392">
    <w:abstractNumId w:val="281"/>
  </w:num>
  <w:num w:numId="379" w16cid:durableId="723136255">
    <w:abstractNumId w:val="103"/>
  </w:num>
  <w:num w:numId="380" w16cid:durableId="247613626">
    <w:abstractNumId w:val="309"/>
  </w:num>
  <w:num w:numId="381" w16cid:durableId="1750270908">
    <w:abstractNumId w:val="432"/>
  </w:num>
  <w:num w:numId="382" w16cid:durableId="1967155122">
    <w:abstractNumId w:val="346"/>
  </w:num>
  <w:num w:numId="383" w16cid:durableId="2022314115">
    <w:abstractNumId w:val="158"/>
  </w:num>
  <w:num w:numId="384" w16cid:durableId="2032027623">
    <w:abstractNumId w:val="137"/>
  </w:num>
  <w:num w:numId="385" w16cid:durableId="1220824071">
    <w:abstractNumId w:val="319"/>
  </w:num>
  <w:num w:numId="386" w16cid:durableId="1558127221">
    <w:abstractNumId w:val="40"/>
  </w:num>
  <w:num w:numId="387" w16cid:durableId="1951663031">
    <w:abstractNumId w:val="121"/>
  </w:num>
  <w:num w:numId="388" w16cid:durableId="490292283">
    <w:abstractNumId w:val="223"/>
  </w:num>
  <w:num w:numId="389" w16cid:durableId="1695619858">
    <w:abstractNumId w:val="126"/>
  </w:num>
  <w:num w:numId="390" w16cid:durableId="931163411">
    <w:abstractNumId w:val="232"/>
  </w:num>
  <w:num w:numId="391" w16cid:durableId="1472477632">
    <w:abstractNumId w:val="188"/>
  </w:num>
  <w:num w:numId="392" w16cid:durableId="1383675695">
    <w:abstractNumId w:val="235"/>
  </w:num>
  <w:num w:numId="393" w16cid:durableId="225997057">
    <w:abstractNumId w:val="384"/>
  </w:num>
  <w:num w:numId="394" w16cid:durableId="1728534236">
    <w:abstractNumId w:val="437"/>
  </w:num>
  <w:num w:numId="395" w16cid:durableId="259605379">
    <w:abstractNumId w:val="391"/>
  </w:num>
  <w:num w:numId="396" w16cid:durableId="1596984991">
    <w:abstractNumId w:val="79"/>
  </w:num>
  <w:num w:numId="397" w16cid:durableId="171072614">
    <w:abstractNumId w:val="277"/>
  </w:num>
  <w:num w:numId="398" w16cid:durableId="2064256771">
    <w:abstractNumId w:val="64"/>
  </w:num>
  <w:num w:numId="399" w16cid:durableId="1534685678">
    <w:abstractNumId w:val="45"/>
  </w:num>
  <w:num w:numId="400" w16cid:durableId="644313627">
    <w:abstractNumId w:val="228"/>
  </w:num>
  <w:num w:numId="401" w16cid:durableId="83697740">
    <w:abstractNumId w:val="345"/>
  </w:num>
  <w:num w:numId="402" w16cid:durableId="650671207">
    <w:abstractNumId w:val="305"/>
  </w:num>
  <w:num w:numId="403" w16cid:durableId="1528376008">
    <w:abstractNumId w:val="403"/>
  </w:num>
  <w:num w:numId="404" w16cid:durableId="666976766">
    <w:abstractNumId w:val="390"/>
  </w:num>
  <w:num w:numId="405" w16cid:durableId="122702054">
    <w:abstractNumId w:val="249"/>
  </w:num>
  <w:num w:numId="406" w16cid:durableId="543325198">
    <w:abstractNumId w:val="13"/>
  </w:num>
  <w:num w:numId="407" w16cid:durableId="1464039322">
    <w:abstractNumId w:val="91"/>
  </w:num>
  <w:num w:numId="408" w16cid:durableId="1480417607">
    <w:abstractNumId w:val="192"/>
  </w:num>
  <w:num w:numId="409" w16cid:durableId="1884053472">
    <w:abstractNumId w:val="414"/>
  </w:num>
  <w:num w:numId="410" w16cid:durableId="1901205649">
    <w:abstractNumId w:val="119"/>
  </w:num>
  <w:num w:numId="411" w16cid:durableId="1029917883">
    <w:abstractNumId w:val="392"/>
  </w:num>
  <w:num w:numId="412" w16cid:durableId="604307610">
    <w:abstractNumId w:val="167"/>
  </w:num>
  <w:num w:numId="413" w16cid:durableId="676735006">
    <w:abstractNumId w:val="231"/>
  </w:num>
  <w:num w:numId="414" w16cid:durableId="1587960574">
    <w:abstractNumId w:val="15"/>
  </w:num>
  <w:num w:numId="415" w16cid:durableId="1915623112">
    <w:abstractNumId w:val="420"/>
  </w:num>
  <w:num w:numId="416" w16cid:durableId="106782925">
    <w:abstractNumId w:val="278"/>
  </w:num>
  <w:num w:numId="417" w16cid:durableId="588585192">
    <w:abstractNumId w:val="80"/>
  </w:num>
  <w:num w:numId="418" w16cid:durableId="1243372400">
    <w:abstractNumId w:val="65"/>
  </w:num>
  <w:num w:numId="419" w16cid:durableId="993215354">
    <w:abstractNumId w:val="396"/>
  </w:num>
  <w:num w:numId="420" w16cid:durableId="1911042656">
    <w:abstractNumId w:val="201"/>
  </w:num>
  <w:num w:numId="421" w16cid:durableId="1680617001">
    <w:abstractNumId w:val="88"/>
  </w:num>
  <w:num w:numId="422" w16cid:durableId="1108427480">
    <w:abstractNumId w:val="377"/>
  </w:num>
  <w:num w:numId="423" w16cid:durableId="1457331587">
    <w:abstractNumId w:val="164"/>
  </w:num>
  <w:num w:numId="424" w16cid:durableId="253560522">
    <w:abstractNumId w:val="161"/>
  </w:num>
  <w:num w:numId="425" w16cid:durableId="1089698018">
    <w:abstractNumId w:val="215"/>
  </w:num>
  <w:num w:numId="426" w16cid:durableId="642850328">
    <w:abstractNumId w:val="184"/>
  </w:num>
  <w:num w:numId="427" w16cid:durableId="1795900057">
    <w:abstractNumId w:val="123"/>
  </w:num>
  <w:num w:numId="428" w16cid:durableId="91166272">
    <w:abstractNumId w:val="268"/>
  </w:num>
  <w:num w:numId="429" w16cid:durableId="124396180">
    <w:abstractNumId w:val="166"/>
  </w:num>
  <w:num w:numId="430" w16cid:durableId="897980652">
    <w:abstractNumId w:val="190"/>
  </w:num>
  <w:num w:numId="431" w16cid:durableId="848521299">
    <w:abstractNumId w:val="55"/>
  </w:num>
  <w:num w:numId="432" w16cid:durableId="956907173">
    <w:abstractNumId w:val="34"/>
  </w:num>
  <w:num w:numId="433" w16cid:durableId="1247377210">
    <w:abstractNumId w:val="174"/>
  </w:num>
  <w:num w:numId="434" w16cid:durableId="1156609110">
    <w:abstractNumId w:val="239"/>
  </w:num>
  <w:num w:numId="435" w16cid:durableId="732309483">
    <w:abstractNumId w:val="141"/>
  </w:num>
  <w:num w:numId="436" w16cid:durableId="630866776">
    <w:abstractNumId w:val="294"/>
  </w:num>
  <w:num w:numId="437" w16cid:durableId="1471440930">
    <w:abstractNumId w:val="171"/>
  </w:num>
  <w:num w:numId="438" w16cid:durableId="1491019637">
    <w:abstractNumId w:val="385"/>
  </w:num>
  <w:num w:numId="439" w16cid:durableId="996566768">
    <w:abstractNumId w:val="251"/>
  </w:num>
  <w:num w:numId="440" w16cid:durableId="1347294463">
    <w:abstractNumId w:val="82"/>
  </w:num>
  <w:num w:numId="441" w16cid:durableId="1532765312">
    <w:abstractNumId w:val="364"/>
  </w:num>
  <w:num w:numId="442" w16cid:durableId="1892689817">
    <w:abstractNumId w:val="258"/>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A0NjYwNDK2MDczNjdU0lEKTi0uzszPAymwMK8FAGeWo5QtAAAA"/>
  </w:docVars>
  <w:rsids>
    <w:rsidRoot w:val="00A626FE"/>
    <w:rsid w:val="00000400"/>
    <w:rsid w:val="000009F4"/>
    <w:rsid w:val="00000BB3"/>
    <w:rsid w:val="00000CBA"/>
    <w:rsid w:val="00000F89"/>
    <w:rsid w:val="000018DF"/>
    <w:rsid w:val="00001991"/>
    <w:rsid w:val="00001BC4"/>
    <w:rsid w:val="00001C07"/>
    <w:rsid w:val="0000258A"/>
    <w:rsid w:val="000027ED"/>
    <w:rsid w:val="00002C84"/>
    <w:rsid w:val="00002DE0"/>
    <w:rsid w:val="000030AD"/>
    <w:rsid w:val="000035A7"/>
    <w:rsid w:val="00003795"/>
    <w:rsid w:val="000039FB"/>
    <w:rsid w:val="00004081"/>
    <w:rsid w:val="0000469B"/>
    <w:rsid w:val="000049E2"/>
    <w:rsid w:val="00004B9D"/>
    <w:rsid w:val="00004C37"/>
    <w:rsid w:val="00004DB2"/>
    <w:rsid w:val="00004FDE"/>
    <w:rsid w:val="00005794"/>
    <w:rsid w:val="000057A2"/>
    <w:rsid w:val="00005E5A"/>
    <w:rsid w:val="00005F20"/>
    <w:rsid w:val="000064CE"/>
    <w:rsid w:val="0000693C"/>
    <w:rsid w:val="00006EF1"/>
    <w:rsid w:val="0000747D"/>
    <w:rsid w:val="0000750F"/>
    <w:rsid w:val="0000769F"/>
    <w:rsid w:val="00010378"/>
    <w:rsid w:val="000106D0"/>
    <w:rsid w:val="00010C6B"/>
    <w:rsid w:val="00011057"/>
    <w:rsid w:val="00011121"/>
    <w:rsid w:val="0001186F"/>
    <w:rsid w:val="00011D8C"/>
    <w:rsid w:val="000120FD"/>
    <w:rsid w:val="000121C7"/>
    <w:rsid w:val="000126D3"/>
    <w:rsid w:val="00012988"/>
    <w:rsid w:val="00013074"/>
    <w:rsid w:val="00013093"/>
    <w:rsid w:val="000130FD"/>
    <w:rsid w:val="00013E57"/>
    <w:rsid w:val="00014694"/>
    <w:rsid w:val="000153B8"/>
    <w:rsid w:val="00015F1B"/>
    <w:rsid w:val="000167D7"/>
    <w:rsid w:val="00016844"/>
    <w:rsid w:val="000168D2"/>
    <w:rsid w:val="00016957"/>
    <w:rsid w:val="00016DD8"/>
    <w:rsid w:val="00016DE1"/>
    <w:rsid w:val="00017563"/>
    <w:rsid w:val="0001774A"/>
    <w:rsid w:val="00017ED0"/>
    <w:rsid w:val="00020300"/>
    <w:rsid w:val="00020742"/>
    <w:rsid w:val="00020922"/>
    <w:rsid w:val="000209F9"/>
    <w:rsid w:val="00021295"/>
    <w:rsid w:val="0002179A"/>
    <w:rsid w:val="00021911"/>
    <w:rsid w:val="000224F1"/>
    <w:rsid w:val="000224F4"/>
    <w:rsid w:val="00022AB1"/>
    <w:rsid w:val="00022BB3"/>
    <w:rsid w:val="00022C60"/>
    <w:rsid w:val="00022C7D"/>
    <w:rsid w:val="00023041"/>
    <w:rsid w:val="000230A5"/>
    <w:rsid w:val="0002335D"/>
    <w:rsid w:val="00023786"/>
    <w:rsid w:val="000237F6"/>
    <w:rsid w:val="00023947"/>
    <w:rsid w:val="00023AE7"/>
    <w:rsid w:val="00023B9B"/>
    <w:rsid w:val="00023BC2"/>
    <w:rsid w:val="000245B6"/>
    <w:rsid w:val="0002498B"/>
    <w:rsid w:val="00024BD4"/>
    <w:rsid w:val="00024D5C"/>
    <w:rsid w:val="000259EB"/>
    <w:rsid w:val="00025ADD"/>
    <w:rsid w:val="000260E7"/>
    <w:rsid w:val="000266AB"/>
    <w:rsid w:val="00026960"/>
    <w:rsid w:val="00026C80"/>
    <w:rsid w:val="00026CC0"/>
    <w:rsid w:val="0002708F"/>
    <w:rsid w:val="00027299"/>
    <w:rsid w:val="00027300"/>
    <w:rsid w:val="000275DB"/>
    <w:rsid w:val="000276F3"/>
    <w:rsid w:val="00027FC4"/>
    <w:rsid w:val="0003021A"/>
    <w:rsid w:val="00030277"/>
    <w:rsid w:val="00030400"/>
    <w:rsid w:val="0003126D"/>
    <w:rsid w:val="00031453"/>
    <w:rsid w:val="00031935"/>
    <w:rsid w:val="00031DF5"/>
    <w:rsid w:val="00032570"/>
    <w:rsid w:val="000325A9"/>
    <w:rsid w:val="00032753"/>
    <w:rsid w:val="000329E8"/>
    <w:rsid w:val="00033B3F"/>
    <w:rsid w:val="00034515"/>
    <w:rsid w:val="0003467A"/>
    <w:rsid w:val="00034729"/>
    <w:rsid w:val="00034840"/>
    <w:rsid w:val="00034AC7"/>
    <w:rsid w:val="00034D9C"/>
    <w:rsid w:val="00034E86"/>
    <w:rsid w:val="00035140"/>
    <w:rsid w:val="000359D0"/>
    <w:rsid w:val="0003603D"/>
    <w:rsid w:val="00036DAB"/>
    <w:rsid w:val="00036F53"/>
    <w:rsid w:val="00037780"/>
    <w:rsid w:val="000378F4"/>
    <w:rsid w:val="00037978"/>
    <w:rsid w:val="0004051B"/>
    <w:rsid w:val="000405DC"/>
    <w:rsid w:val="00040C7F"/>
    <w:rsid w:val="000418E3"/>
    <w:rsid w:val="00041D90"/>
    <w:rsid w:val="00041FF9"/>
    <w:rsid w:val="000423A8"/>
    <w:rsid w:val="00042827"/>
    <w:rsid w:val="000433D0"/>
    <w:rsid w:val="000435C0"/>
    <w:rsid w:val="00043B55"/>
    <w:rsid w:val="00044139"/>
    <w:rsid w:val="000448FB"/>
    <w:rsid w:val="00044AC6"/>
    <w:rsid w:val="00044DB8"/>
    <w:rsid w:val="00044DC0"/>
    <w:rsid w:val="00044FA6"/>
    <w:rsid w:val="0004571A"/>
    <w:rsid w:val="0004600B"/>
    <w:rsid w:val="0004668B"/>
    <w:rsid w:val="00046F80"/>
    <w:rsid w:val="0004726B"/>
    <w:rsid w:val="000477EE"/>
    <w:rsid w:val="000507E0"/>
    <w:rsid w:val="00050C1F"/>
    <w:rsid w:val="00050D78"/>
    <w:rsid w:val="00050EC0"/>
    <w:rsid w:val="000515B0"/>
    <w:rsid w:val="00051A3F"/>
    <w:rsid w:val="0005250C"/>
    <w:rsid w:val="0005268D"/>
    <w:rsid w:val="00052738"/>
    <w:rsid w:val="00052BE4"/>
    <w:rsid w:val="00053151"/>
    <w:rsid w:val="00053C31"/>
    <w:rsid w:val="0005452E"/>
    <w:rsid w:val="00054E1A"/>
    <w:rsid w:val="00054E48"/>
    <w:rsid w:val="00055333"/>
    <w:rsid w:val="00055504"/>
    <w:rsid w:val="0005558B"/>
    <w:rsid w:val="000556D5"/>
    <w:rsid w:val="0005571F"/>
    <w:rsid w:val="00055A37"/>
    <w:rsid w:val="00055AEC"/>
    <w:rsid w:val="000562A9"/>
    <w:rsid w:val="00056346"/>
    <w:rsid w:val="00056A88"/>
    <w:rsid w:val="00057005"/>
    <w:rsid w:val="00057666"/>
    <w:rsid w:val="000600E6"/>
    <w:rsid w:val="00060A07"/>
    <w:rsid w:val="00060AB0"/>
    <w:rsid w:val="00060D7F"/>
    <w:rsid w:val="000619C2"/>
    <w:rsid w:val="00061D86"/>
    <w:rsid w:val="00061E04"/>
    <w:rsid w:val="00061E8E"/>
    <w:rsid w:val="00061F09"/>
    <w:rsid w:val="000620F0"/>
    <w:rsid w:val="00062344"/>
    <w:rsid w:val="000627F4"/>
    <w:rsid w:val="00063877"/>
    <w:rsid w:val="000643C4"/>
    <w:rsid w:val="0006458B"/>
    <w:rsid w:val="00064C31"/>
    <w:rsid w:val="000659A5"/>
    <w:rsid w:val="000661D9"/>
    <w:rsid w:val="000665DF"/>
    <w:rsid w:val="00067360"/>
    <w:rsid w:val="0006753E"/>
    <w:rsid w:val="000675CD"/>
    <w:rsid w:val="000676A5"/>
    <w:rsid w:val="0006790B"/>
    <w:rsid w:val="000707A2"/>
    <w:rsid w:val="00070880"/>
    <w:rsid w:val="00070C63"/>
    <w:rsid w:val="00071189"/>
    <w:rsid w:val="00071474"/>
    <w:rsid w:val="000718B1"/>
    <w:rsid w:val="00072BE6"/>
    <w:rsid w:val="00072D16"/>
    <w:rsid w:val="00072DF0"/>
    <w:rsid w:val="00072FC7"/>
    <w:rsid w:val="000731A8"/>
    <w:rsid w:val="00073719"/>
    <w:rsid w:val="00073756"/>
    <w:rsid w:val="00073911"/>
    <w:rsid w:val="00073B57"/>
    <w:rsid w:val="00073E5F"/>
    <w:rsid w:val="00073FD1"/>
    <w:rsid w:val="00074184"/>
    <w:rsid w:val="000743D5"/>
    <w:rsid w:val="0007484D"/>
    <w:rsid w:val="00074C3C"/>
    <w:rsid w:val="000751F3"/>
    <w:rsid w:val="00075288"/>
    <w:rsid w:val="0007552A"/>
    <w:rsid w:val="00075B68"/>
    <w:rsid w:val="00076032"/>
    <w:rsid w:val="00076770"/>
    <w:rsid w:val="000772E8"/>
    <w:rsid w:val="000773D6"/>
    <w:rsid w:val="00077B69"/>
    <w:rsid w:val="00077C30"/>
    <w:rsid w:val="00077DB0"/>
    <w:rsid w:val="00080A05"/>
    <w:rsid w:val="00080D5D"/>
    <w:rsid w:val="000814D7"/>
    <w:rsid w:val="000816CB"/>
    <w:rsid w:val="00081859"/>
    <w:rsid w:val="000818DE"/>
    <w:rsid w:val="00081B9E"/>
    <w:rsid w:val="00081C82"/>
    <w:rsid w:val="00081D7E"/>
    <w:rsid w:val="00081EC4"/>
    <w:rsid w:val="00081EF4"/>
    <w:rsid w:val="00081F99"/>
    <w:rsid w:val="00082246"/>
    <w:rsid w:val="00082308"/>
    <w:rsid w:val="00082908"/>
    <w:rsid w:val="00082AAF"/>
    <w:rsid w:val="00082CC4"/>
    <w:rsid w:val="00083058"/>
    <w:rsid w:val="00083531"/>
    <w:rsid w:val="00083EDD"/>
    <w:rsid w:val="00084115"/>
    <w:rsid w:val="000842BA"/>
    <w:rsid w:val="00084317"/>
    <w:rsid w:val="000848FF"/>
    <w:rsid w:val="000849BC"/>
    <w:rsid w:val="00084A77"/>
    <w:rsid w:val="00084D52"/>
    <w:rsid w:val="00084D87"/>
    <w:rsid w:val="00084F84"/>
    <w:rsid w:val="000856D3"/>
    <w:rsid w:val="0008581C"/>
    <w:rsid w:val="0008637D"/>
    <w:rsid w:val="00086E9F"/>
    <w:rsid w:val="00086F9C"/>
    <w:rsid w:val="0008775E"/>
    <w:rsid w:val="00087EB5"/>
    <w:rsid w:val="000904E1"/>
    <w:rsid w:val="00090C10"/>
    <w:rsid w:val="00090ECA"/>
    <w:rsid w:val="00091674"/>
    <w:rsid w:val="00091801"/>
    <w:rsid w:val="0009187E"/>
    <w:rsid w:val="0009198A"/>
    <w:rsid w:val="00092025"/>
    <w:rsid w:val="00092146"/>
    <w:rsid w:val="00092748"/>
    <w:rsid w:val="00092A27"/>
    <w:rsid w:val="0009341E"/>
    <w:rsid w:val="0009346C"/>
    <w:rsid w:val="000934AF"/>
    <w:rsid w:val="0009364F"/>
    <w:rsid w:val="00094035"/>
    <w:rsid w:val="000943B6"/>
    <w:rsid w:val="00095283"/>
    <w:rsid w:val="00095421"/>
    <w:rsid w:val="00095648"/>
    <w:rsid w:val="00095843"/>
    <w:rsid w:val="000958C8"/>
    <w:rsid w:val="00095B23"/>
    <w:rsid w:val="000963E4"/>
    <w:rsid w:val="000964B2"/>
    <w:rsid w:val="00096CB7"/>
    <w:rsid w:val="00096FF0"/>
    <w:rsid w:val="0009774B"/>
    <w:rsid w:val="00097991"/>
    <w:rsid w:val="00097AE2"/>
    <w:rsid w:val="00097E33"/>
    <w:rsid w:val="00097EA2"/>
    <w:rsid w:val="00097EF0"/>
    <w:rsid w:val="000A01AF"/>
    <w:rsid w:val="000A07C1"/>
    <w:rsid w:val="000A109A"/>
    <w:rsid w:val="000A1BA2"/>
    <w:rsid w:val="000A1CB2"/>
    <w:rsid w:val="000A1DCC"/>
    <w:rsid w:val="000A20CE"/>
    <w:rsid w:val="000A2574"/>
    <w:rsid w:val="000A26E6"/>
    <w:rsid w:val="000A2BD9"/>
    <w:rsid w:val="000A2DFF"/>
    <w:rsid w:val="000A36E3"/>
    <w:rsid w:val="000A38D0"/>
    <w:rsid w:val="000A4455"/>
    <w:rsid w:val="000A44C1"/>
    <w:rsid w:val="000A44FB"/>
    <w:rsid w:val="000A4B16"/>
    <w:rsid w:val="000A4CFB"/>
    <w:rsid w:val="000A4EC7"/>
    <w:rsid w:val="000A5C9A"/>
    <w:rsid w:val="000A5D3A"/>
    <w:rsid w:val="000A6096"/>
    <w:rsid w:val="000A6431"/>
    <w:rsid w:val="000A65B3"/>
    <w:rsid w:val="000A7451"/>
    <w:rsid w:val="000A7BDC"/>
    <w:rsid w:val="000B06E2"/>
    <w:rsid w:val="000B0F7B"/>
    <w:rsid w:val="000B0F82"/>
    <w:rsid w:val="000B16DA"/>
    <w:rsid w:val="000B1B35"/>
    <w:rsid w:val="000B1E5C"/>
    <w:rsid w:val="000B24F6"/>
    <w:rsid w:val="000B31F4"/>
    <w:rsid w:val="000B3711"/>
    <w:rsid w:val="000B3E6E"/>
    <w:rsid w:val="000B400B"/>
    <w:rsid w:val="000B466B"/>
    <w:rsid w:val="000B4882"/>
    <w:rsid w:val="000B4F61"/>
    <w:rsid w:val="000B552F"/>
    <w:rsid w:val="000B5764"/>
    <w:rsid w:val="000B59EF"/>
    <w:rsid w:val="000B5C15"/>
    <w:rsid w:val="000B5C25"/>
    <w:rsid w:val="000B621A"/>
    <w:rsid w:val="000B6AC9"/>
    <w:rsid w:val="000B6B3C"/>
    <w:rsid w:val="000B6C6C"/>
    <w:rsid w:val="000B703A"/>
    <w:rsid w:val="000B7511"/>
    <w:rsid w:val="000B79E7"/>
    <w:rsid w:val="000B7A49"/>
    <w:rsid w:val="000B7BF5"/>
    <w:rsid w:val="000B7EC4"/>
    <w:rsid w:val="000C0ED0"/>
    <w:rsid w:val="000C0F58"/>
    <w:rsid w:val="000C13D8"/>
    <w:rsid w:val="000C13F6"/>
    <w:rsid w:val="000C216B"/>
    <w:rsid w:val="000C29BB"/>
    <w:rsid w:val="000C29E2"/>
    <w:rsid w:val="000C29E4"/>
    <w:rsid w:val="000C2B64"/>
    <w:rsid w:val="000C2BA4"/>
    <w:rsid w:val="000C3617"/>
    <w:rsid w:val="000C381D"/>
    <w:rsid w:val="000C3AAC"/>
    <w:rsid w:val="000C3BE5"/>
    <w:rsid w:val="000C3CF5"/>
    <w:rsid w:val="000C4229"/>
    <w:rsid w:val="000C4CF8"/>
    <w:rsid w:val="000C5317"/>
    <w:rsid w:val="000C5FF8"/>
    <w:rsid w:val="000C6CEE"/>
    <w:rsid w:val="000C7232"/>
    <w:rsid w:val="000C75D2"/>
    <w:rsid w:val="000C7B26"/>
    <w:rsid w:val="000C7F9D"/>
    <w:rsid w:val="000D0203"/>
    <w:rsid w:val="000D02D1"/>
    <w:rsid w:val="000D04EF"/>
    <w:rsid w:val="000D05DE"/>
    <w:rsid w:val="000D0933"/>
    <w:rsid w:val="000D0950"/>
    <w:rsid w:val="000D0CC3"/>
    <w:rsid w:val="000D0F9B"/>
    <w:rsid w:val="000D1301"/>
    <w:rsid w:val="000D1ADC"/>
    <w:rsid w:val="000D2639"/>
    <w:rsid w:val="000D28E8"/>
    <w:rsid w:val="000D3306"/>
    <w:rsid w:val="000D3341"/>
    <w:rsid w:val="000D34B6"/>
    <w:rsid w:val="000D3662"/>
    <w:rsid w:val="000D3D09"/>
    <w:rsid w:val="000D3F18"/>
    <w:rsid w:val="000D42B2"/>
    <w:rsid w:val="000D4334"/>
    <w:rsid w:val="000D4475"/>
    <w:rsid w:val="000D4487"/>
    <w:rsid w:val="000D4598"/>
    <w:rsid w:val="000D49AA"/>
    <w:rsid w:val="000D4A16"/>
    <w:rsid w:val="000D5B12"/>
    <w:rsid w:val="000D5F32"/>
    <w:rsid w:val="000D6237"/>
    <w:rsid w:val="000D6471"/>
    <w:rsid w:val="000D659F"/>
    <w:rsid w:val="000D66A4"/>
    <w:rsid w:val="000D72D0"/>
    <w:rsid w:val="000D77DC"/>
    <w:rsid w:val="000D7AC1"/>
    <w:rsid w:val="000E0391"/>
    <w:rsid w:val="000E060C"/>
    <w:rsid w:val="000E111E"/>
    <w:rsid w:val="000E16CE"/>
    <w:rsid w:val="000E17F4"/>
    <w:rsid w:val="000E1A35"/>
    <w:rsid w:val="000E20ED"/>
    <w:rsid w:val="000E22B4"/>
    <w:rsid w:val="000E238C"/>
    <w:rsid w:val="000E2549"/>
    <w:rsid w:val="000E28AB"/>
    <w:rsid w:val="000E309B"/>
    <w:rsid w:val="000E309D"/>
    <w:rsid w:val="000E3963"/>
    <w:rsid w:val="000E3F5A"/>
    <w:rsid w:val="000E41A4"/>
    <w:rsid w:val="000E4999"/>
    <w:rsid w:val="000E4CFD"/>
    <w:rsid w:val="000E5122"/>
    <w:rsid w:val="000E51EF"/>
    <w:rsid w:val="000E54A7"/>
    <w:rsid w:val="000E5744"/>
    <w:rsid w:val="000E591B"/>
    <w:rsid w:val="000E5E7E"/>
    <w:rsid w:val="000E6328"/>
    <w:rsid w:val="000E643B"/>
    <w:rsid w:val="000E6936"/>
    <w:rsid w:val="000E6C2D"/>
    <w:rsid w:val="000E6C54"/>
    <w:rsid w:val="000E6C8D"/>
    <w:rsid w:val="000E6EF0"/>
    <w:rsid w:val="000E728A"/>
    <w:rsid w:val="000E777E"/>
    <w:rsid w:val="000E7BB3"/>
    <w:rsid w:val="000E7E2D"/>
    <w:rsid w:val="000F0062"/>
    <w:rsid w:val="000F0541"/>
    <w:rsid w:val="000F0BB0"/>
    <w:rsid w:val="000F1131"/>
    <w:rsid w:val="000F1279"/>
    <w:rsid w:val="000F15B9"/>
    <w:rsid w:val="000F1734"/>
    <w:rsid w:val="000F1B00"/>
    <w:rsid w:val="000F1FD6"/>
    <w:rsid w:val="000F22EF"/>
    <w:rsid w:val="000F22F9"/>
    <w:rsid w:val="000F2A6F"/>
    <w:rsid w:val="000F2ACB"/>
    <w:rsid w:val="000F347D"/>
    <w:rsid w:val="000F3555"/>
    <w:rsid w:val="000F3EFC"/>
    <w:rsid w:val="000F3F09"/>
    <w:rsid w:val="000F40F8"/>
    <w:rsid w:val="000F42BE"/>
    <w:rsid w:val="000F456C"/>
    <w:rsid w:val="000F46BB"/>
    <w:rsid w:val="000F54D1"/>
    <w:rsid w:val="000F5987"/>
    <w:rsid w:val="000F599D"/>
    <w:rsid w:val="000F5A10"/>
    <w:rsid w:val="000F61A1"/>
    <w:rsid w:val="000F7800"/>
    <w:rsid w:val="000F796A"/>
    <w:rsid w:val="000F7AB0"/>
    <w:rsid w:val="000F7B79"/>
    <w:rsid w:val="000F7B7E"/>
    <w:rsid w:val="000F7DD0"/>
    <w:rsid w:val="001003DF"/>
    <w:rsid w:val="001005A5"/>
    <w:rsid w:val="0010095D"/>
    <w:rsid w:val="001009C4"/>
    <w:rsid w:val="00100A46"/>
    <w:rsid w:val="00100C51"/>
    <w:rsid w:val="00100CBA"/>
    <w:rsid w:val="00100CEF"/>
    <w:rsid w:val="00101269"/>
    <w:rsid w:val="00101629"/>
    <w:rsid w:val="00101904"/>
    <w:rsid w:val="00101C60"/>
    <w:rsid w:val="00102258"/>
    <w:rsid w:val="0010250F"/>
    <w:rsid w:val="00102A28"/>
    <w:rsid w:val="00102A77"/>
    <w:rsid w:val="0010306A"/>
    <w:rsid w:val="00103D4E"/>
    <w:rsid w:val="00104009"/>
    <w:rsid w:val="001047B6"/>
    <w:rsid w:val="00104949"/>
    <w:rsid w:val="00104C44"/>
    <w:rsid w:val="00104E9D"/>
    <w:rsid w:val="00104F48"/>
    <w:rsid w:val="00105889"/>
    <w:rsid w:val="00105AD1"/>
    <w:rsid w:val="00105DE1"/>
    <w:rsid w:val="00105F81"/>
    <w:rsid w:val="00106559"/>
    <w:rsid w:val="00106905"/>
    <w:rsid w:val="00106F6A"/>
    <w:rsid w:val="001070AB"/>
    <w:rsid w:val="0010721C"/>
    <w:rsid w:val="001075C4"/>
    <w:rsid w:val="00107860"/>
    <w:rsid w:val="0010791C"/>
    <w:rsid w:val="00107F7C"/>
    <w:rsid w:val="0011000D"/>
    <w:rsid w:val="001100E4"/>
    <w:rsid w:val="00110275"/>
    <w:rsid w:val="00110B17"/>
    <w:rsid w:val="00110DDE"/>
    <w:rsid w:val="001112CA"/>
    <w:rsid w:val="001114A0"/>
    <w:rsid w:val="001117BA"/>
    <w:rsid w:val="00111B74"/>
    <w:rsid w:val="00111B76"/>
    <w:rsid w:val="001127AD"/>
    <w:rsid w:val="00113925"/>
    <w:rsid w:val="00113D3D"/>
    <w:rsid w:val="001145BD"/>
    <w:rsid w:val="00114925"/>
    <w:rsid w:val="001149D2"/>
    <w:rsid w:val="00114C1A"/>
    <w:rsid w:val="00115238"/>
    <w:rsid w:val="0011540D"/>
    <w:rsid w:val="001155E1"/>
    <w:rsid w:val="0011571A"/>
    <w:rsid w:val="001158C5"/>
    <w:rsid w:val="00115927"/>
    <w:rsid w:val="001159BB"/>
    <w:rsid w:val="0011642B"/>
    <w:rsid w:val="00116C80"/>
    <w:rsid w:val="00116CB4"/>
    <w:rsid w:val="00116E79"/>
    <w:rsid w:val="00117190"/>
    <w:rsid w:val="001179D0"/>
    <w:rsid w:val="00117B7E"/>
    <w:rsid w:val="00117D73"/>
    <w:rsid w:val="001203E9"/>
    <w:rsid w:val="001204B1"/>
    <w:rsid w:val="00120515"/>
    <w:rsid w:val="001205EF"/>
    <w:rsid w:val="00120799"/>
    <w:rsid w:val="0012079F"/>
    <w:rsid w:val="0012080B"/>
    <w:rsid w:val="00120AFA"/>
    <w:rsid w:val="001215FA"/>
    <w:rsid w:val="001216A5"/>
    <w:rsid w:val="001218ED"/>
    <w:rsid w:val="00121E8F"/>
    <w:rsid w:val="001223F4"/>
    <w:rsid w:val="0012262C"/>
    <w:rsid w:val="00122AA2"/>
    <w:rsid w:val="00122C19"/>
    <w:rsid w:val="0012307A"/>
    <w:rsid w:val="00124511"/>
    <w:rsid w:val="0012485E"/>
    <w:rsid w:val="00124904"/>
    <w:rsid w:val="0012518E"/>
    <w:rsid w:val="00125699"/>
    <w:rsid w:val="0012594C"/>
    <w:rsid w:val="00125D4D"/>
    <w:rsid w:val="00126010"/>
    <w:rsid w:val="001260E8"/>
    <w:rsid w:val="00126179"/>
    <w:rsid w:val="00126B0B"/>
    <w:rsid w:val="00126EDB"/>
    <w:rsid w:val="0012796A"/>
    <w:rsid w:val="001300DC"/>
    <w:rsid w:val="0013020D"/>
    <w:rsid w:val="001302C4"/>
    <w:rsid w:val="001307B2"/>
    <w:rsid w:val="0013153A"/>
    <w:rsid w:val="001318F3"/>
    <w:rsid w:val="00131CC2"/>
    <w:rsid w:val="00131E52"/>
    <w:rsid w:val="001320F5"/>
    <w:rsid w:val="0013276D"/>
    <w:rsid w:val="00132A05"/>
    <w:rsid w:val="00133958"/>
    <w:rsid w:val="0013396A"/>
    <w:rsid w:val="00133DD2"/>
    <w:rsid w:val="00133DF5"/>
    <w:rsid w:val="001345F4"/>
    <w:rsid w:val="00134B2B"/>
    <w:rsid w:val="00134B60"/>
    <w:rsid w:val="00134EAC"/>
    <w:rsid w:val="00135041"/>
    <w:rsid w:val="00135106"/>
    <w:rsid w:val="00135252"/>
    <w:rsid w:val="00135BA7"/>
    <w:rsid w:val="00135BDE"/>
    <w:rsid w:val="001364CD"/>
    <w:rsid w:val="001370A2"/>
    <w:rsid w:val="00137191"/>
    <w:rsid w:val="001372B3"/>
    <w:rsid w:val="0013749F"/>
    <w:rsid w:val="001379EA"/>
    <w:rsid w:val="00137B12"/>
    <w:rsid w:val="00137E81"/>
    <w:rsid w:val="0014020E"/>
    <w:rsid w:val="00140913"/>
    <w:rsid w:val="00140AB8"/>
    <w:rsid w:val="00140C44"/>
    <w:rsid w:val="00140DC3"/>
    <w:rsid w:val="00140F97"/>
    <w:rsid w:val="001418DD"/>
    <w:rsid w:val="001419AC"/>
    <w:rsid w:val="00141B8D"/>
    <w:rsid w:val="001421E9"/>
    <w:rsid w:val="00142F71"/>
    <w:rsid w:val="00143463"/>
    <w:rsid w:val="0014360E"/>
    <w:rsid w:val="0014388E"/>
    <w:rsid w:val="001439EB"/>
    <w:rsid w:val="00143B0B"/>
    <w:rsid w:val="00143EEA"/>
    <w:rsid w:val="00144847"/>
    <w:rsid w:val="00144C29"/>
    <w:rsid w:val="001451F5"/>
    <w:rsid w:val="001451F7"/>
    <w:rsid w:val="00145BB1"/>
    <w:rsid w:val="00145BF1"/>
    <w:rsid w:val="00145C34"/>
    <w:rsid w:val="00146CC8"/>
    <w:rsid w:val="00146E9B"/>
    <w:rsid w:val="00146EE5"/>
    <w:rsid w:val="0014702A"/>
    <w:rsid w:val="00147417"/>
    <w:rsid w:val="0015037B"/>
    <w:rsid w:val="001504AE"/>
    <w:rsid w:val="00150CF6"/>
    <w:rsid w:val="00151435"/>
    <w:rsid w:val="001517A4"/>
    <w:rsid w:val="00151F75"/>
    <w:rsid w:val="0015242F"/>
    <w:rsid w:val="0015267F"/>
    <w:rsid w:val="0015277B"/>
    <w:rsid w:val="00152785"/>
    <w:rsid w:val="001529A0"/>
    <w:rsid w:val="00152B84"/>
    <w:rsid w:val="001532D7"/>
    <w:rsid w:val="001533D3"/>
    <w:rsid w:val="00153675"/>
    <w:rsid w:val="0015372D"/>
    <w:rsid w:val="001539DA"/>
    <w:rsid w:val="00153BBF"/>
    <w:rsid w:val="00153F07"/>
    <w:rsid w:val="00154A96"/>
    <w:rsid w:val="00154D0B"/>
    <w:rsid w:val="00154F86"/>
    <w:rsid w:val="00155089"/>
    <w:rsid w:val="00155175"/>
    <w:rsid w:val="00155590"/>
    <w:rsid w:val="001556D0"/>
    <w:rsid w:val="00156131"/>
    <w:rsid w:val="001567BF"/>
    <w:rsid w:val="00156B93"/>
    <w:rsid w:val="00156D12"/>
    <w:rsid w:val="001571E4"/>
    <w:rsid w:val="00157CA6"/>
    <w:rsid w:val="00157EB2"/>
    <w:rsid w:val="00157FC3"/>
    <w:rsid w:val="001607C2"/>
    <w:rsid w:val="00160D14"/>
    <w:rsid w:val="001623D2"/>
    <w:rsid w:val="00162AC5"/>
    <w:rsid w:val="00162CCD"/>
    <w:rsid w:val="00162DC9"/>
    <w:rsid w:val="00162E14"/>
    <w:rsid w:val="00162E8E"/>
    <w:rsid w:val="00162FB6"/>
    <w:rsid w:val="00163088"/>
    <w:rsid w:val="00163704"/>
    <w:rsid w:val="00163985"/>
    <w:rsid w:val="00163A40"/>
    <w:rsid w:val="00164442"/>
    <w:rsid w:val="0016445A"/>
    <w:rsid w:val="001645BB"/>
    <w:rsid w:val="00164895"/>
    <w:rsid w:val="00164B27"/>
    <w:rsid w:val="00164D05"/>
    <w:rsid w:val="0016509D"/>
    <w:rsid w:val="001653BA"/>
    <w:rsid w:val="00165A45"/>
    <w:rsid w:val="0016666C"/>
    <w:rsid w:val="00166B44"/>
    <w:rsid w:val="00166BEB"/>
    <w:rsid w:val="00167085"/>
    <w:rsid w:val="00167350"/>
    <w:rsid w:val="001674CC"/>
    <w:rsid w:val="00167A9E"/>
    <w:rsid w:val="00167B2C"/>
    <w:rsid w:val="00167B38"/>
    <w:rsid w:val="00167F59"/>
    <w:rsid w:val="001704C8"/>
    <w:rsid w:val="001706B0"/>
    <w:rsid w:val="00170C9E"/>
    <w:rsid w:val="00170E33"/>
    <w:rsid w:val="00170EC2"/>
    <w:rsid w:val="001714A0"/>
    <w:rsid w:val="00171780"/>
    <w:rsid w:val="00171A5C"/>
    <w:rsid w:val="00171CFF"/>
    <w:rsid w:val="00171FA7"/>
    <w:rsid w:val="00171FDF"/>
    <w:rsid w:val="0017265B"/>
    <w:rsid w:val="001727C5"/>
    <w:rsid w:val="00172AB9"/>
    <w:rsid w:val="0017313E"/>
    <w:rsid w:val="001739CE"/>
    <w:rsid w:val="00173A8C"/>
    <w:rsid w:val="00173AB6"/>
    <w:rsid w:val="0017409C"/>
    <w:rsid w:val="0017436F"/>
    <w:rsid w:val="001743AC"/>
    <w:rsid w:val="00174DA3"/>
    <w:rsid w:val="00174EF2"/>
    <w:rsid w:val="00175051"/>
    <w:rsid w:val="001751CB"/>
    <w:rsid w:val="001751EA"/>
    <w:rsid w:val="001751F3"/>
    <w:rsid w:val="00175629"/>
    <w:rsid w:val="00175C0A"/>
    <w:rsid w:val="00175F83"/>
    <w:rsid w:val="00176A3A"/>
    <w:rsid w:val="00177077"/>
    <w:rsid w:val="001775E6"/>
    <w:rsid w:val="00177ED5"/>
    <w:rsid w:val="00180384"/>
    <w:rsid w:val="0018076C"/>
    <w:rsid w:val="00180DC3"/>
    <w:rsid w:val="00180DF9"/>
    <w:rsid w:val="00180EB3"/>
    <w:rsid w:val="00180F4F"/>
    <w:rsid w:val="00181935"/>
    <w:rsid w:val="00181959"/>
    <w:rsid w:val="00181E88"/>
    <w:rsid w:val="0018201D"/>
    <w:rsid w:val="0018230D"/>
    <w:rsid w:val="00182417"/>
    <w:rsid w:val="00182F9F"/>
    <w:rsid w:val="00183638"/>
    <w:rsid w:val="00183C39"/>
    <w:rsid w:val="00184500"/>
    <w:rsid w:val="0018478C"/>
    <w:rsid w:val="0018490D"/>
    <w:rsid w:val="00184AED"/>
    <w:rsid w:val="00184C48"/>
    <w:rsid w:val="00184E08"/>
    <w:rsid w:val="0018513A"/>
    <w:rsid w:val="001851ED"/>
    <w:rsid w:val="0018590C"/>
    <w:rsid w:val="00185B35"/>
    <w:rsid w:val="00186546"/>
    <w:rsid w:val="00186992"/>
    <w:rsid w:val="00186AB7"/>
    <w:rsid w:val="00186CA6"/>
    <w:rsid w:val="00186D0E"/>
    <w:rsid w:val="0018766B"/>
    <w:rsid w:val="00187A08"/>
    <w:rsid w:val="00187D80"/>
    <w:rsid w:val="00187ED4"/>
    <w:rsid w:val="0019012A"/>
    <w:rsid w:val="0019018B"/>
    <w:rsid w:val="001905E0"/>
    <w:rsid w:val="00190814"/>
    <w:rsid w:val="001909A8"/>
    <w:rsid w:val="00190CC9"/>
    <w:rsid w:val="00190F1E"/>
    <w:rsid w:val="00190F63"/>
    <w:rsid w:val="0019137B"/>
    <w:rsid w:val="00191402"/>
    <w:rsid w:val="00191A46"/>
    <w:rsid w:val="00191CA4"/>
    <w:rsid w:val="00191E04"/>
    <w:rsid w:val="001931B3"/>
    <w:rsid w:val="00193531"/>
    <w:rsid w:val="001936E5"/>
    <w:rsid w:val="001937EF"/>
    <w:rsid w:val="00193855"/>
    <w:rsid w:val="00193899"/>
    <w:rsid w:val="00193CB3"/>
    <w:rsid w:val="00194057"/>
    <w:rsid w:val="00194A99"/>
    <w:rsid w:val="00194F51"/>
    <w:rsid w:val="00195148"/>
    <w:rsid w:val="00195311"/>
    <w:rsid w:val="0019533E"/>
    <w:rsid w:val="001955E1"/>
    <w:rsid w:val="001955EB"/>
    <w:rsid w:val="00195629"/>
    <w:rsid w:val="00195862"/>
    <w:rsid w:val="00195D9E"/>
    <w:rsid w:val="00196B82"/>
    <w:rsid w:val="00197409"/>
    <w:rsid w:val="00197928"/>
    <w:rsid w:val="00197980"/>
    <w:rsid w:val="00197AF5"/>
    <w:rsid w:val="00197DE1"/>
    <w:rsid w:val="00197DFF"/>
    <w:rsid w:val="001A059A"/>
    <w:rsid w:val="001A0D8E"/>
    <w:rsid w:val="001A11DA"/>
    <w:rsid w:val="001A1DAB"/>
    <w:rsid w:val="001A2372"/>
    <w:rsid w:val="001A267A"/>
    <w:rsid w:val="001A270C"/>
    <w:rsid w:val="001A278D"/>
    <w:rsid w:val="001A2B64"/>
    <w:rsid w:val="001A2E79"/>
    <w:rsid w:val="001A313F"/>
    <w:rsid w:val="001A329B"/>
    <w:rsid w:val="001A3843"/>
    <w:rsid w:val="001A3CCD"/>
    <w:rsid w:val="001A41DD"/>
    <w:rsid w:val="001A42C6"/>
    <w:rsid w:val="001A49A3"/>
    <w:rsid w:val="001A633E"/>
    <w:rsid w:val="001A67B3"/>
    <w:rsid w:val="001A6C45"/>
    <w:rsid w:val="001A7076"/>
    <w:rsid w:val="001A749E"/>
    <w:rsid w:val="001A7E58"/>
    <w:rsid w:val="001B0452"/>
    <w:rsid w:val="001B05A8"/>
    <w:rsid w:val="001B05A9"/>
    <w:rsid w:val="001B05E5"/>
    <w:rsid w:val="001B06FD"/>
    <w:rsid w:val="001B0A7D"/>
    <w:rsid w:val="001B0C5F"/>
    <w:rsid w:val="001B0F9C"/>
    <w:rsid w:val="001B0FAF"/>
    <w:rsid w:val="001B1202"/>
    <w:rsid w:val="001B18A3"/>
    <w:rsid w:val="001B1A00"/>
    <w:rsid w:val="001B2899"/>
    <w:rsid w:val="001B28B0"/>
    <w:rsid w:val="001B2AF2"/>
    <w:rsid w:val="001B2FC6"/>
    <w:rsid w:val="001B3445"/>
    <w:rsid w:val="001B34D9"/>
    <w:rsid w:val="001B357A"/>
    <w:rsid w:val="001B3695"/>
    <w:rsid w:val="001B3C04"/>
    <w:rsid w:val="001B4109"/>
    <w:rsid w:val="001B47DD"/>
    <w:rsid w:val="001B4CD4"/>
    <w:rsid w:val="001B4EA6"/>
    <w:rsid w:val="001B503F"/>
    <w:rsid w:val="001B5278"/>
    <w:rsid w:val="001B5B00"/>
    <w:rsid w:val="001B5D1B"/>
    <w:rsid w:val="001B61EC"/>
    <w:rsid w:val="001B6681"/>
    <w:rsid w:val="001B7379"/>
    <w:rsid w:val="001B799D"/>
    <w:rsid w:val="001B79C5"/>
    <w:rsid w:val="001C01BA"/>
    <w:rsid w:val="001C060A"/>
    <w:rsid w:val="001C073F"/>
    <w:rsid w:val="001C09CD"/>
    <w:rsid w:val="001C0A54"/>
    <w:rsid w:val="001C19F4"/>
    <w:rsid w:val="001C1D0A"/>
    <w:rsid w:val="001C1EB5"/>
    <w:rsid w:val="001C1FA0"/>
    <w:rsid w:val="001C2105"/>
    <w:rsid w:val="001C214A"/>
    <w:rsid w:val="001C23C9"/>
    <w:rsid w:val="001C23D9"/>
    <w:rsid w:val="001C2C5B"/>
    <w:rsid w:val="001C2CEE"/>
    <w:rsid w:val="001C30CD"/>
    <w:rsid w:val="001C30EC"/>
    <w:rsid w:val="001C334B"/>
    <w:rsid w:val="001C3478"/>
    <w:rsid w:val="001C3613"/>
    <w:rsid w:val="001C3C74"/>
    <w:rsid w:val="001C3D42"/>
    <w:rsid w:val="001C3E52"/>
    <w:rsid w:val="001C47B9"/>
    <w:rsid w:val="001C48B3"/>
    <w:rsid w:val="001C4A74"/>
    <w:rsid w:val="001C4DB3"/>
    <w:rsid w:val="001C4E56"/>
    <w:rsid w:val="001C56B7"/>
    <w:rsid w:val="001C5B5C"/>
    <w:rsid w:val="001C6071"/>
    <w:rsid w:val="001C61AA"/>
    <w:rsid w:val="001C6BD4"/>
    <w:rsid w:val="001C7460"/>
    <w:rsid w:val="001C76B8"/>
    <w:rsid w:val="001C77EB"/>
    <w:rsid w:val="001C7DF3"/>
    <w:rsid w:val="001C7FD4"/>
    <w:rsid w:val="001D02EC"/>
    <w:rsid w:val="001D034E"/>
    <w:rsid w:val="001D0537"/>
    <w:rsid w:val="001D07F1"/>
    <w:rsid w:val="001D0805"/>
    <w:rsid w:val="001D09C9"/>
    <w:rsid w:val="001D0D51"/>
    <w:rsid w:val="001D0E3B"/>
    <w:rsid w:val="001D0F8C"/>
    <w:rsid w:val="001D0FB0"/>
    <w:rsid w:val="001D1398"/>
    <w:rsid w:val="001D1D33"/>
    <w:rsid w:val="001D2AD5"/>
    <w:rsid w:val="001D3630"/>
    <w:rsid w:val="001D365A"/>
    <w:rsid w:val="001D39B2"/>
    <w:rsid w:val="001D3A13"/>
    <w:rsid w:val="001D3FA7"/>
    <w:rsid w:val="001D434A"/>
    <w:rsid w:val="001D4A8C"/>
    <w:rsid w:val="001D4B01"/>
    <w:rsid w:val="001D4E5E"/>
    <w:rsid w:val="001D5571"/>
    <w:rsid w:val="001D583E"/>
    <w:rsid w:val="001D5869"/>
    <w:rsid w:val="001D598C"/>
    <w:rsid w:val="001D5FCA"/>
    <w:rsid w:val="001D627E"/>
    <w:rsid w:val="001D646F"/>
    <w:rsid w:val="001D67F7"/>
    <w:rsid w:val="001D69DF"/>
    <w:rsid w:val="001D7387"/>
    <w:rsid w:val="001D757A"/>
    <w:rsid w:val="001D7968"/>
    <w:rsid w:val="001D7C7C"/>
    <w:rsid w:val="001E017A"/>
    <w:rsid w:val="001E04C3"/>
    <w:rsid w:val="001E0D3B"/>
    <w:rsid w:val="001E1234"/>
    <w:rsid w:val="001E1347"/>
    <w:rsid w:val="001E1854"/>
    <w:rsid w:val="001E1A47"/>
    <w:rsid w:val="001E214A"/>
    <w:rsid w:val="001E2B0E"/>
    <w:rsid w:val="001E390F"/>
    <w:rsid w:val="001E3D23"/>
    <w:rsid w:val="001E4143"/>
    <w:rsid w:val="001E4C48"/>
    <w:rsid w:val="001E55A6"/>
    <w:rsid w:val="001E5696"/>
    <w:rsid w:val="001E634D"/>
    <w:rsid w:val="001E6587"/>
    <w:rsid w:val="001E6990"/>
    <w:rsid w:val="001E6EB1"/>
    <w:rsid w:val="001E7AE9"/>
    <w:rsid w:val="001E7ED7"/>
    <w:rsid w:val="001E7FD3"/>
    <w:rsid w:val="001F0379"/>
    <w:rsid w:val="001F04DD"/>
    <w:rsid w:val="001F0798"/>
    <w:rsid w:val="001F081D"/>
    <w:rsid w:val="001F0D4D"/>
    <w:rsid w:val="001F0EFA"/>
    <w:rsid w:val="001F1001"/>
    <w:rsid w:val="001F1F97"/>
    <w:rsid w:val="001F2D76"/>
    <w:rsid w:val="001F2D78"/>
    <w:rsid w:val="001F2E42"/>
    <w:rsid w:val="001F3025"/>
    <w:rsid w:val="001F3526"/>
    <w:rsid w:val="001F3566"/>
    <w:rsid w:val="001F36FE"/>
    <w:rsid w:val="001F3768"/>
    <w:rsid w:val="001F4686"/>
    <w:rsid w:val="001F492B"/>
    <w:rsid w:val="001F4C3E"/>
    <w:rsid w:val="001F4D0A"/>
    <w:rsid w:val="001F5393"/>
    <w:rsid w:val="001F5CE6"/>
    <w:rsid w:val="001F5DFB"/>
    <w:rsid w:val="001F6A10"/>
    <w:rsid w:val="001F6F7A"/>
    <w:rsid w:val="001F7433"/>
    <w:rsid w:val="001F787C"/>
    <w:rsid w:val="001F7E0C"/>
    <w:rsid w:val="001F7EF7"/>
    <w:rsid w:val="001F7FA3"/>
    <w:rsid w:val="00200693"/>
    <w:rsid w:val="002006A0"/>
    <w:rsid w:val="0020070B"/>
    <w:rsid w:val="0020084E"/>
    <w:rsid w:val="00200F9E"/>
    <w:rsid w:val="002011A0"/>
    <w:rsid w:val="002011E8"/>
    <w:rsid w:val="00201450"/>
    <w:rsid w:val="00202420"/>
    <w:rsid w:val="002026BD"/>
    <w:rsid w:val="0020294C"/>
    <w:rsid w:val="002030EB"/>
    <w:rsid w:val="00203112"/>
    <w:rsid w:val="002033D2"/>
    <w:rsid w:val="00203649"/>
    <w:rsid w:val="00203960"/>
    <w:rsid w:val="00204A9D"/>
    <w:rsid w:val="00205005"/>
    <w:rsid w:val="002051F9"/>
    <w:rsid w:val="0020553A"/>
    <w:rsid w:val="002059AF"/>
    <w:rsid w:val="002060AE"/>
    <w:rsid w:val="00206171"/>
    <w:rsid w:val="002062BF"/>
    <w:rsid w:val="00206428"/>
    <w:rsid w:val="00206557"/>
    <w:rsid w:val="00206B6C"/>
    <w:rsid w:val="00207830"/>
    <w:rsid w:val="0020793C"/>
    <w:rsid w:val="00207C25"/>
    <w:rsid w:val="00207EEF"/>
    <w:rsid w:val="002102B4"/>
    <w:rsid w:val="0021063C"/>
    <w:rsid w:val="00210890"/>
    <w:rsid w:val="002108D4"/>
    <w:rsid w:val="00210FE8"/>
    <w:rsid w:val="002110ED"/>
    <w:rsid w:val="002114B7"/>
    <w:rsid w:val="002114BC"/>
    <w:rsid w:val="00211A53"/>
    <w:rsid w:val="00211B1F"/>
    <w:rsid w:val="00211F1A"/>
    <w:rsid w:val="0021235C"/>
    <w:rsid w:val="00212875"/>
    <w:rsid w:val="00212913"/>
    <w:rsid w:val="002133EB"/>
    <w:rsid w:val="002136B8"/>
    <w:rsid w:val="002138F5"/>
    <w:rsid w:val="00213C48"/>
    <w:rsid w:val="00213EAD"/>
    <w:rsid w:val="00213F7B"/>
    <w:rsid w:val="0021418C"/>
    <w:rsid w:val="00214997"/>
    <w:rsid w:val="00214A53"/>
    <w:rsid w:val="00214B95"/>
    <w:rsid w:val="00214BC2"/>
    <w:rsid w:val="00214F39"/>
    <w:rsid w:val="002150BD"/>
    <w:rsid w:val="00215310"/>
    <w:rsid w:val="00215C6D"/>
    <w:rsid w:val="00215E0F"/>
    <w:rsid w:val="00216404"/>
    <w:rsid w:val="0021662F"/>
    <w:rsid w:val="0021671B"/>
    <w:rsid w:val="002169CB"/>
    <w:rsid w:val="002171A6"/>
    <w:rsid w:val="0021735A"/>
    <w:rsid w:val="0021774D"/>
    <w:rsid w:val="00217874"/>
    <w:rsid w:val="002178CB"/>
    <w:rsid w:val="00217EC7"/>
    <w:rsid w:val="002204DA"/>
    <w:rsid w:val="00220A3A"/>
    <w:rsid w:val="00220D80"/>
    <w:rsid w:val="00221274"/>
    <w:rsid w:val="00221658"/>
    <w:rsid w:val="00221F83"/>
    <w:rsid w:val="0022254B"/>
    <w:rsid w:val="0022255D"/>
    <w:rsid w:val="00222739"/>
    <w:rsid w:val="00222D1E"/>
    <w:rsid w:val="00222EE4"/>
    <w:rsid w:val="00223520"/>
    <w:rsid w:val="00223C6E"/>
    <w:rsid w:val="00223EED"/>
    <w:rsid w:val="00223FA3"/>
    <w:rsid w:val="002240A0"/>
    <w:rsid w:val="002241E5"/>
    <w:rsid w:val="00224648"/>
    <w:rsid w:val="002248F2"/>
    <w:rsid w:val="00225385"/>
    <w:rsid w:val="00225947"/>
    <w:rsid w:val="00225FAF"/>
    <w:rsid w:val="00226536"/>
    <w:rsid w:val="002271B2"/>
    <w:rsid w:val="002276CD"/>
    <w:rsid w:val="00227B1A"/>
    <w:rsid w:val="00227D5B"/>
    <w:rsid w:val="00230195"/>
    <w:rsid w:val="002302BD"/>
    <w:rsid w:val="00230822"/>
    <w:rsid w:val="002308FD"/>
    <w:rsid w:val="00230BF6"/>
    <w:rsid w:val="00230D9F"/>
    <w:rsid w:val="00231114"/>
    <w:rsid w:val="00231265"/>
    <w:rsid w:val="002316CC"/>
    <w:rsid w:val="0023173E"/>
    <w:rsid w:val="002321D2"/>
    <w:rsid w:val="002328E9"/>
    <w:rsid w:val="00232D3E"/>
    <w:rsid w:val="00232D57"/>
    <w:rsid w:val="00233149"/>
    <w:rsid w:val="002332AE"/>
    <w:rsid w:val="00233438"/>
    <w:rsid w:val="0023350D"/>
    <w:rsid w:val="0023350F"/>
    <w:rsid w:val="0023374F"/>
    <w:rsid w:val="00233AC6"/>
    <w:rsid w:val="0023413C"/>
    <w:rsid w:val="0023435A"/>
    <w:rsid w:val="00234FFB"/>
    <w:rsid w:val="002355FF"/>
    <w:rsid w:val="00235791"/>
    <w:rsid w:val="00235821"/>
    <w:rsid w:val="00235BA9"/>
    <w:rsid w:val="00235D13"/>
    <w:rsid w:val="00235E68"/>
    <w:rsid w:val="002360B6"/>
    <w:rsid w:val="0023620F"/>
    <w:rsid w:val="002364C6"/>
    <w:rsid w:val="0023665F"/>
    <w:rsid w:val="00236739"/>
    <w:rsid w:val="002369D7"/>
    <w:rsid w:val="002369E5"/>
    <w:rsid w:val="0023770E"/>
    <w:rsid w:val="00237885"/>
    <w:rsid w:val="00237A2A"/>
    <w:rsid w:val="00237DB8"/>
    <w:rsid w:val="00237EEF"/>
    <w:rsid w:val="0024008B"/>
    <w:rsid w:val="002400F5"/>
    <w:rsid w:val="00240106"/>
    <w:rsid w:val="00240CE6"/>
    <w:rsid w:val="00240D36"/>
    <w:rsid w:val="002410EA"/>
    <w:rsid w:val="002410FD"/>
    <w:rsid w:val="00241C90"/>
    <w:rsid w:val="00241EA1"/>
    <w:rsid w:val="00241F46"/>
    <w:rsid w:val="002429BF"/>
    <w:rsid w:val="00243268"/>
    <w:rsid w:val="00243444"/>
    <w:rsid w:val="00243592"/>
    <w:rsid w:val="002442B3"/>
    <w:rsid w:val="0024454E"/>
    <w:rsid w:val="002448BA"/>
    <w:rsid w:val="00244C24"/>
    <w:rsid w:val="00244FD1"/>
    <w:rsid w:val="00245493"/>
    <w:rsid w:val="0024558E"/>
    <w:rsid w:val="0024563A"/>
    <w:rsid w:val="0024572A"/>
    <w:rsid w:val="002459AC"/>
    <w:rsid w:val="00245AC7"/>
    <w:rsid w:val="00245E16"/>
    <w:rsid w:val="002464E5"/>
    <w:rsid w:val="00246586"/>
    <w:rsid w:val="002465AA"/>
    <w:rsid w:val="00246989"/>
    <w:rsid w:val="00246D36"/>
    <w:rsid w:val="002500B9"/>
    <w:rsid w:val="00250B0C"/>
    <w:rsid w:val="00250E71"/>
    <w:rsid w:val="0025135C"/>
    <w:rsid w:val="00251412"/>
    <w:rsid w:val="002516CB"/>
    <w:rsid w:val="0025180C"/>
    <w:rsid w:val="00251B0C"/>
    <w:rsid w:val="00251C25"/>
    <w:rsid w:val="00251C4D"/>
    <w:rsid w:val="00251C96"/>
    <w:rsid w:val="00251DAC"/>
    <w:rsid w:val="00251F5A"/>
    <w:rsid w:val="002524CC"/>
    <w:rsid w:val="00252514"/>
    <w:rsid w:val="00252670"/>
    <w:rsid w:val="00252C52"/>
    <w:rsid w:val="00252CDD"/>
    <w:rsid w:val="002533FF"/>
    <w:rsid w:val="0025389F"/>
    <w:rsid w:val="00253D4D"/>
    <w:rsid w:val="00254084"/>
    <w:rsid w:val="00254317"/>
    <w:rsid w:val="00255718"/>
    <w:rsid w:val="00256548"/>
    <w:rsid w:val="00256F2F"/>
    <w:rsid w:val="0025767F"/>
    <w:rsid w:val="00257E0C"/>
    <w:rsid w:val="00257EB9"/>
    <w:rsid w:val="00257EDE"/>
    <w:rsid w:val="00260083"/>
    <w:rsid w:val="002601F8"/>
    <w:rsid w:val="00260BAE"/>
    <w:rsid w:val="002613C5"/>
    <w:rsid w:val="00261492"/>
    <w:rsid w:val="002617F5"/>
    <w:rsid w:val="002623D8"/>
    <w:rsid w:val="00262493"/>
    <w:rsid w:val="00262A47"/>
    <w:rsid w:val="00262BFF"/>
    <w:rsid w:val="00262C27"/>
    <w:rsid w:val="00263725"/>
    <w:rsid w:val="00263C3C"/>
    <w:rsid w:val="00263D25"/>
    <w:rsid w:val="00263E2E"/>
    <w:rsid w:val="00263F0A"/>
    <w:rsid w:val="0026446B"/>
    <w:rsid w:val="0026447A"/>
    <w:rsid w:val="00265982"/>
    <w:rsid w:val="00265C56"/>
    <w:rsid w:val="00265EB7"/>
    <w:rsid w:val="00265F12"/>
    <w:rsid w:val="00266CAB"/>
    <w:rsid w:val="00266FDA"/>
    <w:rsid w:val="00267067"/>
    <w:rsid w:val="0026735D"/>
    <w:rsid w:val="00267384"/>
    <w:rsid w:val="00267A01"/>
    <w:rsid w:val="00267CFC"/>
    <w:rsid w:val="00267D67"/>
    <w:rsid w:val="00270391"/>
    <w:rsid w:val="002708FA"/>
    <w:rsid w:val="00270EA8"/>
    <w:rsid w:val="00270FB5"/>
    <w:rsid w:val="002722DA"/>
    <w:rsid w:val="00272ACE"/>
    <w:rsid w:val="00272AD3"/>
    <w:rsid w:val="00272FFD"/>
    <w:rsid w:val="0027365C"/>
    <w:rsid w:val="0027421C"/>
    <w:rsid w:val="0027470C"/>
    <w:rsid w:val="00274B7A"/>
    <w:rsid w:val="002750EC"/>
    <w:rsid w:val="002759EA"/>
    <w:rsid w:val="00275B59"/>
    <w:rsid w:val="00275E20"/>
    <w:rsid w:val="00275F64"/>
    <w:rsid w:val="00275F66"/>
    <w:rsid w:val="00276E0C"/>
    <w:rsid w:val="00276E38"/>
    <w:rsid w:val="00276E78"/>
    <w:rsid w:val="00276F1E"/>
    <w:rsid w:val="0027728E"/>
    <w:rsid w:val="00277549"/>
    <w:rsid w:val="00277D3E"/>
    <w:rsid w:val="00277DC3"/>
    <w:rsid w:val="002804C6"/>
    <w:rsid w:val="0028053E"/>
    <w:rsid w:val="00280797"/>
    <w:rsid w:val="00281260"/>
    <w:rsid w:val="002819E7"/>
    <w:rsid w:val="002825D3"/>
    <w:rsid w:val="00282B85"/>
    <w:rsid w:val="00282E70"/>
    <w:rsid w:val="00283572"/>
    <w:rsid w:val="00283652"/>
    <w:rsid w:val="00283AF1"/>
    <w:rsid w:val="00283F5D"/>
    <w:rsid w:val="0028405A"/>
    <w:rsid w:val="00284737"/>
    <w:rsid w:val="0028485B"/>
    <w:rsid w:val="00285490"/>
    <w:rsid w:val="002855AF"/>
    <w:rsid w:val="00285643"/>
    <w:rsid w:val="00285756"/>
    <w:rsid w:val="00286125"/>
    <w:rsid w:val="00286348"/>
    <w:rsid w:val="00286379"/>
    <w:rsid w:val="00286799"/>
    <w:rsid w:val="00286D0D"/>
    <w:rsid w:val="00286E96"/>
    <w:rsid w:val="002870A5"/>
    <w:rsid w:val="002875B2"/>
    <w:rsid w:val="00287F1A"/>
    <w:rsid w:val="00290B43"/>
    <w:rsid w:val="00290EDC"/>
    <w:rsid w:val="00290F4E"/>
    <w:rsid w:val="00290F65"/>
    <w:rsid w:val="00291000"/>
    <w:rsid w:val="00291389"/>
    <w:rsid w:val="00291B20"/>
    <w:rsid w:val="00291CB9"/>
    <w:rsid w:val="00291CC1"/>
    <w:rsid w:val="00291E0F"/>
    <w:rsid w:val="00292018"/>
    <w:rsid w:val="00292682"/>
    <w:rsid w:val="00292EF8"/>
    <w:rsid w:val="00293DE4"/>
    <w:rsid w:val="00294133"/>
    <w:rsid w:val="0029424A"/>
    <w:rsid w:val="002942CD"/>
    <w:rsid w:val="00294875"/>
    <w:rsid w:val="002949E0"/>
    <w:rsid w:val="00294B9E"/>
    <w:rsid w:val="00294C69"/>
    <w:rsid w:val="00294C9C"/>
    <w:rsid w:val="0029593A"/>
    <w:rsid w:val="00295FB6"/>
    <w:rsid w:val="00296AEC"/>
    <w:rsid w:val="00297786"/>
    <w:rsid w:val="00297FDD"/>
    <w:rsid w:val="002A0085"/>
    <w:rsid w:val="002A0403"/>
    <w:rsid w:val="002A052B"/>
    <w:rsid w:val="002A070D"/>
    <w:rsid w:val="002A097C"/>
    <w:rsid w:val="002A0D7C"/>
    <w:rsid w:val="002A1081"/>
    <w:rsid w:val="002A118A"/>
    <w:rsid w:val="002A127B"/>
    <w:rsid w:val="002A15A3"/>
    <w:rsid w:val="002A15D0"/>
    <w:rsid w:val="002A1837"/>
    <w:rsid w:val="002A19BC"/>
    <w:rsid w:val="002A21E7"/>
    <w:rsid w:val="002A2574"/>
    <w:rsid w:val="002A2707"/>
    <w:rsid w:val="002A2A38"/>
    <w:rsid w:val="002A2BB6"/>
    <w:rsid w:val="002A35AA"/>
    <w:rsid w:val="002A3AD7"/>
    <w:rsid w:val="002A3F91"/>
    <w:rsid w:val="002A4222"/>
    <w:rsid w:val="002A5451"/>
    <w:rsid w:val="002A5B8E"/>
    <w:rsid w:val="002A5C50"/>
    <w:rsid w:val="002A6027"/>
    <w:rsid w:val="002A6099"/>
    <w:rsid w:val="002A616F"/>
    <w:rsid w:val="002A6178"/>
    <w:rsid w:val="002A6931"/>
    <w:rsid w:val="002A699C"/>
    <w:rsid w:val="002A6FD7"/>
    <w:rsid w:val="002A704E"/>
    <w:rsid w:val="002A74A3"/>
    <w:rsid w:val="002A77CD"/>
    <w:rsid w:val="002A7CB7"/>
    <w:rsid w:val="002B03C4"/>
    <w:rsid w:val="002B088A"/>
    <w:rsid w:val="002B1323"/>
    <w:rsid w:val="002B1601"/>
    <w:rsid w:val="002B180A"/>
    <w:rsid w:val="002B1A8D"/>
    <w:rsid w:val="002B1B26"/>
    <w:rsid w:val="002B1CC9"/>
    <w:rsid w:val="002B2816"/>
    <w:rsid w:val="002B2A3F"/>
    <w:rsid w:val="002B2AA1"/>
    <w:rsid w:val="002B2B39"/>
    <w:rsid w:val="002B2C6D"/>
    <w:rsid w:val="002B2DA4"/>
    <w:rsid w:val="002B2F55"/>
    <w:rsid w:val="002B3014"/>
    <w:rsid w:val="002B367D"/>
    <w:rsid w:val="002B39C5"/>
    <w:rsid w:val="002B3A66"/>
    <w:rsid w:val="002B3AA2"/>
    <w:rsid w:val="002B3AD7"/>
    <w:rsid w:val="002B3AD9"/>
    <w:rsid w:val="002B3DD1"/>
    <w:rsid w:val="002B42A1"/>
    <w:rsid w:val="002B43C0"/>
    <w:rsid w:val="002B49A7"/>
    <w:rsid w:val="002B4F7A"/>
    <w:rsid w:val="002B5076"/>
    <w:rsid w:val="002B553D"/>
    <w:rsid w:val="002B56CB"/>
    <w:rsid w:val="002B5E31"/>
    <w:rsid w:val="002B6577"/>
    <w:rsid w:val="002B6BB0"/>
    <w:rsid w:val="002B6CD1"/>
    <w:rsid w:val="002B6DF9"/>
    <w:rsid w:val="002B7139"/>
    <w:rsid w:val="002B73EB"/>
    <w:rsid w:val="002B7E0F"/>
    <w:rsid w:val="002B7FE3"/>
    <w:rsid w:val="002C0710"/>
    <w:rsid w:val="002C08D7"/>
    <w:rsid w:val="002C0B96"/>
    <w:rsid w:val="002C0CA4"/>
    <w:rsid w:val="002C0D51"/>
    <w:rsid w:val="002C10D0"/>
    <w:rsid w:val="002C1DE5"/>
    <w:rsid w:val="002C1DF6"/>
    <w:rsid w:val="002C21AF"/>
    <w:rsid w:val="002C3213"/>
    <w:rsid w:val="002C37FC"/>
    <w:rsid w:val="002C39A5"/>
    <w:rsid w:val="002C3F2D"/>
    <w:rsid w:val="002C45F1"/>
    <w:rsid w:val="002C4723"/>
    <w:rsid w:val="002C4E33"/>
    <w:rsid w:val="002C5F21"/>
    <w:rsid w:val="002C64EB"/>
    <w:rsid w:val="002C6736"/>
    <w:rsid w:val="002C68D3"/>
    <w:rsid w:val="002C6A08"/>
    <w:rsid w:val="002C72EB"/>
    <w:rsid w:val="002C7F6C"/>
    <w:rsid w:val="002C7FAE"/>
    <w:rsid w:val="002D0C11"/>
    <w:rsid w:val="002D1281"/>
    <w:rsid w:val="002D1B55"/>
    <w:rsid w:val="002D1F71"/>
    <w:rsid w:val="002D22BB"/>
    <w:rsid w:val="002D29B4"/>
    <w:rsid w:val="002D2D28"/>
    <w:rsid w:val="002D30EA"/>
    <w:rsid w:val="002D3497"/>
    <w:rsid w:val="002D37AD"/>
    <w:rsid w:val="002D3E82"/>
    <w:rsid w:val="002D4454"/>
    <w:rsid w:val="002D4930"/>
    <w:rsid w:val="002D50BA"/>
    <w:rsid w:val="002D5DAF"/>
    <w:rsid w:val="002D60D2"/>
    <w:rsid w:val="002D68A5"/>
    <w:rsid w:val="002D6C20"/>
    <w:rsid w:val="002D7349"/>
    <w:rsid w:val="002D76E7"/>
    <w:rsid w:val="002D771E"/>
    <w:rsid w:val="002D77EB"/>
    <w:rsid w:val="002D7B41"/>
    <w:rsid w:val="002E0027"/>
    <w:rsid w:val="002E0181"/>
    <w:rsid w:val="002E0441"/>
    <w:rsid w:val="002E0857"/>
    <w:rsid w:val="002E088E"/>
    <w:rsid w:val="002E0ED6"/>
    <w:rsid w:val="002E0F4A"/>
    <w:rsid w:val="002E191A"/>
    <w:rsid w:val="002E19FE"/>
    <w:rsid w:val="002E1ED2"/>
    <w:rsid w:val="002E1EFF"/>
    <w:rsid w:val="002E2053"/>
    <w:rsid w:val="002E2083"/>
    <w:rsid w:val="002E2684"/>
    <w:rsid w:val="002E26AA"/>
    <w:rsid w:val="002E2B2F"/>
    <w:rsid w:val="002E2DB8"/>
    <w:rsid w:val="002E3402"/>
    <w:rsid w:val="002E3478"/>
    <w:rsid w:val="002E358C"/>
    <w:rsid w:val="002E3967"/>
    <w:rsid w:val="002E3D80"/>
    <w:rsid w:val="002E3E28"/>
    <w:rsid w:val="002E42D3"/>
    <w:rsid w:val="002E4778"/>
    <w:rsid w:val="002E47A6"/>
    <w:rsid w:val="002E4B60"/>
    <w:rsid w:val="002E4B97"/>
    <w:rsid w:val="002E4D00"/>
    <w:rsid w:val="002E5777"/>
    <w:rsid w:val="002E5A7A"/>
    <w:rsid w:val="002E5B41"/>
    <w:rsid w:val="002E5F1F"/>
    <w:rsid w:val="002E6085"/>
    <w:rsid w:val="002E682D"/>
    <w:rsid w:val="002E6AD2"/>
    <w:rsid w:val="002E6E49"/>
    <w:rsid w:val="002E7177"/>
    <w:rsid w:val="002E7361"/>
    <w:rsid w:val="002F017F"/>
    <w:rsid w:val="002F01F4"/>
    <w:rsid w:val="002F0A88"/>
    <w:rsid w:val="002F0DD1"/>
    <w:rsid w:val="002F1761"/>
    <w:rsid w:val="002F1B78"/>
    <w:rsid w:val="002F20F4"/>
    <w:rsid w:val="002F254F"/>
    <w:rsid w:val="002F2560"/>
    <w:rsid w:val="002F2DF8"/>
    <w:rsid w:val="002F324B"/>
    <w:rsid w:val="002F3DB0"/>
    <w:rsid w:val="002F3FD7"/>
    <w:rsid w:val="002F49F5"/>
    <w:rsid w:val="002F5145"/>
    <w:rsid w:val="002F521D"/>
    <w:rsid w:val="002F537A"/>
    <w:rsid w:val="002F55A3"/>
    <w:rsid w:val="002F5BE2"/>
    <w:rsid w:val="002F5EAB"/>
    <w:rsid w:val="002F6039"/>
    <w:rsid w:val="002F6410"/>
    <w:rsid w:val="002F664E"/>
    <w:rsid w:val="002F6B42"/>
    <w:rsid w:val="002F6F69"/>
    <w:rsid w:val="002F73F0"/>
    <w:rsid w:val="002F7662"/>
    <w:rsid w:val="002F7A2D"/>
    <w:rsid w:val="002F7B38"/>
    <w:rsid w:val="00300281"/>
    <w:rsid w:val="003003BC"/>
    <w:rsid w:val="00300CBE"/>
    <w:rsid w:val="003019C0"/>
    <w:rsid w:val="003020BD"/>
    <w:rsid w:val="003027E2"/>
    <w:rsid w:val="0030340E"/>
    <w:rsid w:val="00305552"/>
    <w:rsid w:val="00305592"/>
    <w:rsid w:val="00305B01"/>
    <w:rsid w:val="00305B03"/>
    <w:rsid w:val="003064CB"/>
    <w:rsid w:val="0030691C"/>
    <w:rsid w:val="003069AB"/>
    <w:rsid w:val="00306BF5"/>
    <w:rsid w:val="00306D2B"/>
    <w:rsid w:val="00307041"/>
    <w:rsid w:val="00307125"/>
    <w:rsid w:val="003077B7"/>
    <w:rsid w:val="00307A89"/>
    <w:rsid w:val="00307D9B"/>
    <w:rsid w:val="00307FF6"/>
    <w:rsid w:val="003102CB"/>
    <w:rsid w:val="0031035A"/>
    <w:rsid w:val="00310E8C"/>
    <w:rsid w:val="003115A4"/>
    <w:rsid w:val="00311783"/>
    <w:rsid w:val="00311E17"/>
    <w:rsid w:val="00311E42"/>
    <w:rsid w:val="0031245F"/>
    <w:rsid w:val="003126FA"/>
    <w:rsid w:val="00312836"/>
    <w:rsid w:val="003130C6"/>
    <w:rsid w:val="00313490"/>
    <w:rsid w:val="003135F0"/>
    <w:rsid w:val="00313643"/>
    <w:rsid w:val="003136DA"/>
    <w:rsid w:val="00313A21"/>
    <w:rsid w:val="00313F79"/>
    <w:rsid w:val="003149A8"/>
    <w:rsid w:val="00314C9C"/>
    <w:rsid w:val="00315320"/>
    <w:rsid w:val="003157D7"/>
    <w:rsid w:val="00315955"/>
    <w:rsid w:val="0031599E"/>
    <w:rsid w:val="00315D34"/>
    <w:rsid w:val="00316002"/>
    <w:rsid w:val="00316051"/>
    <w:rsid w:val="00316833"/>
    <w:rsid w:val="00316AF2"/>
    <w:rsid w:val="00316C61"/>
    <w:rsid w:val="0031714D"/>
    <w:rsid w:val="00317250"/>
    <w:rsid w:val="00317628"/>
    <w:rsid w:val="003178F8"/>
    <w:rsid w:val="003179F3"/>
    <w:rsid w:val="00317D79"/>
    <w:rsid w:val="00317F90"/>
    <w:rsid w:val="003208CE"/>
    <w:rsid w:val="00320A4A"/>
    <w:rsid w:val="00321045"/>
    <w:rsid w:val="00321694"/>
    <w:rsid w:val="00321DB2"/>
    <w:rsid w:val="00321EF7"/>
    <w:rsid w:val="00321FCB"/>
    <w:rsid w:val="00322A6D"/>
    <w:rsid w:val="00322CCF"/>
    <w:rsid w:val="00322DF5"/>
    <w:rsid w:val="00323344"/>
    <w:rsid w:val="0032359C"/>
    <w:rsid w:val="0032365B"/>
    <w:rsid w:val="00323684"/>
    <w:rsid w:val="00323B84"/>
    <w:rsid w:val="00324137"/>
    <w:rsid w:val="00324564"/>
    <w:rsid w:val="003245FB"/>
    <w:rsid w:val="00324709"/>
    <w:rsid w:val="00324732"/>
    <w:rsid w:val="003247CC"/>
    <w:rsid w:val="0032532A"/>
    <w:rsid w:val="00325348"/>
    <w:rsid w:val="003257DA"/>
    <w:rsid w:val="00326178"/>
    <w:rsid w:val="00326B36"/>
    <w:rsid w:val="00326FA2"/>
    <w:rsid w:val="00327793"/>
    <w:rsid w:val="00327B93"/>
    <w:rsid w:val="00327DAC"/>
    <w:rsid w:val="00327DF3"/>
    <w:rsid w:val="0033049A"/>
    <w:rsid w:val="0033067C"/>
    <w:rsid w:val="003306B7"/>
    <w:rsid w:val="00330710"/>
    <w:rsid w:val="003309D2"/>
    <w:rsid w:val="00330B48"/>
    <w:rsid w:val="00330F62"/>
    <w:rsid w:val="00331298"/>
    <w:rsid w:val="00331316"/>
    <w:rsid w:val="003313CE"/>
    <w:rsid w:val="003313F1"/>
    <w:rsid w:val="003314FE"/>
    <w:rsid w:val="00331956"/>
    <w:rsid w:val="003319FF"/>
    <w:rsid w:val="00331E13"/>
    <w:rsid w:val="003320F2"/>
    <w:rsid w:val="003321CD"/>
    <w:rsid w:val="003325A3"/>
    <w:rsid w:val="00333DE4"/>
    <w:rsid w:val="00333E6E"/>
    <w:rsid w:val="00334094"/>
    <w:rsid w:val="00334A64"/>
    <w:rsid w:val="00334AA5"/>
    <w:rsid w:val="00334B9F"/>
    <w:rsid w:val="00335018"/>
    <w:rsid w:val="00335549"/>
    <w:rsid w:val="00335C0A"/>
    <w:rsid w:val="00336357"/>
    <w:rsid w:val="00336B3B"/>
    <w:rsid w:val="00336CAA"/>
    <w:rsid w:val="00336D58"/>
    <w:rsid w:val="0033710D"/>
    <w:rsid w:val="00337635"/>
    <w:rsid w:val="00337D9B"/>
    <w:rsid w:val="00340505"/>
    <w:rsid w:val="00341440"/>
    <w:rsid w:val="0034156C"/>
    <w:rsid w:val="00342040"/>
    <w:rsid w:val="00342076"/>
    <w:rsid w:val="003425CF"/>
    <w:rsid w:val="003428A6"/>
    <w:rsid w:val="00342B1E"/>
    <w:rsid w:val="00342CEA"/>
    <w:rsid w:val="00343495"/>
    <w:rsid w:val="00343AFA"/>
    <w:rsid w:val="00343F17"/>
    <w:rsid w:val="00344100"/>
    <w:rsid w:val="00344520"/>
    <w:rsid w:val="00344728"/>
    <w:rsid w:val="003447B5"/>
    <w:rsid w:val="00344FF4"/>
    <w:rsid w:val="00345B4B"/>
    <w:rsid w:val="00345E6A"/>
    <w:rsid w:val="0034606A"/>
    <w:rsid w:val="003464DC"/>
    <w:rsid w:val="00346D53"/>
    <w:rsid w:val="00346DAB"/>
    <w:rsid w:val="0034748B"/>
    <w:rsid w:val="00347804"/>
    <w:rsid w:val="003478E8"/>
    <w:rsid w:val="00350317"/>
    <w:rsid w:val="00350739"/>
    <w:rsid w:val="003507FA"/>
    <w:rsid w:val="003508DE"/>
    <w:rsid w:val="00350BB0"/>
    <w:rsid w:val="00350C61"/>
    <w:rsid w:val="003510B6"/>
    <w:rsid w:val="00351C8E"/>
    <w:rsid w:val="00351C90"/>
    <w:rsid w:val="00351CEF"/>
    <w:rsid w:val="0035226D"/>
    <w:rsid w:val="0035252C"/>
    <w:rsid w:val="00352ACC"/>
    <w:rsid w:val="00352AE8"/>
    <w:rsid w:val="00352F05"/>
    <w:rsid w:val="00352F29"/>
    <w:rsid w:val="0035309E"/>
    <w:rsid w:val="0035326C"/>
    <w:rsid w:val="0035329C"/>
    <w:rsid w:val="003534BA"/>
    <w:rsid w:val="00353688"/>
    <w:rsid w:val="003540C1"/>
    <w:rsid w:val="0035484A"/>
    <w:rsid w:val="00354D3A"/>
    <w:rsid w:val="003550A6"/>
    <w:rsid w:val="003550BD"/>
    <w:rsid w:val="00355B35"/>
    <w:rsid w:val="00355C21"/>
    <w:rsid w:val="0035633B"/>
    <w:rsid w:val="00356487"/>
    <w:rsid w:val="00356C04"/>
    <w:rsid w:val="00356D02"/>
    <w:rsid w:val="003571D1"/>
    <w:rsid w:val="003571E3"/>
    <w:rsid w:val="00360027"/>
    <w:rsid w:val="003601DC"/>
    <w:rsid w:val="003608F2"/>
    <w:rsid w:val="00360B69"/>
    <w:rsid w:val="00360BBE"/>
    <w:rsid w:val="00360FFF"/>
    <w:rsid w:val="003610E3"/>
    <w:rsid w:val="00361198"/>
    <w:rsid w:val="00361316"/>
    <w:rsid w:val="003617D4"/>
    <w:rsid w:val="003618C5"/>
    <w:rsid w:val="00361FF5"/>
    <w:rsid w:val="00362743"/>
    <w:rsid w:val="0036277D"/>
    <w:rsid w:val="00363021"/>
    <w:rsid w:val="0036319C"/>
    <w:rsid w:val="00363416"/>
    <w:rsid w:val="00363592"/>
    <w:rsid w:val="003647C7"/>
    <w:rsid w:val="0036488D"/>
    <w:rsid w:val="00364C81"/>
    <w:rsid w:val="00364D46"/>
    <w:rsid w:val="00364D91"/>
    <w:rsid w:val="00364DCE"/>
    <w:rsid w:val="00364F59"/>
    <w:rsid w:val="00365650"/>
    <w:rsid w:val="00365979"/>
    <w:rsid w:val="00366A6C"/>
    <w:rsid w:val="00366CF6"/>
    <w:rsid w:val="00366E30"/>
    <w:rsid w:val="00366F7C"/>
    <w:rsid w:val="00367725"/>
    <w:rsid w:val="00367E1E"/>
    <w:rsid w:val="00367E98"/>
    <w:rsid w:val="00370717"/>
    <w:rsid w:val="00370EAA"/>
    <w:rsid w:val="00370EEF"/>
    <w:rsid w:val="003712C4"/>
    <w:rsid w:val="0037181A"/>
    <w:rsid w:val="00371856"/>
    <w:rsid w:val="00372477"/>
    <w:rsid w:val="00372923"/>
    <w:rsid w:val="00373016"/>
    <w:rsid w:val="003734DC"/>
    <w:rsid w:val="003734F3"/>
    <w:rsid w:val="00374067"/>
    <w:rsid w:val="003740A4"/>
    <w:rsid w:val="003740B5"/>
    <w:rsid w:val="00374266"/>
    <w:rsid w:val="00374569"/>
    <w:rsid w:val="00374582"/>
    <w:rsid w:val="00374D4E"/>
    <w:rsid w:val="00375395"/>
    <w:rsid w:val="00375A6E"/>
    <w:rsid w:val="00375B9E"/>
    <w:rsid w:val="00375C8A"/>
    <w:rsid w:val="00375D57"/>
    <w:rsid w:val="00375E41"/>
    <w:rsid w:val="00376238"/>
    <w:rsid w:val="00376281"/>
    <w:rsid w:val="00376307"/>
    <w:rsid w:val="00376334"/>
    <w:rsid w:val="003767F2"/>
    <w:rsid w:val="0037699C"/>
    <w:rsid w:val="00376D9E"/>
    <w:rsid w:val="003770F8"/>
    <w:rsid w:val="00377768"/>
    <w:rsid w:val="00377800"/>
    <w:rsid w:val="00377C5C"/>
    <w:rsid w:val="00380195"/>
    <w:rsid w:val="003801D3"/>
    <w:rsid w:val="00380458"/>
    <w:rsid w:val="0038059F"/>
    <w:rsid w:val="0038093A"/>
    <w:rsid w:val="00380B61"/>
    <w:rsid w:val="00380CC4"/>
    <w:rsid w:val="00380D83"/>
    <w:rsid w:val="0038121A"/>
    <w:rsid w:val="003817F6"/>
    <w:rsid w:val="003819CF"/>
    <w:rsid w:val="00381DD0"/>
    <w:rsid w:val="00381EE2"/>
    <w:rsid w:val="00381F6A"/>
    <w:rsid w:val="003820BF"/>
    <w:rsid w:val="00382305"/>
    <w:rsid w:val="00382673"/>
    <w:rsid w:val="00382CA4"/>
    <w:rsid w:val="00382D87"/>
    <w:rsid w:val="00383D6C"/>
    <w:rsid w:val="003843E6"/>
    <w:rsid w:val="0038487A"/>
    <w:rsid w:val="0038488B"/>
    <w:rsid w:val="00384B66"/>
    <w:rsid w:val="00384D20"/>
    <w:rsid w:val="00384DFF"/>
    <w:rsid w:val="003850E4"/>
    <w:rsid w:val="0038525F"/>
    <w:rsid w:val="00385453"/>
    <w:rsid w:val="00385875"/>
    <w:rsid w:val="00385F1B"/>
    <w:rsid w:val="00385F37"/>
    <w:rsid w:val="0038676A"/>
    <w:rsid w:val="003867A4"/>
    <w:rsid w:val="00386859"/>
    <w:rsid w:val="00386897"/>
    <w:rsid w:val="00386DFC"/>
    <w:rsid w:val="0038714E"/>
    <w:rsid w:val="003871E0"/>
    <w:rsid w:val="00387843"/>
    <w:rsid w:val="00387A04"/>
    <w:rsid w:val="00387AD3"/>
    <w:rsid w:val="00387CE4"/>
    <w:rsid w:val="0039011B"/>
    <w:rsid w:val="00390401"/>
    <w:rsid w:val="00390485"/>
    <w:rsid w:val="00390CC8"/>
    <w:rsid w:val="00390DDE"/>
    <w:rsid w:val="00390F79"/>
    <w:rsid w:val="0039123A"/>
    <w:rsid w:val="00391410"/>
    <w:rsid w:val="0039171B"/>
    <w:rsid w:val="00391EDC"/>
    <w:rsid w:val="00392502"/>
    <w:rsid w:val="003928EB"/>
    <w:rsid w:val="0039354B"/>
    <w:rsid w:val="0039367D"/>
    <w:rsid w:val="003936F0"/>
    <w:rsid w:val="00393DDD"/>
    <w:rsid w:val="00394B60"/>
    <w:rsid w:val="00394CE2"/>
    <w:rsid w:val="00394D65"/>
    <w:rsid w:val="00394EEC"/>
    <w:rsid w:val="00395408"/>
    <w:rsid w:val="00395520"/>
    <w:rsid w:val="003957EA"/>
    <w:rsid w:val="00395E84"/>
    <w:rsid w:val="00396007"/>
    <w:rsid w:val="003960D1"/>
    <w:rsid w:val="00396916"/>
    <w:rsid w:val="00397248"/>
    <w:rsid w:val="00397529"/>
    <w:rsid w:val="00397934"/>
    <w:rsid w:val="003A0132"/>
    <w:rsid w:val="003A017D"/>
    <w:rsid w:val="003A0203"/>
    <w:rsid w:val="003A022B"/>
    <w:rsid w:val="003A02E8"/>
    <w:rsid w:val="003A0407"/>
    <w:rsid w:val="003A0E58"/>
    <w:rsid w:val="003A1427"/>
    <w:rsid w:val="003A163A"/>
    <w:rsid w:val="003A19C6"/>
    <w:rsid w:val="003A1B0B"/>
    <w:rsid w:val="003A1B60"/>
    <w:rsid w:val="003A1FD7"/>
    <w:rsid w:val="003A2FC0"/>
    <w:rsid w:val="003A34CB"/>
    <w:rsid w:val="003A3AF1"/>
    <w:rsid w:val="003A441F"/>
    <w:rsid w:val="003A47EC"/>
    <w:rsid w:val="003A4996"/>
    <w:rsid w:val="003A4B31"/>
    <w:rsid w:val="003A4E64"/>
    <w:rsid w:val="003A5307"/>
    <w:rsid w:val="003A5C9C"/>
    <w:rsid w:val="003A6006"/>
    <w:rsid w:val="003A605C"/>
    <w:rsid w:val="003A6269"/>
    <w:rsid w:val="003A6D5C"/>
    <w:rsid w:val="003A712C"/>
    <w:rsid w:val="003A7382"/>
    <w:rsid w:val="003A7C75"/>
    <w:rsid w:val="003B05E8"/>
    <w:rsid w:val="003B104C"/>
    <w:rsid w:val="003B107F"/>
    <w:rsid w:val="003B12EC"/>
    <w:rsid w:val="003B12F0"/>
    <w:rsid w:val="003B13EB"/>
    <w:rsid w:val="003B1499"/>
    <w:rsid w:val="003B14AB"/>
    <w:rsid w:val="003B1610"/>
    <w:rsid w:val="003B18FD"/>
    <w:rsid w:val="003B195A"/>
    <w:rsid w:val="003B1F31"/>
    <w:rsid w:val="003B1F89"/>
    <w:rsid w:val="003B208D"/>
    <w:rsid w:val="003B2443"/>
    <w:rsid w:val="003B2456"/>
    <w:rsid w:val="003B27F2"/>
    <w:rsid w:val="003B2A1A"/>
    <w:rsid w:val="003B2AC0"/>
    <w:rsid w:val="003B2E88"/>
    <w:rsid w:val="003B3045"/>
    <w:rsid w:val="003B34BD"/>
    <w:rsid w:val="003B3517"/>
    <w:rsid w:val="003B38D0"/>
    <w:rsid w:val="003B3924"/>
    <w:rsid w:val="003B3A53"/>
    <w:rsid w:val="003B3F52"/>
    <w:rsid w:val="003B423D"/>
    <w:rsid w:val="003B45AA"/>
    <w:rsid w:val="003B4832"/>
    <w:rsid w:val="003B489F"/>
    <w:rsid w:val="003B4B0E"/>
    <w:rsid w:val="003B4B86"/>
    <w:rsid w:val="003B5130"/>
    <w:rsid w:val="003B54EB"/>
    <w:rsid w:val="003B5AC8"/>
    <w:rsid w:val="003B5C51"/>
    <w:rsid w:val="003B5EFD"/>
    <w:rsid w:val="003B5FD9"/>
    <w:rsid w:val="003B6025"/>
    <w:rsid w:val="003B603A"/>
    <w:rsid w:val="003B6191"/>
    <w:rsid w:val="003B6433"/>
    <w:rsid w:val="003B7325"/>
    <w:rsid w:val="003B755A"/>
    <w:rsid w:val="003B75CA"/>
    <w:rsid w:val="003B7CD0"/>
    <w:rsid w:val="003B7DBB"/>
    <w:rsid w:val="003C046A"/>
    <w:rsid w:val="003C09D6"/>
    <w:rsid w:val="003C0D7F"/>
    <w:rsid w:val="003C0E04"/>
    <w:rsid w:val="003C0F1A"/>
    <w:rsid w:val="003C0FBB"/>
    <w:rsid w:val="003C1144"/>
    <w:rsid w:val="003C131A"/>
    <w:rsid w:val="003C1ADF"/>
    <w:rsid w:val="003C2551"/>
    <w:rsid w:val="003C3069"/>
    <w:rsid w:val="003C3114"/>
    <w:rsid w:val="003C34C4"/>
    <w:rsid w:val="003C3561"/>
    <w:rsid w:val="003C3857"/>
    <w:rsid w:val="003C38B3"/>
    <w:rsid w:val="003C405D"/>
    <w:rsid w:val="003C4799"/>
    <w:rsid w:val="003C4EA7"/>
    <w:rsid w:val="003C5398"/>
    <w:rsid w:val="003C6804"/>
    <w:rsid w:val="003C6AC4"/>
    <w:rsid w:val="003C6CCE"/>
    <w:rsid w:val="003C7C61"/>
    <w:rsid w:val="003D00D3"/>
    <w:rsid w:val="003D036E"/>
    <w:rsid w:val="003D0BFC"/>
    <w:rsid w:val="003D0E7B"/>
    <w:rsid w:val="003D0E95"/>
    <w:rsid w:val="003D1320"/>
    <w:rsid w:val="003D1B93"/>
    <w:rsid w:val="003D1BDD"/>
    <w:rsid w:val="003D1D9C"/>
    <w:rsid w:val="003D1F2E"/>
    <w:rsid w:val="003D2158"/>
    <w:rsid w:val="003D3504"/>
    <w:rsid w:val="003D51C1"/>
    <w:rsid w:val="003D5350"/>
    <w:rsid w:val="003D540C"/>
    <w:rsid w:val="003D5632"/>
    <w:rsid w:val="003D57A0"/>
    <w:rsid w:val="003D5A68"/>
    <w:rsid w:val="003D5C17"/>
    <w:rsid w:val="003D5DF9"/>
    <w:rsid w:val="003D66EA"/>
    <w:rsid w:val="003D6C2F"/>
    <w:rsid w:val="003D6CB1"/>
    <w:rsid w:val="003D7BCC"/>
    <w:rsid w:val="003D7E39"/>
    <w:rsid w:val="003D7EDC"/>
    <w:rsid w:val="003E008C"/>
    <w:rsid w:val="003E1366"/>
    <w:rsid w:val="003E1771"/>
    <w:rsid w:val="003E196A"/>
    <w:rsid w:val="003E1F16"/>
    <w:rsid w:val="003E2769"/>
    <w:rsid w:val="003E2DD2"/>
    <w:rsid w:val="003E2DE1"/>
    <w:rsid w:val="003E308D"/>
    <w:rsid w:val="003E32FC"/>
    <w:rsid w:val="003E3A1E"/>
    <w:rsid w:val="003E3AEC"/>
    <w:rsid w:val="003E46B3"/>
    <w:rsid w:val="003E49C7"/>
    <w:rsid w:val="003E4C1F"/>
    <w:rsid w:val="003E537F"/>
    <w:rsid w:val="003E551F"/>
    <w:rsid w:val="003E5C7C"/>
    <w:rsid w:val="003E5E21"/>
    <w:rsid w:val="003E60FC"/>
    <w:rsid w:val="003E68AA"/>
    <w:rsid w:val="003E6E55"/>
    <w:rsid w:val="003E7232"/>
    <w:rsid w:val="003E7751"/>
    <w:rsid w:val="003E799A"/>
    <w:rsid w:val="003E7EF9"/>
    <w:rsid w:val="003F0351"/>
    <w:rsid w:val="003F0607"/>
    <w:rsid w:val="003F0FF5"/>
    <w:rsid w:val="003F12B9"/>
    <w:rsid w:val="003F1442"/>
    <w:rsid w:val="003F2170"/>
    <w:rsid w:val="003F271F"/>
    <w:rsid w:val="003F2787"/>
    <w:rsid w:val="003F2CC3"/>
    <w:rsid w:val="003F2D07"/>
    <w:rsid w:val="003F2E03"/>
    <w:rsid w:val="003F2E3C"/>
    <w:rsid w:val="003F2E71"/>
    <w:rsid w:val="003F34AD"/>
    <w:rsid w:val="003F44A2"/>
    <w:rsid w:val="003F4851"/>
    <w:rsid w:val="003F4A2D"/>
    <w:rsid w:val="003F4B2E"/>
    <w:rsid w:val="003F5095"/>
    <w:rsid w:val="003F60B9"/>
    <w:rsid w:val="003F620A"/>
    <w:rsid w:val="003F69F7"/>
    <w:rsid w:val="003F6B69"/>
    <w:rsid w:val="003F6B8C"/>
    <w:rsid w:val="003F6C3A"/>
    <w:rsid w:val="003F6CAC"/>
    <w:rsid w:val="003F6D09"/>
    <w:rsid w:val="003F7063"/>
    <w:rsid w:val="003F7235"/>
    <w:rsid w:val="003F7723"/>
    <w:rsid w:val="003F7FD6"/>
    <w:rsid w:val="00400469"/>
    <w:rsid w:val="004007F2"/>
    <w:rsid w:val="00401313"/>
    <w:rsid w:val="0040159D"/>
    <w:rsid w:val="00401ABB"/>
    <w:rsid w:val="00401CC5"/>
    <w:rsid w:val="00402403"/>
    <w:rsid w:val="00402453"/>
    <w:rsid w:val="00402639"/>
    <w:rsid w:val="00402C54"/>
    <w:rsid w:val="004032B1"/>
    <w:rsid w:val="00403A2A"/>
    <w:rsid w:val="00403A6C"/>
    <w:rsid w:val="00403FEF"/>
    <w:rsid w:val="00404110"/>
    <w:rsid w:val="0040422F"/>
    <w:rsid w:val="004044F9"/>
    <w:rsid w:val="004047E6"/>
    <w:rsid w:val="00405367"/>
    <w:rsid w:val="004053A2"/>
    <w:rsid w:val="00406380"/>
    <w:rsid w:val="00406500"/>
    <w:rsid w:val="00406509"/>
    <w:rsid w:val="00406613"/>
    <w:rsid w:val="00406C3B"/>
    <w:rsid w:val="0040724C"/>
    <w:rsid w:val="0040757E"/>
    <w:rsid w:val="0040768C"/>
    <w:rsid w:val="00407D04"/>
    <w:rsid w:val="00410102"/>
    <w:rsid w:val="0041099D"/>
    <w:rsid w:val="00410C33"/>
    <w:rsid w:val="00410F4A"/>
    <w:rsid w:val="00411443"/>
    <w:rsid w:val="00411594"/>
    <w:rsid w:val="00411622"/>
    <w:rsid w:val="00411969"/>
    <w:rsid w:val="00411B46"/>
    <w:rsid w:val="00412327"/>
    <w:rsid w:val="004129A8"/>
    <w:rsid w:val="00412F9A"/>
    <w:rsid w:val="00413629"/>
    <w:rsid w:val="004138DE"/>
    <w:rsid w:val="004141A4"/>
    <w:rsid w:val="004154F6"/>
    <w:rsid w:val="0041558C"/>
    <w:rsid w:val="004155B5"/>
    <w:rsid w:val="00415AE9"/>
    <w:rsid w:val="0041713A"/>
    <w:rsid w:val="00417740"/>
    <w:rsid w:val="00420025"/>
    <w:rsid w:val="004200C3"/>
    <w:rsid w:val="004200EB"/>
    <w:rsid w:val="004203FE"/>
    <w:rsid w:val="00420482"/>
    <w:rsid w:val="0042055D"/>
    <w:rsid w:val="00420913"/>
    <w:rsid w:val="00420AC6"/>
    <w:rsid w:val="00420BF8"/>
    <w:rsid w:val="00420E1B"/>
    <w:rsid w:val="004212B0"/>
    <w:rsid w:val="004213ED"/>
    <w:rsid w:val="004222C4"/>
    <w:rsid w:val="00422495"/>
    <w:rsid w:val="00422E5B"/>
    <w:rsid w:val="00422E95"/>
    <w:rsid w:val="00423587"/>
    <w:rsid w:val="004235D8"/>
    <w:rsid w:val="004237B5"/>
    <w:rsid w:val="00423A5B"/>
    <w:rsid w:val="0042406C"/>
    <w:rsid w:val="00424211"/>
    <w:rsid w:val="004248B6"/>
    <w:rsid w:val="00424927"/>
    <w:rsid w:val="00424967"/>
    <w:rsid w:val="00425605"/>
    <w:rsid w:val="00425813"/>
    <w:rsid w:val="00425D43"/>
    <w:rsid w:val="0042630C"/>
    <w:rsid w:val="00426352"/>
    <w:rsid w:val="00426444"/>
    <w:rsid w:val="00426AF7"/>
    <w:rsid w:val="00426D05"/>
    <w:rsid w:val="00427047"/>
    <w:rsid w:val="004273B9"/>
    <w:rsid w:val="004276D0"/>
    <w:rsid w:val="0042773C"/>
    <w:rsid w:val="0043025F"/>
    <w:rsid w:val="00430D75"/>
    <w:rsid w:val="00430FBD"/>
    <w:rsid w:val="00431358"/>
    <w:rsid w:val="0043135B"/>
    <w:rsid w:val="00431AFD"/>
    <w:rsid w:val="00431C1F"/>
    <w:rsid w:val="00431DF2"/>
    <w:rsid w:val="004321CE"/>
    <w:rsid w:val="00432590"/>
    <w:rsid w:val="00432605"/>
    <w:rsid w:val="0043273D"/>
    <w:rsid w:val="00432A1D"/>
    <w:rsid w:val="00432AC1"/>
    <w:rsid w:val="00432C89"/>
    <w:rsid w:val="00432E71"/>
    <w:rsid w:val="00432F8C"/>
    <w:rsid w:val="00433466"/>
    <w:rsid w:val="004338C0"/>
    <w:rsid w:val="00433DC1"/>
    <w:rsid w:val="00433EBF"/>
    <w:rsid w:val="00433F0E"/>
    <w:rsid w:val="004340F8"/>
    <w:rsid w:val="004341D6"/>
    <w:rsid w:val="004344F5"/>
    <w:rsid w:val="00434E0E"/>
    <w:rsid w:val="004350EC"/>
    <w:rsid w:val="00435332"/>
    <w:rsid w:val="0043546A"/>
    <w:rsid w:val="004354AF"/>
    <w:rsid w:val="00435F82"/>
    <w:rsid w:val="004360D5"/>
    <w:rsid w:val="00436861"/>
    <w:rsid w:val="00436C15"/>
    <w:rsid w:val="00436C2B"/>
    <w:rsid w:val="00437C43"/>
    <w:rsid w:val="00437DEC"/>
    <w:rsid w:val="00437EE5"/>
    <w:rsid w:val="00440918"/>
    <w:rsid w:val="00440D81"/>
    <w:rsid w:val="00440DD6"/>
    <w:rsid w:val="00440F63"/>
    <w:rsid w:val="00441422"/>
    <w:rsid w:val="004415BD"/>
    <w:rsid w:val="00441957"/>
    <w:rsid w:val="00441DBF"/>
    <w:rsid w:val="004429B1"/>
    <w:rsid w:val="004434A7"/>
    <w:rsid w:val="00443989"/>
    <w:rsid w:val="00443D0E"/>
    <w:rsid w:val="00443E39"/>
    <w:rsid w:val="00443EAE"/>
    <w:rsid w:val="00444927"/>
    <w:rsid w:val="00444F3A"/>
    <w:rsid w:val="00445276"/>
    <w:rsid w:val="0044538D"/>
    <w:rsid w:val="004453E7"/>
    <w:rsid w:val="00445611"/>
    <w:rsid w:val="0044578E"/>
    <w:rsid w:val="00446282"/>
    <w:rsid w:val="00446A08"/>
    <w:rsid w:val="00446BD6"/>
    <w:rsid w:val="00446E1F"/>
    <w:rsid w:val="004505EC"/>
    <w:rsid w:val="004508F1"/>
    <w:rsid w:val="00450A3B"/>
    <w:rsid w:val="00450F29"/>
    <w:rsid w:val="004512A5"/>
    <w:rsid w:val="00451B28"/>
    <w:rsid w:val="00451EB8"/>
    <w:rsid w:val="00451F4C"/>
    <w:rsid w:val="004527D0"/>
    <w:rsid w:val="00452AAA"/>
    <w:rsid w:val="0045326D"/>
    <w:rsid w:val="00453276"/>
    <w:rsid w:val="004532A9"/>
    <w:rsid w:val="0045358D"/>
    <w:rsid w:val="00453DF8"/>
    <w:rsid w:val="00454F6B"/>
    <w:rsid w:val="00455662"/>
    <w:rsid w:val="00455885"/>
    <w:rsid w:val="004559C4"/>
    <w:rsid w:val="00455F05"/>
    <w:rsid w:val="004560E1"/>
    <w:rsid w:val="00456D1A"/>
    <w:rsid w:val="00457329"/>
    <w:rsid w:val="004577EE"/>
    <w:rsid w:val="00457AA7"/>
    <w:rsid w:val="0046020C"/>
    <w:rsid w:val="00460366"/>
    <w:rsid w:val="004605EA"/>
    <w:rsid w:val="00460DC6"/>
    <w:rsid w:val="0046104E"/>
    <w:rsid w:val="004614C2"/>
    <w:rsid w:val="004617F4"/>
    <w:rsid w:val="00461896"/>
    <w:rsid w:val="00461EA5"/>
    <w:rsid w:val="00462149"/>
    <w:rsid w:val="0046251E"/>
    <w:rsid w:val="00462545"/>
    <w:rsid w:val="00462885"/>
    <w:rsid w:val="00462B5F"/>
    <w:rsid w:val="00462CE0"/>
    <w:rsid w:val="00463417"/>
    <w:rsid w:val="00463554"/>
    <w:rsid w:val="00463CA6"/>
    <w:rsid w:val="00464285"/>
    <w:rsid w:val="004645A0"/>
    <w:rsid w:val="00464C47"/>
    <w:rsid w:val="004651CC"/>
    <w:rsid w:val="00465DD7"/>
    <w:rsid w:val="00465DF3"/>
    <w:rsid w:val="004661AB"/>
    <w:rsid w:val="00466E5D"/>
    <w:rsid w:val="00467403"/>
    <w:rsid w:val="004679A3"/>
    <w:rsid w:val="00467AE0"/>
    <w:rsid w:val="00467D3F"/>
    <w:rsid w:val="00467DB1"/>
    <w:rsid w:val="00470249"/>
    <w:rsid w:val="00470293"/>
    <w:rsid w:val="00470781"/>
    <w:rsid w:val="0047087C"/>
    <w:rsid w:val="00470E29"/>
    <w:rsid w:val="00470F54"/>
    <w:rsid w:val="00471CBA"/>
    <w:rsid w:val="00471F0F"/>
    <w:rsid w:val="00471F40"/>
    <w:rsid w:val="00471F7F"/>
    <w:rsid w:val="0047235E"/>
    <w:rsid w:val="00472442"/>
    <w:rsid w:val="00473F98"/>
    <w:rsid w:val="004743FE"/>
    <w:rsid w:val="00474977"/>
    <w:rsid w:val="00474F31"/>
    <w:rsid w:val="0047523C"/>
    <w:rsid w:val="00475275"/>
    <w:rsid w:val="00475F51"/>
    <w:rsid w:val="004760CA"/>
    <w:rsid w:val="004762D8"/>
    <w:rsid w:val="00476607"/>
    <w:rsid w:val="00477252"/>
    <w:rsid w:val="00477517"/>
    <w:rsid w:val="0047789E"/>
    <w:rsid w:val="004779DD"/>
    <w:rsid w:val="00477FDA"/>
    <w:rsid w:val="004806AD"/>
    <w:rsid w:val="0048081A"/>
    <w:rsid w:val="00480852"/>
    <w:rsid w:val="00480A42"/>
    <w:rsid w:val="00481783"/>
    <w:rsid w:val="00481E01"/>
    <w:rsid w:val="004825C1"/>
    <w:rsid w:val="00482707"/>
    <w:rsid w:val="00482D3B"/>
    <w:rsid w:val="00483530"/>
    <w:rsid w:val="004836E7"/>
    <w:rsid w:val="0048374B"/>
    <w:rsid w:val="0048450D"/>
    <w:rsid w:val="0048494D"/>
    <w:rsid w:val="00484EA5"/>
    <w:rsid w:val="00485473"/>
    <w:rsid w:val="004856F9"/>
    <w:rsid w:val="00485A83"/>
    <w:rsid w:val="00485AB3"/>
    <w:rsid w:val="004861BB"/>
    <w:rsid w:val="0048669F"/>
    <w:rsid w:val="004870CB"/>
    <w:rsid w:val="00487185"/>
    <w:rsid w:val="004876A9"/>
    <w:rsid w:val="004877CF"/>
    <w:rsid w:val="0048782C"/>
    <w:rsid w:val="0048787B"/>
    <w:rsid w:val="00487FA3"/>
    <w:rsid w:val="00487FDB"/>
    <w:rsid w:val="0049078D"/>
    <w:rsid w:val="00490867"/>
    <w:rsid w:val="00490F61"/>
    <w:rsid w:val="00491611"/>
    <w:rsid w:val="00491A6A"/>
    <w:rsid w:val="00492114"/>
    <w:rsid w:val="004921CB"/>
    <w:rsid w:val="00492364"/>
    <w:rsid w:val="004928E3"/>
    <w:rsid w:val="00492B9B"/>
    <w:rsid w:val="00492C47"/>
    <w:rsid w:val="00492CCC"/>
    <w:rsid w:val="00492D9C"/>
    <w:rsid w:val="00492F3F"/>
    <w:rsid w:val="00492FEB"/>
    <w:rsid w:val="004932CE"/>
    <w:rsid w:val="004936C3"/>
    <w:rsid w:val="00493BE6"/>
    <w:rsid w:val="0049439F"/>
    <w:rsid w:val="004949DB"/>
    <w:rsid w:val="00494D4F"/>
    <w:rsid w:val="00495133"/>
    <w:rsid w:val="00495397"/>
    <w:rsid w:val="00495571"/>
    <w:rsid w:val="00495B3A"/>
    <w:rsid w:val="00495D78"/>
    <w:rsid w:val="00496340"/>
    <w:rsid w:val="00496B38"/>
    <w:rsid w:val="00496ECF"/>
    <w:rsid w:val="00496F9B"/>
    <w:rsid w:val="0049721E"/>
    <w:rsid w:val="004976E9"/>
    <w:rsid w:val="00497A37"/>
    <w:rsid w:val="00497BE8"/>
    <w:rsid w:val="004A0DE6"/>
    <w:rsid w:val="004A0E8A"/>
    <w:rsid w:val="004A1007"/>
    <w:rsid w:val="004A11D4"/>
    <w:rsid w:val="004A20E8"/>
    <w:rsid w:val="004A2396"/>
    <w:rsid w:val="004A2568"/>
    <w:rsid w:val="004A29BA"/>
    <w:rsid w:val="004A2FD2"/>
    <w:rsid w:val="004A3058"/>
    <w:rsid w:val="004A32DD"/>
    <w:rsid w:val="004A3C2E"/>
    <w:rsid w:val="004A3D34"/>
    <w:rsid w:val="004A4019"/>
    <w:rsid w:val="004A429B"/>
    <w:rsid w:val="004A44F4"/>
    <w:rsid w:val="004A477F"/>
    <w:rsid w:val="004A4D55"/>
    <w:rsid w:val="004A4DEB"/>
    <w:rsid w:val="004A5137"/>
    <w:rsid w:val="004A5809"/>
    <w:rsid w:val="004A5A3F"/>
    <w:rsid w:val="004A5B4F"/>
    <w:rsid w:val="004A5B79"/>
    <w:rsid w:val="004A5E16"/>
    <w:rsid w:val="004A5E2D"/>
    <w:rsid w:val="004A5FF4"/>
    <w:rsid w:val="004A630C"/>
    <w:rsid w:val="004A643D"/>
    <w:rsid w:val="004A7054"/>
    <w:rsid w:val="004A79FD"/>
    <w:rsid w:val="004A7C0C"/>
    <w:rsid w:val="004A7E3D"/>
    <w:rsid w:val="004B13F3"/>
    <w:rsid w:val="004B1450"/>
    <w:rsid w:val="004B1549"/>
    <w:rsid w:val="004B154B"/>
    <w:rsid w:val="004B1556"/>
    <w:rsid w:val="004B20A9"/>
    <w:rsid w:val="004B2188"/>
    <w:rsid w:val="004B2BCC"/>
    <w:rsid w:val="004B2F22"/>
    <w:rsid w:val="004B304C"/>
    <w:rsid w:val="004B31DC"/>
    <w:rsid w:val="004B3925"/>
    <w:rsid w:val="004B3B52"/>
    <w:rsid w:val="004B3F6C"/>
    <w:rsid w:val="004B4219"/>
    <w:rsid w:val="004B42BF"/>
    <w:rsid w:val="004B42EF"/>
    <w:rsid w:val="004B4350"/>
    <w:rsid w:val="004B442E"/>
    <w:rsid w:val="004B47A1"/>
    <w:rsid w:val="004B4EBD"/>
    <w:rsid w:val="004B6185"/>
    <w:rsid w:val="004B61F5"/>
    <w:rsid w:val="004B6B8D"/>
    <w:rsid w:val="004B7352"/>
    <w:rsid w:val="004B7AF9"/>
    <w:rsid w:val="004B7E09"/>
    <w:rsid w:val="004C01C4"/>
    <w:rsid w:val="004C0717"/>
    <w:rsid w:val="004C07FD"/>
    <w:rsid w:val="004C0B82"/>
    <w:rsid w:val="004C0BEE"/>
    <w:rsid w:val="004C1432"/>
    <w:rsid w:val="004C14BD"/>
    <w:rsid w:val="004C1598"/>
    <w:rsid w:val="004C1798"/>
    <w:rsid w:val="004C1D03"/>
    <w:rsid w:val="004C1EBC"/>
    <w:rsid w:val="004C1F29"/>
    <w:rsid w:val="004C227E"/>
    <w:rsid w:val="004C239F"/>
    <w:rsid w:val="004C287C"/>
    <w:rsid w:val="004C2979"/>
    <w:rsid w:val="004C2D28"/>
    <w:rsid w:val="004C3125"/>
    <w:rsid w:val="004C320E"/>
    <w:rsid w:val="004C3692"/>
    <w:rsid w:val="004C3D43"/>
    <w:rsid w:val="004C3FF6"/>
    <w:rsid w:val="004C43F0"/>
    <w:rsid w:val="004C445B"/>
    <w:rsid w:val="004C44D8"/>
    <w:rsid w:val="004C4EA3"/>
    <w:rsid w:val="004C4F1C"/>
    <w:rsid w:val="004C5417"/>
    <w:rsid w:val="004C592F"/>
    <w:rsid w:val="004C5A87"/>
    <w:rsid w:val="004C61C3"/>
    <w:rsid w:val="004C6262"/>
    <w:rsid w:val="004C65D2"/>
    <w:rsid w:val="004C6722"/>
    <w:rsid w:val="004C69AC"/>
    <w:rsid w:val="004C714A"/>
    <w:rsid w:val="004C72DC"/>
    <w:rsid w:val="004C7B3A"/>
    <w:rsid w:val="004D01BB"/>
    <w:rsid w:val="004D05AF"/>
    <w:rsid w:val="004D0D6B"/>
    <w:rsid w:val="004D13E4"/>
    <w:rsid w:val="004D1C12"/>
    <w:rsid w:val="004D1C69"/>
    <w:rsid w:val="004D2551"/>
    <w:rsid w:val="004D2B04"/>
    <w:rsid w:val="004D30E9"/>
    <w:rsid w:val="004D311F"/>
    <w:rsid w:val="004D3282"/>
    <w:rsid w:val="004D33A2"/>
    <w:rsid w:val="004D34C9"/>
    <w:rsid w:val="004D4046"/>
    <w:rsid w:val="004D4238"/>
    <w:rsid w:val="004D4354"/>
    <w:rsid w:val="004D4587"/>
    <w:rsid w:val="004D4941"/>
    <w:rsid w:val="004D56C7"/>
    <w:rsid w:val="004D5A12"/>
    <w:rsid w:val="004D5A23"/>
    <w:rsid w:val="004D62E1"/>
    <w:rsid w:val="004D7092"/>
    <w:rsid w:val="004D7206"/>
    <w:rsid w:val="004D7F0E"/>
    <w:rsid w:val="004D7FF6"/>
    <w:rsid w:val="004E004A"/>
    <w:rsid w:val="004E006D"/>
    <w:rsid w:val="004E02A8"/>
    <w:rsid w:val="004E0417"/>
    <w:rsid w:val="004E0554"/>
    <w:rsid w:val="004E0E93"/>
    <w:rsid w:val="004E13D8"/>
    <w:rsid w:val="004E1446"/>
    <w:rsid w:val="004E1DAA"/>
    <w:rsid w:val="004E252F"/>
    <w:rsid w:val="004E28EB"/>
    <w:rsid w:val="004E2B01"/>
    <w:rsid w:val="004E2DFA"/>
    <w:rsid w:val="004E3246"/>
    <w:rsid w:val="004E39C4"/>
    <w:rsid w:val="004E4680"/>
    <w:rsid w:val="004E47BB"/>
    <w:rsid w:val="004E48CD"/>
    <w:rsid w:val="004E4B28"/>
    <w:rsid w:val="004E5054"/>
    <w:rsid w:val="004E5A45"/>
    <w:rsid w:val="004E5D7C"/>
    <w:rsid w:val="004E6611"/>
    <w:rsid w:val="004E678D"/>
    <w:rsid w:val="004E68D4"/>
    <w:rsid w:val="004E722F"/>
    <w:rsid w:val="004E74D9"/>
    <w:rsid w:val="004E7DF1"/>
    <w:rsid w:val="004E7FFE"/>
    <w:rsid w:val="004F00BD"/>
    <w:rsid w:val="004F04B6"/>
    <w:rsid w:val="004F06E8"/>
    <w:rsid w:val="004F0B2B"/>
    <w:rsid w:val="004F0DE3"/>
    <w:rsid w:val="004F0E53"/>
    <w:rsid w:val="004F0F7B"/>
    <w:rsid w:val="004F1533"/>
    <w:rsid w:val="004F17FB"/>
    <w:rsid w:val="004F249D"/>
    <w:rsid w:val="004F27BD"/>
    <w:rsid w:val="004F2832"/>
    <w:rsid w:val="004F2CA0"/>
    <w:rsid w:val="004F3259"/>
    <w:rsid w:val="004F329F"/>
    <w:rsid w:val="004F3705"/>
    <w:rsid w:val="004F3946"/>
    <w:rsid w:val="004F39F3"/>
    <w:rsid w:val="004F48C9"/>
    <w:rsid w:val="004F4AC0"/>
    <w:rsid w:val="004F52A5"/>
    <w:rsid w:val="004F52B4"/>
    <w:rsid w:val="004F58B7"/>
    <w:rsid w:val="004F5BCF"/>
    <w:rsid w:val="004F5C05"/>
    <w:rsid w:val="004F5D69"/>
    <w:rsid w:val="004F5F7D"/>
    <w:rsid w:val="004F5FB7"/>
    <w:rsid w:val="004F6155"/>
    <w:rsid w:val="004F6369"/>
    <w:rsid w:val="004F6502"/>
    <w:rsid w:val="004F684B"/>
    <w:rsid w:val="004F6E8B"/>
    <w:rsid w:val="004F74B7"/>
    <w:rsid w:val="004F7623"/>
    <w:rsid w:val="004F79A0"/>
    <w:rsid w:val="004F7FA8"/>
    <w:rsid w:val="0050001F"/>
    <w:rsid w:val="005007AD"/>
    <w:rsid w:val="0050104B"/>
    <w:rsid w:val="00501C13"/>
    <w:rsid w:val="00501E59"/>
    <w:rsid w:val="00501FC2"/>
    <w:rsid w:val="00502087"/>
    <w:rsid w:val="0050251D"/>
    <w:rsid w:val="0050262C"/>
    <w:rsid w:val="005026CD"/>
    <w:rsid w:val="005032D9"/>
    <w:rsid w:val="005034B8"/>
    <w:rsid w:val="0050390F"/>
    <w:rsid w:val="0050394D"/>
    <w:rsid w:val="00503D48"/>
    <w:rsid w:val="00503E59"/>
    <w:rsid w:val="00503EB4"/>
    <w:rsid w:val="005040D1"/>
    <w:rsid w:val="0050412D"/>
    <w:rsid w:val="0050452D"/>
    <w:rsid w:val="005045B1"/>
    <w:rsid w:val="00504B69"/>
    <w:rsid w:val="00505A86"/>
    <w:rsid w:val="00505F05"/>
    <w:rsid w:val="00505F38"/>
    <w:rsid w:val="00505F73"/>
    <w:rsid w:val="00506092"/>
    <w:rsid w:val="005061EB"/>
    <w:rsid w:val="005062B4"/>
    <w:rsid w:val="005062BE"/>
    <w:rsid w:val="00506574"/>
    <w:rsid w:val="0050675B"/>
    <w:rsid w:val="0050706C"/>
    <w:rsid w:val="0050759A"/>
    <w:rsid w:val="00507B96"/>
    <w:rsid w:val="00507C31"/>
    <w:rsid w:val="00510BD2"/>
    <w:rsid w:val="0051107B"/>
    <w:rsid w:val="005111AA"/>
    <w:rsid w:val="005123AF"/>
    <w:rsid w:val="00512570"/>
    <w:rsid w:val="00512B05"/>
    <w:rsid w:val="00512BF4"/>
    <w:rsid w:val="00512EA0"/>
    <w:rsid w:val="0051300F"/>
    <w:rsid w:val="0051350A"/>
    <w:rsid w:val="0051361F"/>
    <w:rsid w:val="005137D4"/>
    <w:rsid w:val="0051469E"/>
    <w:rsid w:val="0051539D"/>
    <w:rsid w:val="005156FE"/>
    <w:rsid w:val="0051579A"/>
    <w:rsid w:val="00515EEA"/>
    <w:rsid w:val="005162AF"/>
    <w:rsid w:val="005168B9"/>
    <w:rsid w:val="00516B86"/>
    <w:rsid w:val="00517015"/>
    <w:rsid w:val="0051702B"/>
    <w:rsid w:val="005170B3"/>
    <w:rsid w:val="0051769B"/>
    <w:rsid w:val="005177E7"/>
    <w:rsid w:val="00517E81"/>
    <w:rsid w:val="00517F84"/>
    <w:rsid w:val="00517F94"/>
    <w:rsid w:val="00520273"/>
    <w:rsid w:val="00520B86"/>
    <w:rsid w:val="00520DA6"/>
    <w:rsid w:val="00520ED5"/>
    <w:rsid w:val="005211D8"/>
    <w:rsid w:val="005211ED"/>
    <w:rsid w:val="00521543"/>
    <w:rsid w:val="00521579"/>
    <w:rsid w:val="005215B2"/>
    <w:rsid w:val="0052215D"/>
    <w:rsid w:val="005223CB"/>
    <w:rsid w:val="0052261F"/>
    <w:rsid w:val="00522936"/>
    <w:rsid w:val="00522DC3"/>
    <w:rsid w:val="00522FE0"/>
    <w:rsid w:val="00523112"/>
    <w:rsid w:val="00523299"/>
    <w:rsid w:val="00523F71"/>
    <w:rsid w:val="0052405B"/>
    <w:rsid w:val="00524320"/>
    <w:rsid w:val="005251C9"/>
    <w:rsid w:val="00525259"/>
    <w:rsid w:val="005258F3"/>
    <w:rsid w:val="00526F71"/>
    <w:rsid w:val="005306FB"/>
    <w:rsid w:val="00530A62"/>
    <w:rsid w:val="00531F0F"/>
    <w:rsid w:val="00531F78"/>
    <w:rsid w:val="005323BA"/>
    <w:rsid w:val="005326F7"/>
    <w:rsid w:val="00532C8A"/>
    <w:rsid w:val="005331F9"/>
    <w:rsid w:val="00533330"/>
    <w:rsid w:val="00533889"/>
    <w:rsid w:val="00533BFD"/>
    <w:rsid w:val="00534502"/>
    <w:rsid w:val="005348CD"/>
    <w:rsid w:val="00534A1E"/>
    <w:rsid w:val="00534BBB"/>
    <w:rsid w:val="00534D72"/>
    <w:rsid w:val="005358A9"/>
    <w:rsid w:val="00535A59"/>
    <w:rsid w:val="00535ED2"/>
    <w:rsid w:val="00536CFB"/>
    <w:rsid w:val="00537206"/>
    <w:rsid w:val="00537970"/>
    <w:rsid w:val="00537ACB"/>
    <w:rsid w:val="00537BDD"/>
    <w:rsid w:val="00537BDE"/>
    <w:rsid w:val="005401F0"/>
    <w:rsid w:val="0054024D"/>
    <w:rsid w:val="005406F9"/>
    <w:rsid w:val="00541181"/>
    <w:rsid w:val="005411AF"/>
    <w:rsid w:val="00541ECB"/>
    <w:rsid w:val="00541F99"/>
    <w:rsid w:val="005422DF"/>
    <w:rsid w:val="005426E7"/>
    <w:rsid w:val="00542D6C"/>
    <w:rsid w:val="00543049"/>
    <w:rsid w:val="00543805"/>
    <w:rsid w:val="005439D0"/>
    <w:rsid w:val="005439E4"/>
    <w:rsid w:val="00543AD9"/>
    <w:rsid w:val="00543FDC"/>
    <w:rsid w:val="00544220"/>
    <w:rsid w:val="00544434"/>
    <w:rsid w:val="005446E2"/>
    <w:rsid w:val="00544ACD"/>
    <w:rsid w:val="00544AFE"/>
    <w:rsid w:val="00544FC4"/>
    <w:rsid w:val="00545236"/>
    <w:rsid w:val="00545ACC"/>
    <w:rsid w:val="00546288"/>
    <w:rsid w:val="0054710E"/>
    <w:rsid w:val="0054721E"/>
    <w:rsid w:val="005475D4"/>
    <w:rsid w:val="005478BC"/>
    <w:rsid w:val="0055008F"/>
    <w:rsid w:val="00551CF4"/>
    <w:rsid w:val="00551E9A"/>
    <w:rsid w:val="005528FF"/>
    <w:rsid w:val="00552DA5"/>
    <w:rsid w:val="005532BA"/>
    <w:rsid w:val="005532BD"/>
    <w:rsid w:val="00553A86"/>
    <w:rsid w:val="00554757"/>
    <w:rsid w:val="00554A33"/>
    <w:rsid w:val="00554FB2"/>
    <w:rsid w:val="00555055"/>
    <w:rsid w:val="00555067"/>
    <w:rsid w:val="005555B3"/>
    <w:rsid w:val="00555622"/>
    <w:rsid w:val="00555696"/>
    <w:rsid w:val="00556AC1"/>
    <w:rsid w:val="0055744A"/>
    <w:rsid w:val="0055758D"/>
    <w:rsid w:val="0055779C"/>
    <w:rsid w:val="005600BE"/>
    <w:rsid w:val="0056029F"/>
    <w:rsid w:val="005602E4"/>
    <w:rsid w:val="005610B3"/>
    <w:rsid w:val="00561766"/>
    <w:rsid w:val="00561C3D"/>
    <w:rsid w:val="00561F12"/>
    <w:rsid w:val="00561FEF"/>
    <w:rsid w:val="00562152"/>
    <w:rsid w:val="00562464"/>
    <w:rsid w:val="005624C0"/>
    <w:rsid w:val="00562825"/>
    <w:rsid w:val="00562834"/>
    <w:rsid w:val="005628D8"/>
    <w:rsid w:val="00562FD8"/>
    <w:rsid w:val="00563119"/>
    <w:rsid w:val="00563A85"/>
    <w:rsid w:val="00563CCC"/>
    <w:rsid w:val="00564078"/>
    <w:rsid w:val="00564249"/>
    <w:rsid w:val="005643EA"/>
    <w:rsid w:val="00564B14"/>
    <w:rsid w:val="00564DA1"/>
    <w:rsid w:val="00565233"/>
    <w:rsid w:val="005656DB"/>
    <w:rsid w:val="005658E0"/>
    <w:rsid w:val="00565AC0"/>
    <w:rsid w:val="00565B53"/>
    <w:rsid w:val="005662EE"/>
    <w:rsid w:val="00566393"/>
    <w:rsid w:val="00566894"/>
    <w:rsid w:val="00566AB3"/>
    <w:rsid w:val="00566C66"/>
    <w:rsid w:val="005671A0"/>
    <w:rsid w:val="005672B7"/>
    <w:rsid w:val="005673F8"/>
    <w:rsid w:val="005678F5"/>
    <w:rsid w:val="00567FBB"/>
    <w:rsid w:val="005703D0"/>
    <w:rsid w:val="00570661"/>
    <w:rsid w:val="00570897"/>
    <w:rsid w:val="00570EAB"/>
    <w:rsid w:val="00570EB1"/>
    <w:rsid w:val="00571D4D"/>
    <w:rsid w:val="00572247"/>
    <w:rsid w:val="005723B3"/>
    <w:rsid w:val="0057260D"/>
    <w:rsid w:val="00572FE3"/>
    <w:rsid w:val="005734C7"/>
    <w:rsid w:val="00573F1F"/>
    <w:rsid w:val="00574390"/>
    <w:rsid w:val="005743EE"/>
    <w:rsid w:val="00574877"/>
    <w:rsid w:val="00574DC5"/>
    <w:rsid w:val="00574ECA"/>
    <w:rsid w:val="00575024"/>
    <w:rsid w:val="00575498"/>
    <w:rsid w:val="005757DE"/>
    <w:rsid w:val="005759F5"/>
    <w:rsid w:val="00575BEC"/>
    <w:rsid w:val="00575CAF"/>
    <w:rsid w:val="00575E80"/>
    <w:rsid w:val="00576389"/>
    <w:rsid w:val="00576793"/>
    <w:rsid w:val="00576B7B"/>
    <w:rsid w:val="00576C96"/>
    <w:rsid w:val="005770FE"/>
    <w:rsid w:val="00577296"/>
    <w:rsid w:val="005772EF"/>
    <w:rsid w:val="00580890"/>
    <w:rsid w:val="00580899"/>
    <w:rsid w:val="00580EF3"/>
    <w:rsid w:val="00581285"/>
    <w:rsid w:val="0058171C"/>
    <w:rsid w:val="005819DD"/>
    <w:rsid w:val="00581FFB"/>
    <w:rsid w:val="00582003"/>
    <w:rsid w:val="00582209"/>
    <w:rsid w:val="005823E5"/>
    <w:rsid w:val="00583033"/>
    <w:rsid w:val="0058364D"/>
    <w:rsid w:val="00583A30"/>
    <w:rsid w:val="00583B36"/>
    <w:rsid w:val="00583DA9"/>
    <w:rsid w:val="00583FAC"/>
    <w:rsid w:val="00584081"/>
    <w:rsid w:val="005846B3"/>
    <w:rsid w:val="0058470A"/>
    <w:rsid w:val="0058488F"/>
    <w:rsid w:val="00584C9E"/>
    <w:rsid w:val="00584EBA"/>
    <w:rsid w:val="00584FBF"/>
    <w:rsid w:val="00585529"/>
    <w:rsid w:val="0058563F"/>
    <w:rsid w:val="00585EFD"/>
    <w:rsid w:val="00586010"/>
    <w:rsid w:val="0058610E"/>
    <w:rsid w:val="005861DA"/>
    <w:rsid w:val="00586569"/>
    <w:rsid w:val="00586830"/>
    <w:rsid w:val="00586EB1"/>
    <w:rsid w:val="00586FEB"/>
    <w:rsid w:val="00587297"/>
    <w:rsid w:val="00587B09"/>
    <w:rsid w:val="00587F80"/>
    <w:rsid w:val="00590033"/>
    <w:rsid w:val="00590554"/>
    <w:rsid w:val="00590664"/>
    <w:rsid w:val="00590D6D"/>
    <w:rsid w:val="005910EF"/>
    <w:rsid w:val="005912C7"/>
    <w:rsid w:val="005913B3"/>
    <w:rsid w:val="0059157F"/>
    <w:rsid w:val="005915F0"/>
    <w:rsid w:val="00591F18"/>
    <w:rsid w:val="0059264A"/>
    <w:rsid w:val="0059264D"/>
    <w:rsid w:val="00592A13"/>
    <w:rsid w:val="00592E8C"/>
    <w:rsid w:val="0059314A"/>
    <w:rsid w:val="0059317B"/>
    <w:rsid w:val="00593529"/>
    <w:rsid w:val="005941BE"/>
    <w:rsid w:val="0059428F"/>
    <w:rsid w:val="005949D2"/>
    <w:rsid w:val="00594B55"/>
    <w:rsid w:val="00594E95"/>
    <w:rsid w:val="00596468"/>
    <w:rsid w:val="005964B2"/>
    <w:rsid w:val="00596E3A"/>
    <w:rsid w:val="00596F4B"/>
    <w:rsid w:val="0059786B"/>
    <w:rsid w:val="00597E67"/>
    <w:rsid w:val="005A0123"/>
    <w:rsid w:val="005A09C9"/>
    <w:rsid w:val="005A0B13"/>
    <w:rsid w:val="005A0EA1"/>
    <w:rsid w:val="005A10C5"/>
    <w:rsid w:val="005A126A"/>
    <w:rsid w:val="005A1297"/>
    <w:rsid w:val="005A1C94"/>
    <w:rsid w:val="005A1E1F"/>
    <w:rsid w:val="005A1FFA"/>
    <w:rsid w:val="005A2878"/>
    <w:rsid w:val="005A28EF"/>
    <w:rsid w:val="005A2C53"/>
    <w:rsid w:val="005A2FC8"/>
    <w:rsid w:val="005A30F6"/>
    <w:rsid w:val="005A39D3"/>
    <w:rsid w:val="005A3B82"/>
    <w:rsid w:val="005A4CC5"/>
    <w:rsid w:val="005A6148"/>
    <w:rsid w:val="005A62B5"/>
    <w:rsid w:val="005A62E7"/>
    <w:rsid w:val="005A6469"/>
    <w:rsid w:val="005A658B"/>
    <w:rsid w:val="005A6D00"/>
    <w:rsid w:val="005A6DBD"/>
    <w:rsid w:val="005A704B"/>
    <w:rsid w:val="005A70F5"/>
    <w:rsid w:val="005A7D68"/>
    <w:rsid w:val="005A7E23"/>
    <w:rsid w:val="005B0269"/>
    <w:rsid w:val="005B0430"/>
    <w:rsid w:val="005B098F"/>
    <w:rsid w:val="005B0AB9"/>
    <w:rsid w:val="005B0ACE"/>
    <w:rsid w:val="005B1214"/>
    <w:rsid w:val="005B1382"/>
    <w:rsid w:val="005B152F"/>
    <w:rsid w:val="005B1769"/>
    <w:rsid w:val="005B19CF"/>
    <w:rsid w:val="005B1BB1"/>
    <w:rsid w:val="005B24FC"/>
    <w:rsid w:val="005B271F"/>
    <w:rsid w:val="005B2A3D"/>
    <w:rsid w:val="005B2AAA"/>
    <w:rsid w:val="005B3136"/>
    <w:rsid w:val="005B33D3"/>
    <w:rsid w:val="005B382B"/>
    <w:rsid w:val="005B3E34"/>
    <w:rsid w:val="005B4098"/>
    <w:rsid w:val="005B46F5"/>
    <w:rsid w:val="005B4B7D"/>
    <w:rsid w:val="005B51B5"/>
    <w:rsid w:val="005B52FA"/>
    <w:rsid w:val="005B6576"/>
    <w:rsid w:val="005B6CF5"/>
    <w:rsid w:val="005B6D13"/>
    <w:rsid w:val="005B6D87"/>
    <w:rsid w:val="005B6DB8"/>
    <w:rsid w:val="005B6EA5"/>
    <w:rsid w:val="005B6F81"/>
    <w:rsid w:val="005B7437"/>
    <w:rsid w:val="005B7762"/>
    <w:rsid w:val="005B77CE"/>
    <w:rsid w:val="005B7FB5"/>
    <w:rsid w:val="005B7FDB"/>
    <w:rsid w:val="005C100F"/>
    <w:rsid w:val="005C1192"/>
    <w:rsid w:val="005C1338"/>
    <w:rsid w:val="005C16B9"/>
    <w:rsid w:val="005C1A9E"/>
    <w:rsid w:val="005C1C88"/>
    <w:rsid w:val="005C365A"/>
    <w:rsid w:val="005C373D"/>
    <w:rsid w:val="005C395B"/>
    <w:rsid w:val="005C3E6D"/>
    <w:rsid w:val="005C4090"/>
    <w:rsid w:val="005C41F6"/>
    <w:rsid w:val="005C47E4"/>
    <w:rsid w:val="005C4863"/>
    <w:rsid w:val="005C4C1D"/>
    <w:rsid w:val="005C4F35"/>
    <w:rsid w:val="005C4F58"/>
    <w:rsid w:val="005C52C8"/>
    <w:rsid w:val="005C5979"/>
    <w:rsid w:val="005C5CBC"/>
    <w:rsid w:val="005C5FBD"/>
    <w:rsid w:val="005C6294"/>
    <w:rsid w:val="005C6999"/>
    <w:rsid w:val="005C6B9F"/>
    <w:rsid w:val="005C6F2B"/>
    <w:rsid w:val="005C7119"/>
    <w:rsid w:val="005C7800"/>
    <w:rsid w:val="005C79B4"/>
    <w:rsid w:val="005C7B22"/>
    <w:rsid w:val="005D0028"/>
    <w:rsid w:val="005D0112"/>
    <w:rsid w:val="005D06AB"/>
    <w:rsid w:val="005D07D0"/>
    <w:rsid w:val="005D08F8"/>
    <w:rsid w:val="005D0FDE"/>
    <w:rsid w:val="005D1231"/>
    <w:rsid w:val="005D146A"/>
    <w:rsid w:val="005D1B23"/>
    <w:rsid w:val="005D22A0"/>
    <w:rsid w:val="005D2327"/>
    <w:rsid w:val="005D2D36"/>
    <w:rsid w:val="005D307E"/>
    <w:rsid w:val="005D3B53"/>
    <w:rsid w:val="005D410F"/>
    <w:rsid w:val="005D4557"/>
    <w:rsid w:val="005D4595"/>
    <w:rsid w:val="005D4685"/>
    <w:rsid w:val="005D48E1"/>
    <w:rsid w:val="005D4BB6"/>
    <w:rsid w:val="005D5002"/>
    <w:rsid w:val="005D5168"/>
    <w:rsid w:val="005D52A3"/>
    <w:rsid w:val="005D53A4"/>
    <w:rsid w:val="005D55E7"/>
    <w:rsid w:val="005D58F1"/>
    <w:rsid w:val="005D5CD7"/>
    <w:rsid w:val="005D5FCD"/>
    <w:rsid w:val="005D637B"/>
    <w:rsid w:val="005D695B"/>
    <w:rsid w:val="005D6A14"/>
    <w:rsid w:val="005D717B"/>
    <w:rsid w:val="005D72B4"/>
    <w:rsid w:val="005D74C0"/>
    <w:rsid w:val="005D7A9A"/>
    <w:rsid w:val="005D7AF8"/>
    <w:rsid w:val="005D7EB8"/>
    <w:rsid w:val="005D7F40"/>
    <w:rsid w:val="005E0466"/>
    <w:rsid w:val="005E061A"/>
    <w:rsid w:val="005E091A"/>
    <w:rsid w:val="005E09B6"/>
    <w:rsid w:val="005E0E16"/>
    <w:rsid w:val="005E10B4"/>
    <w:rsid w:val="005E1956"/>
    <w:rsid w:val="005E2141"/>
    <w:rsid w:val="005E2368"/>
    <w:rsid w:val="005E262A"/>
    <w:rsid w:val="005E366A"/>
    <w:rsid w:val="005E3DA5"/>
    <w:rsid w:val="005E497B"/>
    <w:rsid w:val="005E4B36"/>
    <w:rsid w:val="005E4F6F"/>
    <w:rsid w:val="005E5418"/>
    <w:rsid w:val="005E5ADB"/>
    <w:rsid w:val="005E67C1"/>
    <w:rsid w:val="005E695E"/>
    <w:rsid w:val="005E69DD"/>
    <w:rsid w:val="005E7055"/>
    <w:rsid w:val="005E7255"/>
    <w:rsid w:val="005E7D0E"/>
    <w:rsid w:val="005F0880"/>
    <w:rsid w:val="005F1582"/>
    <w:rsid w:val="005F240E"/>
    <w:rsid w:val="005F2E1A"/>
    <w:rsid w:val="005F3114"/>
    <w:rsid w:val="005F368F"/>
    <w:rsid w:val="005F3783"/>
    <w:rsid w:val="005F3BDF"/>
    <w:rsid w:val="005F3E7C"/>
    <w:rsid w:val="005F4030"/>
    <w:rsid w:val="005F4050"/>
    <w:rsid w:val="005F4869"/>
    <w:rsid w:val="005F4A6D"/>
    <w:rsid w:val="005F4FB1"/>
    <w:rsid w:val="005F5A01"/>
    <w:rsid w:val="005F63B3"/>
    <w:rsid w:val="005F669C"/>
    <w:rsid w:val="005F7117"/>
    <w:rsid w:val="005F72D6"/>
    <w:rsid w:val="005F733D"/>
    <w:rsid w:val="005F7752"/>
    <w:rsid w:val="005F77A9"/>
    <w:rsid w:val="005F78C6"/>
    <w:rsid w:val="005F7E2D"/>
    <w:rsid w:val="005F7F55"/>
    <w:rsid w:val="00600277"/>
    <w:rsid w:val="0060030E"/>
    <w:rsid w:val="00600BDA"/>
    <w:rsid w:val="00601129"/>
    <w:rsid w:val="006011A8"/>
    <w:rsid w:val="006013E3"/>
    <w:rsid w:val="006015D7"/>
    <w:rsid w:val="00601870"/>
    <w:rsid w:val="0060199F"/>
    <w:rsid w:val="00601E03"/>
    <w:rsid w:val="00601E46"/>
    <w:rsid w:val="00601FD1"/>
    <w:rsid w:val="00602072"/>
    <w:rsid w:val="00602223"/>
    <w:rsid w:val="00602315"/>
    <w:rsid w:val="00602739"/>
    <w:rsid w:val="00602E0C"/>
    <w:rsid w:val="00602F72"/>
    <w:rsid w:val="00603158"/>
    <w:rsid w:val="00603245"/>
    <w:rsid w:val="00603676"/>
    <w:rsid w:val="0060370E"/>
    <w:rsid w:val="00603AD8"/>
    <w:rsid w:val="00603AFA"/>
    <w:rsid w:val="006043B4"/>
    <w:rsid w:val="006045BC"/>
    <w:rsid w:val="006049A1"/>
    <w:rsid w:val="00604CDB"/>
    <w:rsid w:val="00604F52"/>
    <w:rsid w:val="00605160"/>
    <w:rsid w:val="006053AC"/>
    <w:rsid w:val="006054B1"/>
    <w:rsid w:val="0060576B"/>
    <w:rsid w:val="006058A8"/>
    <w:rsid w:val="00605A4C"/>
    <w:rsid w:val="00605F28"/>
    <w:rsid w:val="00605FF0"/>
    <w:rsid w:val="00606A16"/>
    <w:rsid w:val="00606EFF"/>
    <w:rsid w:val="00607568"/>
    <w:rsid w:val="006079E6"/>
    <w:rsid w:val="00607B5A"/>
    <w:rsid w:val="00607FF6"/>
    <w:rsid w:val="00610426"/>
    <w:rsid w:val="0061055F"/>
    <w:rsid w:val="00610577"/>
    <w:rsid w:val="006105DC"/>
    <w:rsid w:val="00610730"/>
    <w:rsid w:val="00610CF3"/>
    <w:rsid w:val="00610D41"/>
    <w:rsid w:val="006114A5"/>
    <w:rsid w:val="006117A8"/>
    <w:rsid w:val="006118D6"/>
    <w:rsid w:val="00611B79"/>
    <w:rsid w:val="006127F2"/>
    <w:rsid w:val="006127F8"/>
    <w:rsid w:val="0061297C"/>
    <w:rsid w:val="00612BCD"/>
    <w:rsid w:val="00613335"/>
    <w:rsid w:val="00613B1F"/>
    <w:rsid w:val="00613F81"/>
    <w:rsid w:val="006142B7"/>
    <w:rsid w:val="006142DF"/>
    <w:rsid w:val="0061460F"/>
    <w:rsid w:val="006148B8"/>
    <w:rsid w:val="00614B1A"/>
    <w:rsid w:val="00614B63"/>
    <w:rsid w:val="00614BEF"/>
    <w:rsid w:val="00614CD8"/>
    <w:rsid w:val="00614D1C"/>
    <w:rsid w:val="006153C3"/>
    <w:rsid w:val="006157D4"/>
    <w:rsid w:val="00615C0E"/>
    <w:rsid w:val="00616122"/>
    <w:rsid w:val="00616F44"/>
    <w:rsid w:val="006172AF"/>
    <w:rsid w:val="006178AD"/>
    <w:rsid w:val="00617924"/>
    <w:rsid w:val="00617988"/>
    <w:rsid w:val="00617CE0"/>
    <w:rsid w:val="00617EE2"/>
    <w:rsid w:val="0062010D"/>
    <w:rsid w:val="00620222"/>
    <w:rsid w:val="006208D9"/>
    <w:rsid w:val="00620CB6"/>
    <w:rsid w:val="00620DBE"/>
    <w:rsid w:val="00620DF5"/>
    <w:rsid w:val="00621288"/>
    <w:rsid w:val="0062156C"/>
    <w:rsid w:val="0062158D"/>
    <w:rsid w:val="0062194B"/>
    <w:rsid w:val="0062226B"/>
    <w:rsid w:val="006223C8"/>
    <w:rsid w:val="00622A95"/>
    <w:rsid w:val="00622B33"/>
    <w:rsid w:val="00622C94"/>
    <w:rsid w:val="0062330A"/>
    <w:rsid w:val="00623861"/>
    <w:rsid w:val="0062392B"/>
    <w:rsid w:val="006239F5"/>
    <w:rsid w:val="00624B4E"/>
    <w:rsid w:val="00624B5B"/>
    <w:rsid w:val="0062539C"/>
    <w:rsid w:val="00625873"/>
    <w:rsid w:val="0062594E"/>
    <w:rsid w:val="00625BC9"/>
    <w:rsid w:val="00625CD4"/>
    <w:rsid w:val="00626613"/>
    <w:rsid w:val="00626899"/>
    <w:rsid w:val="00626A74"/>
    <w:rsid w:val="00626C58"/>
    <w:rsid w:val="00626CB8"/>
    <w:rsid w:val="0062701B"/>
    <w:rsid w:val="006271A4"/>
    <w:rsid w:val="00627570"/>
    <w:rsid w:val="0063014D"/>
    <w:rsid w:val="006301F5"/>
    <w:rsid w:val="0063059E"/>
    <w:rsid w:val="00630A9A"/>
    <w:rsid w:val="00630B90"/>
    <w:rsid w:val="00630DC8"/>
    <w:rsid w:val="00630FB4"/>
    <w:rsid w:val="00630FD0"/>
    <w:rsid w:val="006313A2"/>
    <w:rsid w:val="00631EBE"/>
    <w:rsid w:val="00632265"/>
    <w:rsid w:val="00632628"/>
    <w:rsid w:val="00632A77"/>
    <w:rsid w:val="00632D3C"/>
    <w:rsid w:val="00633BD4"/>
    <w:rsid w:val="00634744"/>
    <w:rsid w:val="00634BA3"/>
    <w:rsid w:val="00635AFA"/>
    <w:rsid w:val="00635FB9"/>
    <w:rsid w:val="006366A9"/>
    <w:rsid w:val="0063749C"/>
    <w:rsid w:val="00637734"/>
    <w:rsid w:val="00637970"/>
    <w:rsid w:val="00637DD6"/>
    <w:rsid w:val="00640517"/>
    <w:rsid w:val="00640597"/>
    <w:rsid w:val="0064061E"/>
    <w:rsid w:val="00640DA9"/>
    <w:rsid w:val="0064144E"/>
    <w:rsid w:val="00641468"/>
    <w:rsid w:val="006415C5"/>
    <w:rsid w:val="00641661"/>
    <w:rsid w:val="00641711"/>
    <w:rsid w:val="00641880"/>
    <w:rsid w:val="00642139"/>
    <w:rsid w:val="00642B05"/>
    <w:rsid w:val="00642BE8"/>
    <w:rsid w:val="00643DCC"/>
    <w:rsid w:val="006441F6"/>
    <w:rsid w:val="00644583"/>
    <w:rsid w:val="00644B10"/>
    <w:rsid w:val="00645742"/>
    <w:rsid w:val="00645AC3"/>
    <w:rsid w:val="00645D3E"/>
    <w:rsid w:val="00646660"/>
    <w:rsid w:val="0064678A"/>
    <w:rsid w:val="00646919"/>
    <w:rsid w:val="00647559"/>
    <w:rsid w:val="00647850"/>
    <w:rsid w:val="00647DA5"/>
    <w:rsid w:val="00647E3E"/>
    <w:rsid w:val="00647EB5"/>
    <w:rsid w:val="00650170"/>
    <w:rsid w:val="0065028A"/>
    <w:rsid w:val="00650576"/>
    <w:rsid w:val="00650722"/>
    <w:rsid w:val="00650C9B"/>
    <w:rsid w:val="00650E0F"/>
    <w:rsid w:val="006510E2"/>
    <w:rsid w:val="006511B2"/>
    <w:rsid w:val="0065167D"/>
    <w:rsid w:val="00651B5D"/>
    <w:rsid w:val="00651CCB"/>
    <w:rsid w:val="00651D60"/>
    <w:rsid w:val="00651F4D"/>
    <w:rsid w:val="00652044"/>
    <w:rsid w:val="006524EC"/>
    <w:rsid w:val="0065270F"/>
    <w:rsid w:val="006529F7"/>
    <w:rsid w:val="00652D8C"/>
    <w:rsid w:val="00652F5B"/>
    <w:rsid w:val="00653063"/>
    <w:rsid w:val="0065330A"/>
    <w:rsid w:val="00653AA1"/>
    <w:rsid w:val="00654263"/>
    <w:rsid w:val="00654476"/>
    <w:rsid w:val="00654AE8"/>
    <w:rsid w:val="00654DB1"/>
    <w:rsid w:val="006551C5"/>
    <w:rsid w:val="00655DD6"/>
    <w:rsid w:val="00655EFF"/>
    <w:rsid w:val="00656742"/>
    <w:rsid w:val="00657067"/>
    <w:rsid w:val="00657427"/>
    <w:rsid w:val="00657643"/>
    <w:rsid w:val="00657724"/>
    <w:rsid w:val="0065772B"/>
    <w:rsid w:val="0065783D"/>
    <w:rsid w:val="0066008D"/>
    <w:rsid w:val="0066020B"/>
    <w:rsid w:val="00660388"/>
    <w:rsid w:val="00660422"/>
    <w:rsid w:val="00660CAA"/>
    <w:rsid w:val="006610EF"/>
    <w:rsid w:val="006618DF"/>
    <w:rsid w:val="00661A24"/>
    <w:rsid w:val="0066263B"/>
    <w:rsid w:val="00662B85"/>
    <w:rsid w:val="00662F0F"/>
    <w:rsid w:val="00662FD0"/>
    <w:rsid w:val="006631C7"/>
    <w:rsid w:val="00663349"/>
    <w:rsid w:val="006637E9"/>
    <w:rsid w:val="00663CE7"/>
    <w:rsid w:val="00663FB9"/>
    <w:rsid w:val="0066419B"/>
    <w:rsid w:val="00664244"/>
    <w:rsid w:val="00664574"/>
    <w:rsid w:val="00664BE0"/>
    <w:rsid w:val="0066509A"/>
    <w:rsid w:val="00665173"/>
    <w:rsid w:val="0066519F"/>
    <w:rsid w:val="00665564"/>
    <w:rsid w:val="00665C4C"/>
    <w:rsid w:val="00665CE6"/>
    <w:rsid w:val="00666060"/>
    <w:rsid w:val="006660D2"/>
    <w:rsid w:val="00666310"/>
    <w:rsid w:val="00666ABB"/>
    <w:rsid w:val="0066753D"/>
    <w:rsid w:val="006679AC"/>
    <w:rsid w:val="00667B27"/>
    <w:rsid w:val="0067030D"/>
    <w:rsid w:val="0067034F"/>
    <w:rsid w:val="00671066"/>
    <w:rsid w:val="006714DF"/>
    <w:rsid w:val="00671871"/>
    <w:rsid w:val="00671A29"/>
    <w:rsid w:val="006726EB"/>
    <w:rsid w:val="0067276D"/>
    <w:rsid w:val="00672B1A"/>
    <w:rsid w:val="0067362E"/>
    <w:rsid w:val="00674489"/>
    <w:rsid w:val="0067468D"/>
    <w:rsid w:val="006747E2"/>
    <w:rsid w:val="00674C9A"/>
    <w:rsid w:val="00674F3E"/>
    <w:rsid w:val="0067521F"/>
    <w:rsid w:val="006753A1"/>
    <w:rsid w:val="006756A4"/>
    <w:rsid w:val="006760FD"/>
    <w:rsid w:val="006761F2"/>
    <w:rsid w:val="00676BB0"/>
    <w:rsid w:val="00676D8C"/>
    <w:rsid w:val="00676F9C"/>
    <w:rsid w:val="0067726E"/>
    <w:rsid w:val="006801DF"/>
    <w:rsid w:val="006803DE"/>
    <w:rsid w:val="0068102F"/>
    <w:rsid w:val="00681B92"/>
    <w:rsid w:val="00681CE3"/>
    <w:rsid w:val="00681E16"/>
    <w:rsid w:val="00681FA2"/>
    <w:rsid w:val="00682764"/>
    <w:rsid w:val="00682B0B"/>
    <w:rsid w:val="00682E80"/>
    <w:rsid w:val="00682EBE"/>
    <w:rsid w:val="0068337E"/>
    <w:rsid w:val="00683482"/>
    <w:rsid w:val="00683568"/>
    <w:rsid w:val="00683AA8"/>
    <w:rsid w:val="00683B48"/>
    <w:rsid w:val="00683E28"/>
    <w:rsid w:val="00684BFE"/>
    <w:rsid w:val="00684DF9"/>
    <w:rsid w:val="0068503C"/>
    <w:rsid w:val="006850D4"/>
    <w:rsid w:val="00685D46"/>
    <w:rsid w:val="00685DD9"/>
    <w:rsid w:val="00685F2A"/>
    <w:rsid w:val="00685FB5"/>
    <w:rsid w:val="0068696C"/>
    <w:rsid w:val="00686B3E"/>
    <w:rsid w:val="00686D27"/>
    <w:rsid w:val="00687039"/>
    <w:rsid w:val="006873BA"/>
    <w:rsid w:val="00687E06"/>
    <w:rsid w:val="006906ED"/>
    <w:rsid w:val="006909C3"/>
    <w:rsid w:val="00690D62"/>
    <w:rsid w:val="00691324"/>
    <w:rsid w:val="0069164F"/>
    <w:rsid w:val="006917E8"/>
    <w:rsid w:val="00691839"/>
    <w:rsid w:val="0069194D"/>
    <w:rsid w:val="00691987"/>
    <w:rsid w:val="00691CD7"/>
    <w:rsid w:val="0069218C"/>
    <w:rsid w:val="006924B9"/>
    <w:rsid w:val="006924D0"/>
    <w:rsid w:val="00692883"/>
    <w:rsid w:val="006929EE"/>
    <w:rsid w:val="0069317A"/>
    <w:rsid w:val="006931F8"/>
    <w:rsid w:val="0069337C"/>
    <w:rsid w:val="00693C57"/>
    <w:rsid w:val="00693EC0"/>
    <w:rsid w:val="006940E6"/>
    <w:rsid w:val="00694600"/>
    <w:rsid w:val="00694A52"/>
    <w:rsid w:val="00694BE8"/>
    <w:rsid w:val="00694D2C"/>
    <w:rsid w:val="006950A5"/>
    <w:rsid w:val="0069597F"/>
    <w:rsid w:val="00695AE6"/>
    <w:rsid w:val="0069671C"/>
    <w:rsid w:val="00696F3A"/>
    <w:rsid w:val="006A0349"/>
    <w:rsid w:val="006A0860"/>
    <w:rsid w:val="006A0EAD"/>
    <w:rsid w:val="006A0F06"/>
    <w:rsid w:val="006A1001"/>
    <w:rsid w:val="006A18E4"/>
    <w:rsid w:val="006A1DA6"/>
    <w:rsid w:val="006A1F3D"/>
    <w:rsid w:val="006A2B19"/>
    <w:rsid w:val="006A348E"/>
    <w:rsid w:val="006A36C9"/>
    <w:rsid w:val="006A3F0F"/>
    <w:rsid w:val="006A4085"/>
    <w:rsid w:val="006A430E"/>
    <w:rsid w:val="006A4A57"/>
    <w:rsid w:val="006A4CB0"/>
    <w:rsid w:val="006A512F"/>
    <w:rsid w:val="006A5890"/>
    <w:rsid w:val="006A5D19"/>
    <w:rsid w:val="006A5FE0"/>
    <w:rsid w:val="006A6118"/>
    <w:rsid w:val="006A69AA"/>
    <w:rsid w:val="006A70F7"/>
    <w:rsid w:val="006A7191"/>
    <w:rsid w:val="006A788B"/>
    <w:rsid w:val="006A7AEA"/>
    <w:rsid w:val="006B0655"/>
    <w:rsid w:val="006B0EC2"/>
    <w:rsid w:val="006B17EB"/>
    <w:rsid w:val="006B180A"/>
    <w:rsid w:val="006B1D8F"/>
    <w:rsid w:val="006B1DD4"/>
    <w:rsid w:val="006B23E1"/>
    <w:rsid w:val="006B2D34"/>
    <w:rsid w:val="006B3690"/>
    <w:rsid w:val="006B4B69"/>
    <w:rsid w:val="006B4E3A"/>
    <w:rsid w:val="006B508F"/>
    <w:rsid w:val="006B5AED"/>
    <w:rsid w:val="006B5F9B"/>
    <w:rsid w:val="006B604B"/>
    <w:rsid w:val="006B678B"/>
    <w:rsid w:val="006B6DCE"/>
    <w:rsid w:val="006B7061"/>
    <w:rsid w:val="006B72C3"/>
    <w:rsid w:val="006B7762"/>
    <w:rsid w:val="006B78EE"/>
    <w:rsid w:val="006B7B01"/>
    <w:rsid w:val="006B7FD3"/>
    <w:rsid w:val="006C07DE"/>
    <w:rsid w:val="006C0BB5"/>
    <w:rsid w:val="006C1409"/>
    <w:rsid w:val="006C1A32"/>
    <w:rsid w:val="006C1C24"/>
    <w:rsid w:val="006C1DCF"/>
    <w:rsid w:val="006C1F50"/>
    <w:rsid w:val="006C325B"/>
    <w:rsid w:val="006C330D"/>
    <w:rsid w:val="006C3492"/>
    <w:rsid w:val="006C42A8"/>
    <w:rsid w:val="006C4310"/>
    <w:rsid w:val="006C451F"/>
    <w:rsid w:val="006C4CDC"/>
    <w:rsid w:val="006C562F"/>
    <w:rsid w:val="006C5943"/>
    <w:rsid w:val="006C659A"/>
    <w:rsid w:val="006C6BE3"/>
    <w:rsid w:val="006C6F42"/>
    <w:rsid w:val="006C7018"/>
    <w:rsid w:val="006C789F"/>
    <w:rsid w:val="006C7FFC"/>
    <w:rsid w:val="006D06D4"/>
    <w:rsid w:val="006D0F5C"/>
    <w:rsid w:val="006D1616"/>
    <w:rsid w:val="006D1BCE"/>
    <w:rsid w:val="006D1CB4"/>
    <w:rsid w:val="006D28E4"/>
    <w:rsid w:val="006D2EA9"/>
    <w:rsid w:val="006D32E1"/>
    <w:rsid w:val="006D3485"/>
    <w:rsid w:val="006D37F2"/>
    <w:rsid w:val="006D3A38"/>
    <w:rsid w:val="006D3C31"/>
    <w:rsid w:val="006D3CED"/>
    <w:rsid w:val="006D3D89"/>
    <w:rsid w:val="006D405A"/>
    <w:rsid w:val="006D42F9"/>
    <w:rsid w:val="006D46CC"/>
    <w:rsid w:val="006D4761"/>
    <w:rsid w:val="006D4942"/>
    <w:rsid w:val="006D4DDB"/>
    <w:rsid w:val="006D558D"/>
    <w:rsid w:val="006D572A"/>
    <w:rsid w:val="006D5AAB"/>
    <w:rsid w:val="006D5C4C"/>
    <w:rsid w:val="006D7423"/>
    <w:rsid w:val="006D75B3"/>
    <w:rsid w:val="006D77BF"/>
    <w:rsid w:val="006D7DD7"/>
    <w:rsid w:val="006E0369"/>
    <w:rsid w:val="006E0582"/>
    <w:rsid w:val="006E0944"/>
    <w:rsid w:val="006E0C02"/>
    <w:rsid w:val="006E120E"/>
    <w:rsid w:val="006E13FD"/>
    <w:rsid w:val="006E14EA"/>
    <w:rsid w:val="006E2688"/>
    <w:rsid w:val="006E2AB2"/>
    <w:rsid w:val="006E2AD9"/>
    <w:rsid w:val="006E2B60"/>
    <w:rsid w:val="006E2B93"/>
    <w:rsid w:val="006E2CEC"/>
    <w:rsid w:val="006E2EE6"/>
    <w:rsid w:val="006E31FE"/>
    <w:rsid w:val="006E321F"/>
    <w:rsid w:val="006E331C"/>
    <w:rsid w:val="006E34D6"/>
    <w:rsid w:val="006E36EE"/>
    <w:rsid w:val="006E3DAF"/>
    <w:rsid w:val="006E40DE"/>
    <w:rsid w:val="006E4221"/>
    <w:rsid w:val="006E452D"/>
    <w:rsid w:val="006E46CA"/>
    <w:rsid w:val="006E47F3"/>
    <w:rsid w:val="006E493D"/>
    <w:rsid w:val="006E54BC"/>
    <w:rsid w:val="006E5A2A"/>
    <w:rsid w:val="006E5C44"/>
    <w:rsid w:val="006E6298"/>
    <w:rsid w:val="006E629B"/>
    <w:rsid w:val="006E66CD"/>
    <w:rsid w:val="006E6A87"/>
    <w:rsid w:val="006E717C"/>
    <w:rsid w:val="006E7373"/>
    <w:rsid w:val="006E7470"/>
    <w:rsid w:val="006E75E1"/>
    <w:rsid w:val="006E7D2C"/>
    <w:rsid w:val="006F07FD"/>
    <w:rsid w:val="006F0E51"/>
    <w:rsid w:val="006F172D"/>
    <w:rsid w:val="006F1B2B"/>
    <w:rsid w:val="006F1EC6"/>
    <w:rsid w:val="006F2396"/>
    <w:rsid w:val="006F3660"/>
    <w:rsid w:val="006F3F22"/>
    <w:rsid w:val="006F40D1"/>
    <w:rsid w:val="006F492F"/>
    <w:rsid w:val="006F4B13"/>
    <w:rsid w:val="006F50F5"/>
    <w:rsid w:val="006F540B"/>
    <w:rsid w:val="006F5427"/>
    <w:rsid w:val="006F545F"/>
    <w:rsid w:val="006F6347"/>
    <w:rsid w:val="006F672E"/>
    <w:rsid w:val="006F6AC1"/>
    <w:rsid w:val="006F6BAF"/>
    <w:rsid w:val="006F75DE"/>
    <w:rsid w:val="006F76BA"/>
    <w:rsid w:val="006F7898"/>
    <w:rsid w:val="007000F4"/>
    <w:rsid w:val="0070033F"/>
    <w:rsid w:val="007006ED"/>
    <w:rsid w:val="007008A6"/>
    <w:rsid w:val="00701189"/>
    <w:rsid w:val="007014D3"/>
    <w:rsid w:val="00701FA9"/>
    <w:rsid w:val="00702A72"/>
    <w:rsid w:val="00702C92"/>
    <w:rsid w:val="00702CA5"/>
    <w:rsid w:val="00702E36"/>
    <w:rsid w:val="007030E4"/>
    <w:rsid w:val="00703562"/>
    <w:rsid w:val="00703C8A"/>
    <w:rsid w:val="00703CA2"/>
    <w:rsid w:val="00703D92"/>
    <w:rsid w:val="007043E6"/>
    <w:rsid w:val="007045E6"/>
    <w:rsid w:val="007047EE"/>
    <w:rsid w:val="00704C73"/>
    <w:rsid w:val="0070528B"/>
    <w:rsid w:val="00705686"/>
    <w:rsid w:val="00705AB1"/>
    <w:rsid w:val="00705E39"/>
    <w:rsid w:val="00706BA2"/>
    <w:rsid w:val="00706BCC"/>
    <w:rsid w:val="00706E5C"/>
    <w:rsid w:val="00707A09"/>
    <w:rsid w:val="00707B2E"/>
    <w:rsid w:val="00707D4C"/>
    <w:rsid w:val="007104CE"/>
    <w:rsid w:val="00710FE4"/>
    <w:rsid w:val="0071111E"/>
    <w:rsid w:val="00711684"/>
    <w:rsid w:val="00711ACE"/>
    <w:rsid w:val="00711E6E"/>
    <w:rsid w:val="00712737"/>
    <w:rsid w:val="007127E8"/>
    <w:rsid w:val="00712C0C"/>
    <w:rsid w:val="00712CC5"/>
    <w:rsid w:val="00712D6C"/>
    <w:rsid w:val="00712E3E"/>
    <w:rsid w:val="007134AD"/>
    <w:rsid w:val="00713A7E"/>
    <w:rsid w:val="00713B4B"/>
    <w:rsid w:val="00713DF2"/>
    <w:rsid w:val="007142F1"/>
    <w:rsid w:val="0071430F"/>
    <w:rsid w:val="007145F0"/>
    <w:rsid w:val="00715353"/>
    <w:rsid w:val="00715659"/>
    <w:rsid w:val="007164AA"/>
    <w:rsid w:val="0071653E"/>
    <w:rsid w:val="00716C6B"/>
    <w:rsid w:val="00716E96"/>
    <w:rsid w:val="007172A8"/>
    <w:rsid w:val="007179CD"/>
    <w:rsid w:val="007203E1"/>
    <w:rsid w:val="00720CAA"/>
    <w:rsid w:val="0072120F"/>
    <w:rsid w:val="00721B86"/>
    <w:rsid w:val="00721FA3"/>
    <w:rsid w:val="00722F77"/>
    <w:rsid w:val="007237D1"/>
    <w:rsid w:val="0072385D"/>
    <w:rsid w:val="00723926"/>
    <w:rsid w:val="00723A66"/>
    <w:rsid w:val="00724045"/>
    <w:rsid w:val="00724162"/>
    <w:rsid w:val="00724419"/>
    <w:rsid w:val="007248D9"/>
    <w:rsid w:val="00724C29"/>
    <w:rsid w:val="00724F0A"/>
    <w:rsid w:val="007250EE"/>
    <w:rsid w:val="007254C1"/>
    <w:rsid w:val="00725AE1"/>
    <w:rsid w:val="0072632A"/>
    <w:rsid w:val="0072697A"/>
    <w:rsid w:val="00726A0E"/>
    <w:rsid w:val="00726C87"/>
    <w:rsid w:val="00726E34"/>
    <w:rsid w:val="007273BA"/>
    <w:rsid w:val="007274E2"/>
    <w:rsid w:val="007276BC"/>
    <w:rsid w:val="00727704"/>
    <w:rsid w:val="00727A68"/>
    <w:rsid w:val="0073029B"/>
    <w:rsid w:val="0073078B"/>
    <w:rsid w:val="00730DEE"/>
    <w:rsid w:val="00730E53"/>
    <w:rsid w:val="00730F32"/>
    <w:rsid w:val="007312E3"/>
    <w:rsid w:val="007314F2"/>
    <w:rsid w:val="0073162B"/>
    <w:rsid w:val="0073164F"/>
    <w:rsid w:val="00731688"/>
    <w:rsid w:val="0073196D"/>
    <w:rsid w:val="00731A3F"/>
    <w:rsid w:val="0073227B"/>
    <w:rsid w:val="007323D9"/>
    <w:rsid w:val="007325E4"/>
    <w:rsid w:val="00732614"/>
    <w:rsid w:val="00732DF3"/>
    <w:rsid w:val="007335D9"/>
    <w:rsid w:val="00733A4D"/>
    <w:rsid w:val="0073446D"/>
    <w:rsid w:val="00734D2A"/>
    <w:rsid w:val="007350B8"/>
    <w:rsid w:val="0073536B"/>
    <w:rsid w:val="00736105"/>
    <w:rsid w:val="00736366"/>
    <w:rsid w:val="007363AD"/>
    <w:rsid w:val="00736C95"/>
    <w:rsid w:val="007370B2"/>
    <w:rsid w:val="007371A1"/>
    <w:rsid w:val="00737350"/>
    <w:rsid w:val="0073767D"/>
    <w:rsid w:val="0073786D"/>
    <w:rsid w:val="00740297"/>
    <w:rsid w:val="007407AF"/>
    <w:rsid w:val="007407F4"/>
    <w:rsid w:val="007411E1"/>
    <w:rsid w:val="0074147C"/>
    <w:rsid w:val="00741857"/>
    <w:rsid w:val="0074185E"/>
    <w:rsid w:val="00741BDB"/>
    <w:rsid w:val="00741C35"/>
    <w:rsid w:val="00742648"/>
    <w:rsid w:val="007434F6"/>
    <w:rsid w:val="00743527"/>
    <w:rsid w:val="007436EC"/>
    <w:rsid w:val="00743742"/>
    <w:rsid w:val="00743EF0"/>
    <w:rsid w:val="0074468B"/>
    <w:rsid w:val="0074492C"/>
    <w:rsid w:val="00744BA2"/>
    <w:rsid w:val="00744EB7"/>
    <w:rsid w:val="007450A8"/>
    <w:rsid w:val="00745346"/>
    <w:rsid w:val="0074539F"/>
    <w:rsid w:val="00745414"/>
    <w:rsid w:val="007455ED"/>
    <w:rsid w:val="00745796"/>
    <w:rsid w:val="00745BB2"/>
    <w:rsid w:val="00745D17"/>
    <w:rsid w:val="007460E5"/>
    <w:rsid w:val="007464ED"/>
    <w:rsid w:val="007469CC"/>
    <w:rsid w:val="00746B2A"/>
    <w:rsid w:val="00746B7F"/>
    <w:rsid w:val="00746F93"/>
    <w:rsid w:val="00750138"/>
    <w:rsid w:val="007502A0"/>
    <w:rsid w:val="00750333"/>
    <w:rsid w:val="0075035F"/>
    <w:rsid w:val="0075102D"/>
    <w:rsid w:val="007511FA"/>
    <w:rsid w:val="00751F2D"/>
    <w:rsid w:val="00751FFB"/>
    <w:rsid w:val="00752278"/>
    <w:rsid w:val="00752FE1"/>
    <w:rsid w:val="0075349C"/>
    <w:rsid w:val="0075391E"/>
    <w:rsid w:val="007539D3"/>
    <w:rsid w:val="007539DF"/>
    <w:rsid w:val="0075405A"/>
    <w:rsid w:val="007540D1"/>
    <w:rsid w:val="0075417C"/>
    <w:rsid w:val="007541A0"/>
    <w:rsid w:val="00754994"/>
    <w:rsid w:val="007549D8"/>
    <w:rsid w:val="007549E0"/>
    <w:rsid w:val="00754E3F"/>
    <w:rsid w:val="00755039"/>
    <w:rsid w:val="00755498"/>
    <w:rsid w:val="0075558F"/>
    <w:rsid w:val="00755A0C"/>
    <w:rsid w:val="00755A3C"/>
    <w:rsid w:val="00755B3B"/>
    <w:rsid w:val="00755E10"/>
    <w:rsid w:val="00755E2F"/>
    <w:rsid w:val="00756495"/>
    <w:rsid w:val="007565A5"/>
    <w:rsid w:val="007565AE"/>
    <w:rsid w:val="00756CDE"/>
    <w:rsid w:val="00756D39"/>
    <w:rsid w:val="00756D45"/>
    <w:rsid w:val="0075720D"/>
    <w:rsid w:val="0076048F"/>
    <w:rsid w:val="007605A5"/>
    <w:rsid w:val="007609BB"/>
    <w:rsid w:val="00760B01"/>
    <w:rsid w:val="00760C01"/>
    <w:rsid w:val="00761CAF"/>
    <w:rsid w:val="00761E61"/>
    <w:rsid w:val="00762B8E"/>
    <w:rsid w:val="00762BA0"/>
    <w:rsid w:val="00762F26"/>
    <w:rsid w:val="00762FA0"/>
    <w:rsid w:val="00763630"/>
    <w:rsid w:val="00763852"/>
    <w:rsid w:val="00763DDE"/>
    <w:rsid w:val="00764758"/>
    <w:rsid w:val="00764835"/>
    <w:rsid w:val="00764E97"/>
    <w:rsid w:val="00765056"/>
    <w:rsid w:val="0076531C"/>
    <w:rsid w:val="00765E05"/>
    <w:rsid w:val="007665F8"/>
    <w:rsid w:val="0076694E"/>
    <w:rsid w:val="007669CB"/>
    <w:rsid w:val="00766CC9"/>
    <w:rsid w:val="00767380"/>
    <w:rsid w:val="007673D0"/>
    <w:rsid w:val="00767651"/>
    <w:rsid w:val="00767A65"/>
    <w:rsid w:val="00767F14"/>
    <w:rsid w:val="00770151"/>
    <w:rsid w:val="00770276"/>
    <w:rsid w:val="007704FE"/>
    <w:rsid w:val="007706CA"/>
    <w:rsid w:val="00770C52"/>
    <w:rsid w:val="00770D5F"/>
    <w:rsid w:val="00770FC5"/>
    <w:rsid w:val="00771061"/>
    <w:rsid w:val="00771201"/>
    <w:rsid w:val="00771371"/>
    <w:rsid w:val="00771CCF"/>
    <w:rsid w:val="00771CEC"/>
    <w:rsid w:val="00771D8B"/>
    <w:rsid w:val="00771FE2"/>
    <w:rsid w:val="007724B6"/>
    <w:rsid w:val="00772B99"/>
    <w:rsid w:val="007737A5"/>
    <w:rsid w:val="007737EA"/>
    <w:rsid w:val="0077380F"/>
    <w:rsid w:val="0077391B"/>
    <w:rsid w:val="00774526"/>
    <w:rsid w:val="00774793"/>
    <w:rsid w:val="00774B9E"/>
    <w:rsid w:val="00775666"/>
    <w:rsid w:val="0077570C"/>
    <w:rsid w:val="00775791"/>
    <w:rsid w:val="007759EB"/>
    <w:rsid w:val="00775EBF"/>
    <w:rsid w:val="007763CD"/>
    <w:rsid w:val="00776B31"/>
    <w:rsid w:val="00776C93"/>
    <w:rsid w:val="00776F87"/>
    <w:rsid w:val="00777397"/>
    <w:rsid w:val="007778D3"/>
    <w:rsid w:val="0078071D"/>
    <w:rsid w:val="007807FE"/>
    <w:rsid w:val="0078089C"/>
    <w:rsid w:val="00780BED"/>
    <w:rsid w:val="00780CE6"/>
    <w:rsid w:val="00780CE9"/>
    <w:rsid w:val="00781029"/>
    <w:rsid w:val="007813B4"/>
    <w:rsid w:val="00781A76"/>
    <w:rsid w:val="00781BFC"/>
    <w:rsid w:val="00781F44"/>
    <w:rsid w:val="0078207D"/>
    <w:rsid w:val="007820DE"/>
    <w:rsid w:val="0078244B"/>
    <w:rsid w:val="00782574"/>
    <w:rsid w:val="0078295D"/>
    <w:rsid w:val="00783192"/>
    <w:rsid w:val="00783379"/>
    <w:rsid w:val="007838F8"/>
    <w:rsid w:val="00784BBE"/>
    <w:rsid w:val="0078521C"/>
    <w:rsid w:val="00785A0E"/>
    <w:rsid w:val="007861BE"/>
    <w:rsid w:val="007862A6"/>
    <w:rsid w:val="007863EB"/>
    <w:rsid w:val="007871B4"/>
    <w:rsid w:val="00787553"/>
    <w:rsid w:val="00787AD4"/>
    <w:rsid w:val="00787C8A"/>
    <w:rsid w:val="007907A6"/>
    <w:rsid w:val="00790B6D"/>
    <w:rsid w:val="00790C2F"/>
    <w:rsid w:val="00790C76"/>
    <w:rsid w:val="00790FD3"/>
    <w:rsid w:val="007911D3"/>
    <w:rsid w:val="00791278"/>
    <w:rsid w:val="00791887"/>
    <w:rsid w:val="00791B0A"/>
    <w:rsid w:val="0079229C"/>
    <w:rsid w:val="00792606"/>
    <w:rsid w:val="00792687"/>
    <w:rsid w:val="007928D0"/>
    <w:rsid w:val="0079373D"/>
    <w:rsid w:val="00793D24"/>
    <w:rsid w:val="007944DE"/>
    <w:rsid w:val="007948AF"/>
    <w:rsid w:val="00794B11"/>
    <w:rsid w:val="00794F65"/>
    <w:rsid w:val="00794F91"/>
    <w:rsid w:val="00795662"/>
    <w:rsid w:val="00795826"/>
    <w:rsid w:val="00795D6B"/>
    <w:rsid w:val="00795FB1"/>
    <w:rsid w:val="0079639F"/>
    <w:rsid w:val="00796ABA"/>
    <w:rsid w:val="00796B6A"/>
    <w:rsid w:val="0079711F"/>
    <w:rsid w:val="007971E5"/>
    <w:rsid w:val="00797324"/>
    <w:rsid w:val="0079777B"/>
    <w:rsid w:val="007979B7"/>
    <w:rsid w:val="00797D5C"/>
    <w:rsid w:val="007A0794"/>
    <w:rsid w:val="007A0B47"/>
    <w:rsid w:val="007A0F47"/>
    <w:rsid w:val="007A101E"/>
    <w:rsid w:val="007A1386"/>
    <w:rsid w:val="007A19DA"/>
    <w:rsid w:val="007A1A15"/>
    <w:rsid w:val="007A1B9B"/>
    <w:rsid w:val="007A1E3E"/>
    <w:rsid w:val="007A1F8D"/>
    <w:rsid w:val="007A26C9"/>
    <w:rsid w:val="007A2A82"/>
    <w:rsid w:val="007A3ABB"/>
    <w:rsid w:val="007A411E"/>
    <w:rsid w:val="007A4256"/>
    <w:rsid w:val="007A42EB"/>
    <w:rsid w:val="007A478D"/>
    <w:rsid w:val="007A497B"/>
    <w:rsid w:val="007A513E"/>
    <w:rsid w:val="007A5495"/>
    <w:rsid w:val="007A5B7C"/>
    <w:rsid w:val="007A64F5"/>
    <w:rsid w:val="007A6B20"/>
    <w:rsid w:val="007A6D9E"/>
    <w:rsid w:val="007A6DE4"/>
    <w:rsid w:val="007A70DE"/>
    <w:rsid w:val="007A7232"/>
    <w:rsid w:val="007A7EF3"/>
    <w:rsid w:val="007B03AD"/>
    <w:rsid w:val="007B0707"/>
    <w:rsid w:val="007B0DDE"/>
    <w:rsid w:val="007B16C8"/>
    <w:rsid w:val="007B2540"/>
    <w:rsid w:val="007B2668"/>
    <w:rsid w:val="007B2AD2"/>
    <w:rsid w:val="007B2B46"/>
    <w:rsid w:val="007B2F44"/>
    <w:rsid w:val="007B324C"/>
    <w:rsid w:val="007B34FB"/>
    <w:rsid w:val="007B37AE"/>
    <w:rsid w:val="007B396D"/>
    <w:rsid w:val="007B45EA"/>
    <w:rsid w:val="007B4A89"/>
    <w:rsid w:val="007B4BA3"/>
    <w:rsid w:val="007B5049"/>
    <w:rsid w:val="007B525F"/>
    <w:rsid w:val="007B5B07"/>
    <w:rsid w:val="007B5E7B"/>
    <w:rsid w:val="007B5E90"/>
    <w:rsid w:val="007B62AD"/>
    <w:rsid w:val="007B66DD"/>
    <w:rsid w:val="007B7140"/>
    <w:rsid w:val="007B78E0"/>
    <w:rsid w:val="007B7975"/>
    <w:rsid w:val="007C02CF"/>
    <w:rsid w:val="007C0353"/>
    <w:rsid w:val="007C04E4"/>
    <w:rsid w:val="007C07B4"/>
    <w:rsid w:val="007C12E8"/>
    <w:rsid w:val="007C1936"/>
    <w:rsid w:val="007C19EA"/>
    <w:rsid w:val="007C1A1D"/>
    <w:rsid w:val="007C2358"/>
    <w:rsid w:val="007C2861"/>
    <w:rsid w:val="007C28C1"/>
    <w:rsid w:val="007C2D25"/>
    <w:rsid w:val="007C2E8C"/>
    <w:rsid w:val="007C3608"/>
    <w:rsid w:val="007C3BBA"/>
    <w:rsid w:val="007C3EDB"/>
    <w:rsid w:val="007C4010"/>
    <w:rsid w:val="007C4083"/>
    <w:rsid w:val="007C4206"/>
    <w:rsid w:val="007C42B7"/>
    <w:rsid w:val="007C443A"/>
    <w:rsid w:val="007C4989"/>
    <w:rsid w:val="007C4A80"/>
    <w:rsid w:val="007C58B2"/>
    <w:rsid w:val="007C5B84"/>
    <w:rsid w:val="007C644D"/>
    <w:rsid w:val="007C6940"/>
    <w:rsid w:val="007C6BE1"/>
    <w:rsid w:val="007C6D94"/>
    <w:rsid w:val="007C6F43"/>
    <w:rsid w:val="007C6F9B"/>
    <w:rsid w:val="007C74ED"/>
    <w:rsid w:val="007C78D4"/>
    <w:rsid w:val="007C7BA7"/>
    <w:rsid w:val="007D0716"/>
    <w:rsid w:val="007D10B2"/>
    <w:rsid w:val="007D10CE"/>
    <w:rsid w:val="007D11D2"/>
    <w:rsid w:val="007D1BB3"/>
    <w:rsid w:val="007D1CC2"/>
    <w:rsid w:val="007D27D2"/>
    <w:rsid w:val="007D2871"/>
    <w:rsid w:val="007D29E6"/>
    <w:rsid w:val="007D2B1C"/>
    <w:rsid w:val="007D2BA9"/>
    <w:rsid w:val="007D2D69"/>
    <w:rsid w:val="007D3417"/>
    <w:rsid w:val="007D36AE"/>
    <w:rsid w:val="007D37BB"/>
    <w:rsid w:val="007D40C6"/>
    <w:rsid w:val="007D4471"/>
    <w:rsid w:val="007D46D0"/>
    <w:rsid w:val="007D46F4"/>
    <w:rsid w:val="007D4FE8"/>
    <w:rsid w:val="007D50B5"/>
    <w:rsid w:val="007D5743"/>
    <w:rsid w:val="007D5900"/>
    <w:rsid w:val="007D5BB0"/>
    <w:rsid w:val="007D61C3"/>
    <w:rsid w:val="007D6219"/>
    <w:rsid w:val="007D6714"/>
    <w:rsid w:val="007D679E"/>
    <w:rsid w:val="007D6E2A"/>
    <w:rsid w:val="007D7307"/>
    <w:rsid w:val="007D734E"/>
    <w:rsid w:val="007D771C"/>
    <w:rsid w:val="007D790D"/>
    <w:rsid w:val="007D7BC9"/>
    <w:rsid w:val="007E14F1"/>
    <w:rsid w:val="007E1A48"/>
    <w:rsid w:val="007E1E71"/>
    <w:rsid w:val="007E2246"/>
    <w:rsid w:val="007E29FD"/>
    <w:rsid w:val="007E2E63"/>
    <w:rsid w:val="007E3539"/>
    <w:rsid w:val="007E440E"/>
    <w:rsid w:val="007E4725"/>
    <w:rsid w:val="007E480F"/>
    <w:rsid w:val="007E4FFA"/>
    <w:rsid w:val="007E5ADF"/>
    <w:rsid w:val="007E5B14"/>
    <w:rsid w:val="007E60F2"/>
    <w:rsid w:val="007E6480"/>
    <w:rsid w:val="007E6BED"/>
    <w:rsid w:val="007E6E46"/>
    <w:rsid w:val="007E7520"/>
    <w:rsid w:val="007E7689"/>
    <w:rsid w:val="007E7B69"/>
    <w:rsid w:val="007E7E6F"/>
    <w:rsid w:val="007F019B"/>
    <w:rsid w:val="007F1852"/>
    <w:rsid w:val="007F2161"/>
    <w:rsid w:val="007F2175"/>
    <w:rsid w:val="007F2576"/>
    <w:rsid w:val="007F2673"/>
    <w:rsid w:val="007F2C52"/>
    <w:rsid w:val="007F2EB9"/>
    <w:rsid w:val="007F3597"/>
    <w:rsid w:val="007F3670"/>
    <w:rsid w:val="007F44EE"/>
    <w:rsid w:val="007F4EC3"/>
    <w:rsid w:val="007F4F06"/>
    <w:rsid w:val="007F582E"/>
    <w:rsid w:val="007F59F9"/>
    <w:rsid w:val="007F5DA1"/>
    <w:rsid w:val="007F608F"/>
    <w:rsid w:val="007F650B"/>
    <w:rsid w:val="007F7CDE"/>
    <w:rsid w:val="008009FD"/>
    <w:rsid w:val="008017BE"/>
    <w:rsid w:val="00801CC8"/>
    <w:rsid w:val="00802105"/>
    <w:rsid w:val="00802329"/>
    <w:rsid w:val="008024EA"/>
    <w:rsid w:val="00802936"/>
    <w:rsid w:val="00802CE3"/>
    <w:rsid w:val="00802E49"/>
    <w:rsid w:val="00803322"/>
    <w:rsid w:val="00803A7F"/>
    <w:rsid w:val="00803C11"/>
    <w:rsid w:val="008040EC"/>
    <w:rsid w:val="0080421B"/>
    <w:rsid w:val="0080432A"/>
    <w:rsid w:val="00804DB0"/>
    <w:rsid w:val="00804E63"/>
    <w:rsid w:val="00804E75"/>
    <w:rsid w:val="00804ED5"/>
    <w:rsid w:val="00804EF1"/>
    <w:rsid w:val="008058CC"/>
    <w:rsid w:val="0080695F"/>
    <w:rsid w:val="00806ACB"/>
    <w:rsid w:val="00806B74"/>
    <w:rsid w:val="00806EAF"/>
    <w:rsid w:val="00806F72"/>
    <w:rsid w:val="00807ED5"/>
    <w:rsid w:val="00810061"/>
    <w:rsid w:val="0081023B"/>
    <w:rsid w:val="00810873"/>
    <w:rsid w:val="008108EF"/>
    <w:rsid w:val="00810A67"/>
    <w:rsid w:val="00810D5A"/>
    <w:rsid w:val="008111F8"/>
    <w:rsid w:val="008118A4"/>
    <w:rsid w:val="008118AE"/>
    <w:rsid w:val="0081190D"/>
    <w:rsid w:val="00811B75"/>
    <w:rsid w:val="00812251"/>
    <w:rsid w:val="00812271"/>
    <w:rsid w:val="00812642"/>
    <w:rsid w:val="00812B75"/>
    <w:rsid w:val="00813463"/>
    <w:rsid w:val="0081351C"/>
    <w:rsid w:val="00814173"/>
    <w:rsid w:val="008142F8"/>
    <w:rsid w:val="008145EF"/>
    <w:rsid w:val="0081499C"/>
    <w:rsid w:val="00814E1A"/>
    <w:rsid w:val="008155F3"/>
    <w:rsid w:val="00815B51"/>
    <w:rsid w:val="00816019"/>
    <w:rsid w:val="008162C2"/>
    <w:rsid w:val="00816AA6"/>
    <w:rsid w:val="00816BB4"/>
    <w:rsid w:val="00817174"/>
    <w:rsid w:val="00817300"/>
    <w:rsid w:val="008179D1"/>
    <w:rsid w:val="0082008B"/>
    <w:rsid w:val="008202F8"/>
    <w:rsid w:val="008205D5"/>
    <w:rsid w:val="00820A98"/>
    <w:rsid w:val="00820AA1"/>
    <w:rsid w:val="008210D7"/>
    <w:rsid w:val="00821147"/>
    <w:rsid w:val="00821336"/>
    <w:rsid w:val="0082192F"/>
    <w:rsid w:val="00821FEA"/>
    <w:rsid w:val="008221D1"/>
    <w:rsid w:val="0082275D"/>
    <w:rsid w:val="00822B6A"/>
    <w:rsid w:val="00823BB2"/>
    <w:rsid w:val="008240C4"/>
    <w:rsid w:val="008246CE"/>
    <w:rsid w:val="0082489E"/>
    <w:rsid w:val="00824965"/>
    <w:rsid w:val="00825484"/>
    <w:rsid w:val="00825BBB"/>
    <w:rsid w:val="00826922"/>
    <w:rsid w:val="00826B01"/>
    <w:rsid w:val="00826CD7"/>
    <w:rsid w:val="008277EC"/>
    <w:rsid w:val="008278B2"/>
    <w:rsid w:val="00827C79"/>
    <w:rsid w:val="00827EAA"/>
    <w:rsid w:val="00830A39"/>
    <w:rsid w:val="00830B38"/>
    <w:rsid w:val="00830C81"/>
    <w:rsid w:val="0083129E"/>
    <w:rsid w:val="008318A7"/>
    <w:rsid w:val="00831BFB"/>
    <w:rsid w:val="00831F0E"/>
    <w:rsid w:val="008320EA"/>
    <w:rsid w:val="0083267B"/>
    <w:rsid w:val="00832A16"/>
    <w:rsid w:val="00832DC2"/>
    <w:rsid w:val="00832F79"/>
    <w:rsid w:val="0083383A"/>
    <w:rsid w:val="00834BB0"/>
    <w:rsid w:val="00834FAE"/>
    <w:rsid w:val="008359A6"/>
    <w:rsid w:val="00836393"/>
    <w:rsid w:val="008364A3"/>
    <w:rsid w:val="008367BD"/>
    <w:rsid w:val="00836C01"/>
    <w:rsid w:val="0083733D"/>
    <w:rsid w:val="00837921"/>
    <w:rsid w:val="00837A05"/>
    <w:rsid w:val="00837ABD"/>
    <w:rsid w:val="00840355"/>
    <w:rsid w:val="0084050C"/>
    <w:rsid w:val="008408FA"/>
    <w:rsid w:val="00840A90"/>
    <w:rsid w:val="00840EAA"/>
    <w:rsid w:val="0084134D"/>
    <w:rsid w:val="00841A91"/>
    <w:rsid w:val="00841F0E"/>
    <w:rsid w:val="0084296B"/>
    <w:rsid w:val="0084296D"/>
    <w:rsid w:val="00842DC8"/>
    <w:rsid w:val="00842E46"/>
    <w:rsid w:val="0084357A"/>
    <w:rsid w:val="008435F8"/>
    <w:rsid w:val="00843AB9"/>
    <w:rsid w:val="00843D2A"/>
    <w:rsid w:val="00843D49"/>
    <w:rsid w:val="00844016"/>
    <w:rsid w:val="0084432D"/>
    <w:rsid w:val="00844748"/>
    <w:rsid w:val="00844D24"/>
    <w:rsid w:val="00844D73"/>
    <w:rsid w:val="0084502D"/>
    <w:rsid w:val="00845C28"/>
    <w:rsid w:val="00845C69"/>
    <w:rsid w:val="0084608C"/>
    <w:rsid w:val="0084610C"/>
    <w:rsid w:val="00846209"/>
    <w:rsid w:val="008462F1"/>
    <w:rsid w:val="008463BF"/>
    <w:rsid w:val="008469A3"/>
    <w:rsid w:val="00846AC8"/>
    <w:rsid w:val="00847181"/>
    <w:rsid w:val="00847412"/>
    <w:rsid w:val="00847447"/>
    <w:rsid w:val="008476A3"/>
    <w:rsid w:val="008479E9"/>
    <w:rsid w:val="00847AFB"/>
    <w:rsid w:val="00847C4A"/>
    <w:rsid w:val="00847CA7"/>
    <w:rsid w:val="00847DF3"/>
    <w:rsid w:val="008501C6"/>
    <w:rsid w:val="0085058B"/>
    <w:rsid w:val="00850671"/>
    <w:rsid w:val="0085087C"/>
    <w:rsid w:val="0085111C"/>
    <w:rsid w:val="0085133F"/>
    <w:rsid w:val="00851493"/>
    <w:rsid w:val="008515EC"/>
    <w:rsid w:val="0085170F"/>
    <w:rsid w:val="008519D7"/>
    <w:rsid w:val="00851EF6"/>
    <w:rsid w:val="00852006"/>
    <w:rsid w:val="00852BE3"/>
    <w:rsid w:val="00853360"/>
    <w:rsid w:val="00854572"/>
    <w:rsid w:val="008548E3"/>
    <w:rsid w:val="00854A41"/>
    <w:rsid w:val="008550EF"/>
    <w:rsid w:val="0085592E"/>
    <w:rsid w:val="0085599D"/>
    <w:rsid w:val="00855B7F"/>
    <w:rsid w:val="00855CE7"/>
    <w:rsid w:val="00855F55"/>
    <w:rsid w:val="0085609D"/>
    <w:rsid w:val="0085632A"/>
    <w:rsid w:val="008564EE"/>
    <w:rsid w:val="00856675"/>
    <w:rsid w:val="00856DF0"/>
    <w:rsid w:val="008570DA"/>
    <w:rsid w:val="00857CC7"/>
    <w:rsid w:val="00857D66"/>
    <w:rsid w:val="00857E40"/>
    <w:rsid w:val="00860548"/>
    <w:rsid w:val="00860609"/>
    <w:rsid w:val="00860D0E"/>
    <w:rsid w:val="008615AD"/>
    <w:rsid w:val="00861758"/>
    <w:rsid w:val="00862612"/>
    <w:rsid w:val="00862740"/>
    <w:rsid w:val="00862AAD"/>
    <w:rsid w:val="00862F7B"/>
    <w:rsid w:val="00862FD0"/>
    <w:rsid w:val="00863024"/>
    <w:rsid w:val="00863471"/>
    <w:rsid w:val="008637E0"/>
    <w:rsid w:val="00863C73"/>
    <w:rsid w:val="00863FD8"/>
    <w:rsid w:val="008644DC"/>
    <w:rsid w:val="00864B43"/>
    <w:rsid w:val="008658BD"/>
    <w:rsid w:val="00865B7F"/>
    <w:rsid w:val="00865BA6"/>
    <w:rsid w:val="00865C22"/>
    <w:rsid w:val="00865D2F"/>
    <w:rsid w:val="00866470"/>
    <w:rsid w:val="00866D70"/>
    <w:rsid w:val="00866E9B"/>
    <w:rsid w:val="00866EF0"/>
    <w:rsid w:val="0086704D"/>
    <w:rsid w:val="00867C29"/>
    <w:rsid w:val="00870871"/>
    <w:rsid w:val="00870F2C"/>
    <w:rsid w:val="00871611"/>
    <w:rsid w:val="008721AF"/>
    <w:rsid w:val="00872722"/>
    <w:rsid w:val="00872CC0"/>
    <w:rsid w:val="008732F8"/>
    <w:rsid w:val="00873310"/>
    <w:rsid w:val="00873769"/>
    <w:rsid w:val="00873FB4"/>
    <w:rsid w:val="00874207"/>
    <w:rsid w:val="008747F8"/>
    <w:rsid w:val="00874A0E"/>
    <w:rsid w:val="00874D96"/>
    <w:rsid w:val="00874E9A"/>
    <w:rsid w:val="0087519C"/>
    <w:rsid w:val="008769CA"/>
    <w:rsid w:val="00876C2D"/>
    <w:rsid w:val="008771D1"/>
    <w:rsid w:val="008772A8"/>
    <w:rsid w:val="00877364"/>
    <w:rsid w:val="008774B7"/>
    <w:rsid w:val="00877916"/>
    <w:rsid w:val="00877FB7"/>
    <w:rsid w:val="00880133"/>
    <w:rsid w:val="008805CD"/>
    <w:rsid w:val="008808F4"/>
    <w:rsid w:val="00880B76"/>
    <w:rsid w:val="0088181F"/>
    <w:rsid w:val="00881DD4"/>
    <w:rsid w:val="00882032"/>
    <w:rsid w:val="008823C1"/>
    <w:rsid w:val="00882405"/>
    <w:rsid w:val="00882B5A"/>
    <w:rsid w:val="0088312C"/>
    <w:rsid w:val="00883354"/>
    <w:rsid w:val="008839BB"/>
    <w:rsid w:val="00883D30"/>
    <w:rsid w:val="00883FF8"/>
    <w:rsid w:val="0088406B"/>
    <w:rsid w:val="008847A0"/>
    <w:rsid w:val="00884DC0"/>
    <w:rsid w:val="00884EDD"/>
    <w:rsid w:val="008850AD"/>
    <w:rsid w:val="008853D1"/>
    <w:rsid w:val="0088547C"/>
    <w:rsid w:val="008856D1"/>
    <w:rsid w:val="00885D01"/>
    <w:rsid w:val="0088618B"/>
    <w:rsid w:val="008863CB"/>
    <w:rsid w:val="00886669"/>
    <w:rsid w:val="008871D6"/>
    <w:rsid w:val="00887794"/>
    <w:rsid w:val="00890438"/>
    <w:rsid w:val="00890471"/>
    <w:rsid w:val="00890ADA"/>
    <w:rsid w:val="00890B06"/>
    <w:rsid w:val="00890C8A"/>
    <w:rsid w:val="00890E08"/>
    <w:rsid w:val="00891FD1"/>
    <w:rsid w:val="008924BB"/>
    <w:rsid w:val="008925A9"/>
    <w:rsid w:val="00892659"/>
    <w:rsid w:val="008926ED"/>
    <w:rsid w:val="008927F5"/>
    <w:rsid w:val="0089290C"/>
    <w:rsid w:val="00892A19"/>
    <w:rsid w:val="00892AE4"/>
    <w:rsid w:val="00892E75"/>
    <w:rsid w:val="00892EA4"/>
    <w:rsid w:val="00892EE8"/>
    <w:rsid w:val="00892EF9"/>
    <w:rsid w:val="00893468"/>
    <w:rsid w:val="00893D50"/>
    <w:rsid w:val="008941AB"/>
    <w:rsid w:val="0089428C"/>
    <w:rsid w:val="0089462E"/>
    <w:rsid w:val="008952B5"/>
    <w:rsid w:val="0089554D"/>
    <w:rsid w:val="008955E9"/>
    <w:rsid w:val="00895AC5"/>
    <w:rsid w:val="00896188"/>
    <w:rsid w:val="00896CF7"/>
    <w:rsid w:val="00896D8B"/>
    <w:rsid w:val="0089746B"/>
    <w:rsid w:val="0089756D"/>
    <w:rsid w:val="008A037F"/>
    <w:rsid w:val="008A0A74"/>
    <w:rsid w:val="008A0ABD"/>
    <w:rsid w:val="008A0BDA"/>
    <w:rsid w:val="008A0F59"/>
    <w:rsid w:val="008A1098"/>
    <w:rsid w:val="008A11F9"/>
    <w:rsid w:val="008A1D7A"/>
    <w:rsid w:val="008A1DDD"/>
    <w:rsid w:val="008A1DFE"/>
    <w:rsid w:val="008A29E4"/>
    <w:rsid w:val="008A2B39"/>
    <w:rsid w:val="008A2D3B"/>
    <w:rsid w:val="008A3037"/>
    <w:rsid w:val="008A310F"/>
    <w:rsid w:val="008A32DA"/>
    <w:rsid w:val="008A3467"/>
    <w:rsid w:val="008A3AA9"/>
    <w:rsid w:val="008A3AC9"/>
    <w:rsid w:val="008A481A"/>
    <w:rsid w:val="008A51D5"/>
    <w:rsid w:val="008A5301"/>
    <w:rsid w:val="008A5C00"/>
    <w:rsid w:val="008A5CB5"/>
    <w:rsid w:val="008A5E8E"/>
    <w:rsid w:val="008A5FA9"/>
    <w:rsid w:val="008A5FF5"/>
    <w:rsid w:val="008A6585"/>
    <w:rsid w:val="008A6DA1"/>
    <w:rsid w:val="008A6EEA"/>
    <w:rsid w:val="008A70CF"/>
    <w:rsid w:val="008A7709"/>
    <w:rsid w:val="008A77D3"/>
    <w:rsid w:val="008A7873"/>
    <w:rsid w:val="008A78F2"/>
    <w:rsid w:val="008A7CDC"/>
    <w:rsid w:val="008B0929"/>
    <w:rsid w:val="008B0DA0"/>
    <w:rsid w:val="008B0E40"/>
    <w:rsid w:val="008B2312"/>
    <w:rsid w:val="008B2ABD"/>
    <w:rsid w:val="008B2ED6"/>
    <w:rsid w:val="008B3A1F"/>
    <w:rsid w:val="008B3CB1"/>
    <w:rsid w:val="008B4000"/>
    <w:rsid w:val="008B4262"/>
    <w:rsid w:val="008B446F"/>
    <w:rsid w:val="008B47E1"/>
    <w:rsid w:val="008B4A13"/>
    <w:rsid w:val="008B4F4E"/>
    <w:rsid w:val="008B531C"/>
    <w:rsid w:val="008B5417"/>
    <w:rsid w:val="008B574E"/>
    <w:rsid w:val="008B5897"/>
    <w:rsid w:val="008B58E6"/>
    <w:rsid w:val="008B58F1"/>
    <w:rsid w:val="008B5A0B"/>
    <w:rsid w:val="008B60C3"/>
    <w:rsid w:val="008B62F3"/>
    <w:rsid w:val="008B6533"/>
    <w:rsid w:val="008B691D"/>
    <w:rsid w:val="008B695A"/>
    <w:rsid w:val="008B6A43"/>
    <w:rsid w:val="008B6AD7"/>
    <w:rsid w:val="008B75F7"/>
    <w:rsid w:val="008B7A0B"/>
    <w:rsid w:val="008C0424"/>
    <w:rsid w:val="008C0EA9"/>
    <w:rsid w:val="008C1A0E"/>
    <w:rsid w:val="008C2765"/>
    <w:rsid w:val="008C3364"/>
    <w:rsid w:val="008C3431"/>
    <w:rsid w:val="008C3BC2"/>
    <w:rsid w:val="008C3CC9"/>
    <w:rsid w:val="008C3D54"/>
    <w:rsid w:val="008C4875"/>
    <w:rsid w:val="008C4E0B"/>
    <w:rsid w:val="008C4FBE"/>
    <w:rsid w:val="008C50E9"/>
    <w:rsid w:val="008C52C9"/>
    <w:rsid w:val="008C5633"/>
    <w:rsid w:val="008C5C71"/>
    <w:rsid w:val="008C5CDB"/>
    <w:rsid w:val="008C62F9"/>
    <w:rsid w:val="008C661C"/>
    <w:rsid w:val="008C69B6"/>
    <w:rsid w:val="008C6BBE"/>
    <w:rsid w:val="008C6CC5"/>
    <w:rsid w:val="008C736B"/>
    <w:rsid w:val="008C781C"/>
    <w:rsid w:val="008C7E03"/>
    <w:rsid w:val="008C7E70"/>
    <w:rsid w:val="008C7E8A"/>
    <w:rsid w:val="008D0053"/>
    <w:rsid w:val="008D04CC"/>
    <w:rsid w:val="008D0888"/>
    <w:rsid w:val="008D08BE"/>
    <w:rsid w:val="008D0A6D"/>
    <w:rsid w:val="008D1120"/>
    <w:rsid w:val="008D1502"/>
    <w:rsid w:val="008D15BA"/>
    <w:rsid w:val="008D15DE"/>
    <w:rsid w:val="008D1A8C"/>
    <w:rsid w:val="008D1BE3"/>
    <w:rsid w:val="008D1E9F"/>
    <w:rsid w:val="008D203B"/>
    <w:rsid w:val="008D238B"/>
    <w:rsid w:val="008D2CB9"/>
    <w:rsid w:val="008D2F42"/>
    <w:rsid w:val="008D322F"/>
    <w:rsid w:val="008D33D4"/>
    <w:rsid w:val="008D3BCD"/>
    <w:rsid w:val="008D3BCE"/>
    <w:rsid w:val="008D4527"/>
    <w:rsid w:val="008D4947"/>
    <w:rsid w:val="008D4A41"/>
    <w:rsid w:val="008D4AD9"/>
    <w:rsid w:val="008D4DBF"/>
    <w:rsid w:val="008D4E11"/>
    <w:rsid w:val="008D572A"/>
    <w:rsid w:val="008D585F"/>
    <w:rsid w:val="008D5874"/>
    <w:rsid w:val="008D5F15"/>
    <w:rsid w:val="008D63C3"/>
    <w:rsid w:val="008D64D9"/>
    <w:rsid w:val="008D709F"/>
    <w:rsid w:val="008D7D96"/>
    <w:rsid w:val="008E0665"/>
    <w:rsid w:val="008E0768"/>
    <w:rsid w:val="008E10DF"/>
    <w:rsid w:val="008E13AD"/>
    <w:rsid w:val="008E1ADF"/>
    <w:rsid w:val="008E1C9D"/>
    <w:rsid w:val="008E1FEF"/>
    <w:rsid w:val="008E230D"/>
    <w:rsid w:val="008E2621"/>
    <w:rsid w:val="008E28BF"/>
    <w:rsid w:val="008E29E5"/>
    <w:rsid w:val="008E2AA9"/>
    <w:rsid w:val="008E2FB6"/>
    <w:rsid w:val="008E2FC1"/>
    <w:rsid w:val="008E2FEF"/>
    <w:rsid w:val="008E3049"/>
    <w:rsid w:val="008E311F"/>
    <w:rsid w:val="008E36B1"/>
    <w:rsid w:val="008E3A22"/>
    <w:rsid w:val="008E3AC9"/>
    <w:rsid w:val="008E3D65"/>
    <w:rsid w:val="008E404A"/>
    <w:rsid w:val="008E42E7"/>
    <w:rsid w:val="008E4518"/>
    <w:rsid w:val="008E4DB8"/>
    <w:rsid w:val="008E4DE7"/>
    <w:rsid w:val="008E5177"/>
    <w:rsid w:val="008E5989"/>
    <w:rsid w:val="008E5A77"/>
    <w:rsid w:val="008E5C19"/>
    <w:rsid w:val="008E611D"/>
    <w:rsid w:val="008E6128"/>
    <w:rsid w:val="008E6142"/>
    <w:rsid w:val="008E6243"/>
    <w:rsid w:val="008E63E1"/>
    <w:rsid w:val="008E6D3D"/>
    <w:rsid w:val="008E6F80"/>
    <w:rsid w:val="008E712F"/>
    <w:rsid w:val="008E757D"/>
    <w:rsid w:val="008E758E"/>
    <w:rsid w:val="008E7A1C"/>
    <w:rsid w:val="008E7AAC"/>
    <w:rsid w:val="008E7FA3"/>
    <w:rsid w:val="008F0151"/>
    <w:rsid w:val="008F043C"/>
    <w:rsid w:val="008F082F"/>
    <w:rsid w:val="008F0C46"/>
    <w:rsid w:val="008F0EC6"/>
    <w:rsid w:val="008F1224"/>
    <w:rsid w:val="008F127D"/>
    <w:rsid w:val="008F18FF"/>
    <w:rsid w:val="008F19B9"/>
    <w:rsid w:val="008F21A5"/>
    <w:rsid w:val="008F2A74"/>
    <w:rsid w:val="008F3132"/>
    <w:rsid w:val="008F3AB0"/>
    <w:rsid w:val="008F3DA8"/>
    <w:rsid w:val="008F4E02"/>
    <w:rsid w:val="008F5494"/>
    <w:rsid w:val="008F55D6"/>
    <w:rsid w:val="008F5736"/>
    <w:rsid w:val="008F585C"/>
    <w:rsid w:val="008F5BA1"/>
    <w:rsid w:val="008F609D"/>
    <w:rsid w:val="008F62B1"/>
    <w:rsid w:val="008F638D"/>
    <w:rsid w:val="008F63AE"/>
    <w:rsid w:val="008F72E6"/>
    <w:rsid w:val="008F79EC"/>
    <w:rsid w:val="008F7C5E"/>
    <w:rsid w:val="008F7CB3"/>
    <w:rsid w:val="0090013C"/>
    <w:rsid w:val="00900935"/>
    <w:rsid w:val="00900CE0"/>
    <w:rsid w:val="00900DA5"/>
    <w:rsid w:val="0090145F"/>
    <w:rsid w:val="00901CE9"/>
    <w:rsid w:val="00901FA0"/>
    <w:rsid w:val="009020DB"/>
    <w:rsid w:val="009025D7"/>
    <w:rsid w:val="0090279E"/>
    <w:rsid w:val="009028FD"/>
    <w:rsid w:val="009030F5"/>
    <w:rsid w:val="009031AC"/>
    <w:rsid w:val="0090322F"/>
    <w:rsid w:val="00903C3F"/>
    <w:rsid w:val="00903C45"/>
    <w:rsid w:val="009040A3"/>
    <w:rsid w:val="0090480E"/>
    <w:rsid w:val="00904DBC"/>
    <w:rsid w:val="00904EDE"/>
    <w:rsid w:val="00905156"/>
    <w:rsid w:val="00905BF3"/>
    <w:rsid w:val="00905EED"/>
    <w:rsid w:val="0090617F"/>
    <w:rsid w:val="009069D1"/>
    <w:rsid w:val="00906DF8"/>
    <w:rsid w:val="00906E36"/>
    <w:rsid w:val="00907961"/>
    <w:rsid w:val="00907DCA"/>
    <w:rsid w:val="00910775"/>
    <w:rsid w:val="009108CB"/>
    <w:rsid w:val="00910FCA"/>
    <w:rsid w:val="009116BB"/>
    <w:rsid w:val="009116DB"/>
    <w:rsid w:val="0091182D"/>
    <w:rsid w:val="00911A33"/>
    <w:rsid w:val="00911AA5"/>
    <w:rsid w:val="00911E75"/>
    <w:rsid w:val="0091263C"/>
    <w:rsid w:val="009127B8"/>
    <w:rsid w:val="009129B8"/>
    <w:rsid w:val="00912F5A"/>
    <w:rsid w:val="00912F7F"/>
    <w:rsid w:val="00913232"/>
    <w:rsid w:val="0091371E"/>
    <w:rsid w:val="00913E64"/>
    <w:rsid w:val="00913F2D"/>
    <w:rsid w:val="00914766"/>
    <w:rsid w:val="009151D0"/>
    <w:rsid w:val="0091550C"/>
    <w:rsid w:val="00915CAD"/>
    <w:rsid w:val="00915CBB"/>
    <w:rsid w:val="00915D75"/>
    <w:rsid w:val="00915D97"/>
    <w:rsid w:val="00915ED5"/>
    <w:rsid w:val="009162C8"/>
    <w:rsid w:val="009163BB"/>
    <w:rsid w:val="00916B78"/>
    <w:rsid w:val="00917457"/>
    <w:rsid w:val="009174FF"/>
    <w:rsid w:val="009178EE"/>
    <w:rsid w:val="009178F8"/>
    <w:rsid w:val="009201AB"/>
    <w:rsid w:val="0092034F"/>
    <w:rsid w:val="00920B74"/>
    <w:rsid w:val="00920E52"/>
    <w:rsid w:val="009211D5"/>
    <w:rsid w:val="0092201F"/>
    <w:rsid w:val="0092209F"/>
    <w:rsid w:val="009220AE"/>
    <w:rsid w:val="009220BC"/>
    <w:rsid w:val="00922C5A"/>
    <w:rsid w:val="00924309"/>
    <w:rsid w:val="0092480A"/>
    <w:rsid w:val="00924912"/>
    <w:rsid w:val="00924E2F"/>
    <w:rsid w:val="009252F3"/>
    <w:rsid w:val="00925A6E"/>
    <w:rsid w:val="009267BD"/>
    <w:rsid w:val="009267FE"/>
    <w:rsid w:val="009268C6"/>
    <w:rsid w:val="00926D78"/>
    <w:rsid w:val="00926D9B"/>
    <w:rsid w:val="009270E3"/>
    <w:rsid w:val="009277BF"/>
    <w:rsid w:val="00927A48"/>
    <w:rsid w:val="00927AD4"/>
    <w:rsid w:val="009300E9"/>
    <w:rsid w:val="00930243"/>
    <w:rsid w:val="00930638"/>
    <w:rsid w:val="0093123E"/>
    <w:rsid w:val="00931822"/>
    <w:rsid w:val="00932397"/>
    <w:rsid w:val="0093287A"/>
    <w:rsid w:val="009328C5"/>
    <w:rsid w:val="00932AD5"/>
    <w:rsid w:val="00932C39"/>
    <w:rsid w:val="00933055"/>
    <w:rsid w:val="009332DE"/>
    <w:rsid w:val="009338AA"/>
    <w:rsid w:val="00933D2B"/>
    <w:rsid w:val="00933F77"/>
    <w:rsid w:val="00933FED"/>
    <w:rsid w:val="009340E0"/>
    <w:rsid w:val="009342EA"/>
    <w:rsid w:val="00934392"/>
    <w:rsid w:val="0093465F"/>
    <w:rsid w:val="00934695"/>
    <w:rsid w:val="0093496F"/>
    <w:rsid w:val="009349B2"/>
    <w:rsid w:val="00934FD8"/>
    <w:rsid w:val="0093512F"/>
    <w:rsid w:val="0093516D"/>
    <w:rsid w:val="0093530F"/>
    <w:rsid w:val="0093667E"/>
    <w:rsid w:val="009366ED"/>
    <w:rsid w:val="0093697B"/>
    <w:rsid w:val="00936EAA"/>
    <w:rsid w:val="00936F87"/>
    <w:rsid w:val="0093767D"/>
    <w:rsid w:val="009379CE"/>
    <w:rsid w:val="00937C5E"/>
    <w:rsid w:val="00937CA4"/>
    <w:rsid w:val="00940761"/>
    <w:rsid w:val="00940E27"/>
    <w:rsid w:val="00940EA5"/>
    <w:rsid w:val="009412F3"/>
    <w:rsid w:val="00941346"/>
    <w:rsid w:val="00941748"/>
    <w:rsid w:val="00941D15"/>
    <w:rsid w:val="00941D6A"/>
    <w:rsid w:val="009422A1"/>
    <w:rsid w:val="0094268A"/>
    <w:rsid w:val="009426CA"/>
    <w:rsid w:val="0094274B"/>
    <w:rsid w:val="009429D0"/>
    <w:rsid w:val="00942A9B"/>
    <w:rsid w:val="00943361"/>
    <w:rsid w:val="00943A36"/>
    <w:rsid w:val="00943A41"/>
    <w:rsid w:val="00944106"/>
    <w:rsid w:val="0094421D"/>
    <w:rsid w:val="0094459A"/>
    <w:rsid w:val="009447DF"/>
    <w:rsid w:val="00944934"/>
    <w:rsid w:val="0094532E"/>
    <w:rsid w:val="009453C8"/>
    <w:rsid w:val="00945790"/>
    <w:rsid w:val="00945824"/>
    <w:rsid w:val="00945B04"/>
    <w:rsid w:val="00945BAC"/>
    <w:rsid w:val="00946023"/>
    <w:rsid w:val="00946334"/>
    <w:rsid w:val="00946751"/>
    <w:rsid w:val="0094686C"/>
    <w:rsid w:val="00946A82"/>
    <w:rsid w:val="0094784A"/>
    <w:rsid w:val="0094795F"/>
    <w:rsid w:val="00947A65"/>
    <w:rsid w:val="00950445"/>
    <w:rsid w:val="00950638"/>
    <w:rsid w:val="00950854"/>
    <w:rsid w:val="00950947"/>
    <w:rsid w:val="00950C04"/>
    <w:rsid w:val="00950C57"/>
    <w:rsid w:val="0095124D"/>
    <w:rsid w:val="00951364"/>
    <w:rsid w:val="009515FF"/>
    <w:rsid w:val="00951614"/>
    <w:rsid w:val="009516B1"/>
    <w:rsid w:val="00951790"/>
    <w:rsid w:val="00951DD4"/>
    <w:rsid w:val="00951FF8"/>
    <w:rsid w:val="00952261"/>
    <w:rsid w:val="00952629"/>
    <w:rsid w:val="0095279A"/>
    <w:rsid w:val="009527A7"/>
    <w:rsid w:val="0095298C"/>
    <w:rsid w:val="00952A93"/>
    <w:rsid w:val="00952EBD"/>
    <w:rsid w:val="0095321F"/>
    <w:rsid w:val="00953654"/>
    <w:rsid w:val="0095370E"/>
    <w:rsid w:val="00953CB3"/>
    <w:rsid w:val="00954674"/>
    <w:rsid w:val="00954957"/>
    <w:rsid w:val="009549F0"/>
    <w:rsid w:val="00954A7B"/>
    <w:rsid w:val="00954FBE"/>
    <w:rsid w:val="00955496"/>
    <w:rsid w:val="0095568A"/>
    <w:rsid w:val="00955926"/>
    <w:rsid w:val="00955DEC"/>
    <w:rsid w:val="00955EFB"/>
    <w:rsid w:val="009560F0"/>
    <w:rsid w:val="0095614F"/>
    <w:rsid w:val="009568F6"/>
    <w:rsid w:val="00956A69"/>
    <w:rsid w:val="00956F1D"/>
    <w:rsid w:val="00957842"/>
    <w:rsid w:val="00957A3B"/>
    <w:rsid w:val="00957B9F"/>
    <w:rsid w:val="0096021E"/>
    <w:rsid w:val="00960491"/>
    <w:rsid w:val="0096055A"/>
    <w:rsid w:val="00960987"/>
    <w:rsid w:val="00960AB6"/>
    <w:rsid w:val="00960B61"/>
    <w:rsid w:val="00960DDB"/>
    <w:rsid w:val="00960F75"/>
    <w:rsid w:val="0096195D"/>
    <w:rsid w:val="00961B35"/>
    <w:rsid w:val="00961BEF"/>
    <w:rsid w:val="00961CED"/>
    <w:rsid w:val="00961DB8"/>
    <w:rsid w:val="00961EFD"/>
    <w:rsid w:val="009626F9"/>
    <w:rsid w:val="00962BC6"/>
    <w:rsid w:val="00962BD1"/>
    <w:rsid w:val="0096367B"/>
    <w:rsid w:val="00963681"/>
    <w:rsid w:val="00963A1A"/>
    <w:rsid w:val="00963B35"/>
    <w:rsid w:val="00963B8B"/>
    <w:rsid w:val="00963D41"/>
    <w:rsid w:val="00964814"/>
    <w:rsid w:val="00964D06"/>
    <w:rsid w:val="009652AF"/>
    <w:rsid w:val="009656C1"/>
    <w:rsid w:val="00965A04"/>
    <w:rsid w:val="00965FC9"/>
    <w:rsid w:val="0096616E"/>
    <w:rsid w:val="009662DB"/>
    <w:rsid w:val="00966308"/>
    <w:rsid w:val="00966433"/>
    <w:rsid w:val="00966512"/>
    <w:rsid w:val="00966613"/>
    <w:rsid w:val="0096673F"/>
    <w:rsid w:val="009668E3"/>
    <w:rsid w:val="0096697B"/>
    <w:rsid w:val="00966CC2"/>
    <w:rsid w:val="00966FDC"/>
    <w:rsid w:val="00967308"/>
    <w:rsid w:val="009675DE"/>
    <w:rsid w:val="00967754"/>
    <w:rsid w:val="00971751"/>
    <w:rsid w:val="00971888"/>
    <w:rsid w:val="009719C1"/>
    <w:rsid w:val="00971DB3"/>
    <w:rsid w:val="00971E9E"/>
    <w:rsid w:val="00971FCB"/>
    <w:rsid w:val="009720D2"/>
    <w:rsid w:val="009720FE"/>
    <w:rsid w:val="00972215"/>
    <w:rsid w:val="00972881"/>
    <w:rsid w:val="00972AAF"/>
    <w:rsid w:val="00972D5B"/>
    <w:rsid w:val="009735F2"/>
    <w:rsid w:val="009737F3"/>
    <w:rsid w:val="009738DE"/>
    <w:rsid w:val="009741A4"/>
    <w:rsid w:val="00974781"/>
    <w:rsid w:val="0097486D"/>
    <w:rsid w:val="009748FA"/>
    <w:rsid w:val="00974A8D"/>
    <w:rsid w:val="00974D88"/>
    <w:rsid w:val="0097550F"/>
    <w:rsid w:val="00975F1A"/>
    <w:rsid w:val="009760BE"/>
    <w:rsid w:val="00976914"/>
    <w:rsid w:val="00976D0F"/>
    <w:rsid w:val="0097744D"/>
    <w:rsid w:val="009775DB"/>
    <w:rsid w:val="00977776"/>
    <w:rsid w:val="0097778D"/>
    <w:rsid w:val="00977974"/>
    <w:rsid w:val="00977D84"/>
    <w:rsid w:val="00977DD0"/>
    <w:rsid w:val="00980002"/>
    <w:rsid w:val="00980397"/>
    <w:rsid w:val="009808F7"/>
    <w:rsid w:val="009811CA"/>
    <w:rsid w:val="0098181C"/>
    <w:rsid w:val="00981F15"/>
    <w:rsid w:val="00981FF1"/>
    <w:rsid w:val="009820DB"/>
    <w:rsid w:val="009836DC"/>
    <w:rsid w:val="0098370F"/>
    <w:rsid w:val="00983984"/>
    <w:rsid w:val="009839CE"/>
    <w:rsid w:val="009840C2"/>
    <w:rsid w:val="009842C7"/>
    <w:rsid w:val="009843DC"/>
    <w:rsid w:val="00984431"/>
    <w:rsid w:val="009844C0"/>
    <w:rsid w:val="009849A8"/>
    <w:rsid w:val="00985130"/>
    <w:rsid w:val="00985B65"/>
    <w:rsid w:val="00985F13"/>
    <w:rsid w:val="00986491"/>
    <w:rsid w:val="009866A8"/>
    <w:rsid w:val="00986B7D"/>
    <w:rsid w:val="00987298"/>
    <w:rsid w:val="00987B9E"/>
    <w:rsid w:val="00987C13"/>
    <w:rsid w:val="00987E57"/>
    <w:rsid w:val="00990086"/>
    <w:rsid w:val="009905B9"/>
    <w:rsid w:val="0099075E"/>
    <w:rsid w:val="00990A86"/>
    <w:rsid w:val="00990C75"/>
    <w:rsid w:val="00991C67"/>
    <w:rsid w:val="00991DB5"/>
    <w:rsid w:val="00993014"/>
    <w:rsid w:val="0099309A"/>
    <w:rsid w:val="00993703"/>
    <w:rsid w:val="0099370C"/>
    <w:rsid w:val="00993891"/>
    <w:rsid w:val="00993946"/>
    <w:rsid w:val="00993996"/>
    <w:rsid w:val="00993C2E"/>
    <w:rsid w:val="00993F98"/>
    <w:rsid w:val="009945B8"/>
    <w:rsid w:val="00994608"/>
    <w:rsid w:val="00994904"/>
    <w:rsid w:val="00994C64"/>
    <w:rsid w:val="00994D66"/>
    <w:rsid w:val="00995858"/>
    <w:rsid w:val="0099594F"/>
    <w:rsid w:val="00995E93"/>
    <w:rsid w:val="00996168"/>
    <w:rsid w:val="00996539"/>
    <w:rsid w:val="00996BF9"/>
    <w:rsid w:val="00996D27"/>
    <w:rsid w:val="009975B1"/>
    <w:rsid w:val="0099768F"/>
    <w:rsid w:val="00997902"/>
    <w:rsid w:val="00997F7E"/>
    <w:rsid w:val="009A00ED"/>
    <w:rsid w:val="009A0246"/>
    <w:rsid w:val="009A02DE"/>
    <w:rsid w:val="009A0985"/>
    <w:rsid w:val="009A0BDC"/>
    <w:rsid w:val="009A0EFB"/>
    <w:rsid w:val="009A0F7F"/>
    <w:rsid w:val="009A1451"/>
    <w:rsid w:val="009A1470"/>
    <w:rsid w:val="009A1D76"/>
    <w:rsid w:val="009A2257"/>
    <w:rsid w:val="009A2341"/>
    <w:rsid w:val="009A2380"/>
    <w:rsid w:val="009A2442"/>
    <w:rsid w:val="009A24C2"/>
    <w:rsid w:val="009A285A"/>
    <w:rsid w:val="009A3B54"/>
    <w:rsid w:val="009A3EB1"/>
    <w:rsid w:val="009A4137"/>
    <w:rsid w:val="009A4D04"/>
    <w:rsid w:val="009A4E80"/>
    <w:rsid w:val="009A516A"/>
    <w:rsid w:val="009A5219"/>
    <w:rsid w:val="009A53D8"/>
    <w:rsid w:val="009A542C"/>
    <w:rsid w:val="009A5B3D"/>
    <w:rsid w:val="009A5E0E"/>
    <w:rsid w:val="009A6456"/>
    <w:rsid w:val="009A688D"/>
    <w:rsid w:val="009A6925"/>
    <w:rsid w:val="009A6BD6"/>
    <w:rsid w:val="009A7C92"/>
    <w:rsid w:val="009A7FAB"/>
    <w:rsid w:val="009B0154"/>
    <w:rsid w:val="009B027E"/>
    <w:rsid w:val="009B02FC"/>
    <w:rsid w:val="009B06A5"/>
    <w:rsid w:val="009B1629"/>
    <w:rsid w:val="009B212D"/>
    <w:rsid w:val="009B2181"/>
    <w:rsid w:val="009B23F5"/>
    <w:rsid w:val="009B26F8"/>
    <w:rsid w:val="009B2AA8"/>
    <w:rsid w:val="009B2B3E"/>
    <w:rsid w:val="009B2D10"/>
    <w:rsid w:val="009B35EC"/>
    <w:rsid w:val="009B38D2"/>
    <w:rsid w:val="009B3AAF"/>
    <w:rsid w:val="009B3E52"/>
    <w:rsid w:val="009B43A3"/>
    <w:rsid w:val="009B44FF"/>
    <w:rsid w:val="009B455F"/>
    <w:rsid w:val="009B4992"/>
    <w:rsid w:val="009B4F83"/>
    <w:rsid w:val="009B528E"/>
    <w:rsid w:val="009B5325"/>
    <w:rsid w:val="009B5B54"/>
    <w:rsid w:val="009B5DB7"/>
    <w:rsid w:val="009B5E7B"/>
    <w:rsid w:val="009B5FAA"/>
    <w:rsid w:val="009B601B"/>
    <w:rsid w:val="009B6379"/>
    <w:rsid w:val="009B63F9"/>
    <w:rsid w:val="009B7188"/>
    <w:rsid w:val="009B72A5"/>
    <w:rsid w:val="009B76C9"/>
    <w:rsid w:val="009B7D89"/>
    <w:rsid w:val="009B7E88"/>
    <w:rsid w:val="009C0293"/>
    <w:rsid w:val="009C0B08"/>
    <w:rsid w:val="009C0C5B"/>
    <w:rsid w:val="009C107E"/>
    <w:rsid w:val="009C1434"/>
    <w:rsid w:val="009C16B3"/>
    <w:rsid w:val="009C199D"/>
    <w:rsid w:val="009C1B97"/>
    <w:rsid w:val="009C2281"/>
    <w:rsid w:val="009C243C"/>
    <w:rsid w:val="009C3134"/>
    <w:rsid w:val="009C31C8"/>
    <w:rsid w:val="009C3831"/>
    <w:rsid w:val="009C3BFA"/>
    <w:rsid w:val="009C40E4"/>
    <w:rsid w:val="009C43A4"/>
    <w:rsid w:val="009C4590"/>
    <w:rsid w:val="009C4AF4"/>
    <w:rsid w:val="009C4BDB"/>
    <w:rsid w:val="009C5257"/>
    <w:rsid w:val="009C52EC"/>
    <w:rsid w:val="009C53DF"/>
    <w:rsid w:val="009C54CD"/>
    <w:rsid w:val="009C62BF"/>
    <w:rsid w:val="009C6C8B"/>
    <w:rsid w:val="009C6DE2"/>
    <w:rsid w:val="009C758D"/>
    <w:rsid w:val="009C7F47"/>
    <w:rsid w:val="009D03FC"/>
    <w:rsid w:val="009D05AA"/>
    <w:rsid w:val="009D0CBE"/>
    <w:rsid w:val="009D0D8C"/>
    <w:rsid w:val="009D0F91"/>
    <w:rsid w:val="009D13DC"/>
    <w:rsid w:val="009D174D"/>
    <w:rsid w:val="009D194C"/>
    <w:rsid w:val="009D19E4"/>
    <w:rsid w:val="009D1E8D"/>
    <w:rsid w:val="009D3BA7"/>
    <w:rsid w:val="009D400E"/>
    <w:rsid w:val="009D4D5D"/>
    <w:rsid w:val="009D4DC4"/>
    <w:rsid w:val="009D5A6A"/>
    <w:rsid w:val="009D5B09"/>
    <w:rsid w:val="009D619A"/>
    <w:rsid w:val="009D6326"/>
    <w:rsid w:val="009D6356"/>
    <w:rsid w:val="009D6A17"/>
    <w:rsid w:val="009D74AF"/>
    <w:rsid w:val="009D76BA"/>
    <w:rsid w:val="009D798A"/>
    <w:rsid w:val="009D7F9A"/>
    <w:rsid w:val="009E023A"/>
    <w:rsid w:val="009E0334"/>
    <w:rsid w:val="009E0539"/>
    <w:rsid w:val="009E0558"/>
    <w:rsid w:val="009E056E"/>
    <w:rsid w:val="009E0E30"/>
    <w:rsid w:val="009E156B"/>
    <w:rsid w:val="009E1FD7"/>
    <w:rsid w:val="009E2B31"/>
    <w:rsid w:val="009E3137"/>
    <w:rsid w:val="009E34B0"/>
    <w:rsid w:val="009E3644"/>
    <w:rsid w:val="009E3BDD"/>
    <w:rsid w:val="009E3FFE"/>
    <w:rsid w:val="009E4127"/>
    <w:rsid w:val="009E4498"/>
    <w:rsid w:val="009E46AD"/>
    <w:rsid w:val="009E4BA9"/>
    <w:rsid w:val="009E4FD7"/>
    <w:rsid w:val="009E5932"/>
    <w:rsid w:val="009E5C96"/>
    <w:rsid w:val="009E5D56"/>
    <w:rsid w:val="009E5E7E"/>
    <w:rsid w:val="009E5F95"/>
    <w:rsid w:val="009E5FAF"/>
    <w:rsid w:val="009E63CD"/>
    <w:rsid w:val="009E651B"/>
    <w:rsid w:val="009E6531"/>
    <w:rsid w:val="009E6921"/>
    <w:rsid w:val="009E698C"/>
    <w:rsid w:val="009E6BF9"/>
    <w:rsid w:val="009E6C91"/>
    <w:rsid w:val="009E6D1C"/>
    <w:rsid w:val="009E6E88"/>
    <w:rsid w:val="009F029D"/>
    <w:rsid w:val="009F04AB"/>
    <w:rsid w:val="009F0693"/>
    <w:rsid w:val="009F0A34"/>
    <w:rsid w:val="009F0E2A"/>
    <w:rsid w:val="009F150E"/>
    <w:rsid w:val="009F16B2"/>
    <w:rsid w:val="009F1AAA"/>
    <w:rsid w:val="009F1AB7"/>
    <w:rsid w:val="009F1B45"/>
    <w:rsid w:val="009F1CCF"/>
    <w:rsid w:val="009F1F7C"/>
    <w:rsid w:val="009F27E2"/>
    <w:rsid w:val="009F2A55"/>
    <w:rsid w:val="009F2E91"/>
    <w:rsid w:val="009F2EFD"/>
    <w:rsid w:val="009F37D9"/>
    <w:rsid w:val="009F3942"/>
    <w:rsid w:val="009F3F30"/>
    <w:rsid w:val="009F42F8"/>
    <w:rsid w:val="009F4B41"/>
    <w:rsid w:val="009F4B59"/>
    <w:rsid w:val="009F4BC6"/>
    <w:rsid w:val="009F56FB"/>
    <w:rsid w:val="009F5779"/>
    <w:rsid w:val="009F5BD7"/>
    <w:rsid w:val="009F6F77"/>
    <w:rsid w:val="009F7426"/>
    <w:rsid w:val="009F7A4A"/>
    <w:rsid w:val="009F7B22"/>
    <w:rsid w:val="009F7C1D"/>
    <w:rsid w:val="00A00243"/>
    <w:rsid w:val="00A00DF5"/>
    <w:rsid w:val="00A00EE4"/>
    <w:rsid w:val="00A01801"/>
    <w:rsid w:val="00A01A62"/>
    <w:rsid w:val="00A02349"/>
    <w:rsid w:val="00A0282B"/>
    <w:rsid w:val="00A030D8"/>
    <w:rsid w:val="00A03302"/>
    <w:rsid w:val="00A0392D"/>
    <w:rsid w:val="00A03AC7"/>
    <w:rsid w:val="00A03ADC"/>
    <w:rsid w:val="00A03BD6"/>
    <w:rsid w:val="00A0403E"/>
    <w:rsid w:val="00A04108"/>
    <w:rsid w:val="00A04AAC"/>
    <w:rsid w:val="00A04CE5"/>
    <w:rsid w:val="00A050CF"/>
    <w:rsid w:val="00A05C9A"/>
    <w:rsid w:val="00A05EDD"/>
    <w:rsid w:val="00A06358"/>
    <w:rsid w:val="00A064D0"/>
    <w:rsid w:val="00A067E5"/>
    <w:rsid w:val="00A0693E"/>
    <w:rsid w:val="00A06DEF"/>
    <w:rsid w:val="00A07576"/>
    <w:rsid w:val="00A075A3"/>
    <w:rsid w:val="00A07AAF"/>
    <w:rsid w:val="00A07FAE"/>
    <w:rsid w:val="00A10FA6"/>
    <w:rsid w:val="00A110D2"/>
    <w:rsid w:val="00A1183B"/>
    <w:rsid w:val="00A119D0"/>
    <w:rsid w:val="00A12244"/>
    <w:rsid w:val="00A1236A"/>
    <w:rsid w:val="00A1247D"/>
    <w:rsid w:val="00A12E81"/>
    <w:rsid w:val="00A138F2"/>
    <w:rsid w:val="00A13F83"/>
    <w:rsid w:val="00A14408"/>
    <w:rsid w:val="00A14DB5"/>
    <w:rsid w:val="00A14EFF"/>
    <w:rsid w:val="00A15468"/>
    <w:rsid w:val="00A15C60"/>
    <w:rsid w:val="00A15E12"/>
    <w:rsid w:val="00A15E85"/>
    <w:rsid w:val="00A16059"/>
    <w:rsid w:val="00A1639B"/>
    <w:rsid w:val="00A1683A"/>
    <w:rsid w:val="00A17661"/>
    <w:rsid w:val="00A177EB"/>
    <w:rsid w:val="00A17AF4"/>
    <w:rsid w:val="00A17FF7"/>
    <w:rsid w:val="00A200F8"/>
    <w:rsid w:val="00A202A6"/>
    <w:rsid w:val="00A20763"/>
    <w:rsid w:val="00A209CC"/>
    <w:rsid w:val="00A20AAD"/>
    <w:rsid w:val="00A20B12"/>
    <w:rsid w:val="00A20DDF"/>
    <w:rsid w:val="00A20E97"/>
    <w:rsid w:val="00A21629"/>
    <w:rsid w:val="00A22FEF"/>
    <w:rsid w:val="00A23029"/>
    <w:rsid w:val="00A233D0"/>
    <w:rsid w:val="00A237E7"/>
    <w:rsid w:val="00A24C77"/>
    <w:rsid w:val="00A24E7C"/>
    <w:rsid w:val="00A25000"/>
    <w:rsid w:val="00A25040"/>
    <w:rsid w:val="00A25046"/>
    <w:rsid w:val="00A25136"/>
    <w:rsid w:val="00A26D63"/>
    <w:rsid w:val="00A26D97"/>
    <w:rsid w:val="00A271A7"/>
    <w:rsid w:val="00A276AB"/>
    <w:rsid w:val="00A27745"/>
    <w:rsid w:val="00A27CBB"/>
    <w:rsid w:val="00A30000"/>
    <w:rsid w:val="00A3126E"/>
    <w:rsid w:val="00A3145A"/>
    <w:rsid w:val="00A31496"/>
    <w:rsid w:val="00A315E5"/>
    <w:rsid w:val="00A31976"/>
    <w:rsid w:val="00A31A4B"/>
    <w:rsid w:val="00A31EB9"/>
    <w:rsid w:val="00A33081"/>
    <w:rsid w:val="00A33B86"/>
    <w:rsid w:val="00A33DB7"/>
    <w:rsid w:val="00A34003"/>
    <w:rsid w:val="00A34257"/>
    <w:rsid w:val="00A34B2C"/>
    <w:rsid w:val="00A34BC5"/>
    <w:rsid w:val="00A34DE3"/>
    <w:rsid w:val="00A3583F"/>
    <w:rsid w:val="00A35AE1"/>
    <w:rsid w:val="00A35B0D"/>
    <w:rsid w:val="00A36459"/>
    <w:rsid w:val="00A3732B"/>
    <w:rsid w:val="00A37376"/>
    <w:rsid w:val="00A37810"/>
    <w:rsid w:val="00A403FC"/>
    <w:rsid w:val="00A405AE"/>
    <w:rsid w:val="00A406A2"/>
    <w:rsid w:val="00A406CD"/>
    <w:rsid w:val="00A40ADC"/>
    <w:rsid w:val="00A40F0C"/>
    <w:rsid w:val="00A41101"/>
    <w:rsid w:val="00A41751"/>
    <w:rsid w:val="00A41B1F"/>
    <w:rsid w:val="00A41C08"/>
    <w:rsid w:val="00A41F5F"/>
    <w:rsid w:val="00A423C5"/>
    <w:rsid w:val="00A4252D"/>
    <w:rsid w:val="00A42972"/>
    <w:rsid w:val="00A42A4B"/>
    <w:rsid w:val="00A42EC2"/>
    <w:rsid w:val="00A42F6E"/>
    <w:rsid w:val="00A432B3"/>
    <w:rsid w:val="00A4377F"/>
    <w:rsid w:val="00A438CB"/>
    <w:rsid w:val="00A439C3"/>
    <w:rsid w:val="00A44625"/>
    <w:rsid w:val="00A4498A"/>
    <w:rsid w:val="00A44AFE"/>
    <w:rsid w:val="00A44C5D"/>
    <w:rsid w:val="00A44D86"/>
    <w:rsid w:val="00A44E82"/>
    <w:rsid w:val="00A4525D"/>
    <w:rsid w:val="00A455E9"/>
    <w:rsid w:val="00A45849"/>
    <w:rsid w:val="00A45903"/>
    <w:rsid w:val="00A45928"/>
    <w:rsid w:val="00A45D10"/>
    <w:rsid w:val="00A45F8D"/>
    <w:rsid w:val="00A4672D"/>
    <w:rsid w:val="00A46A73"/>
    <w:rsid w:val="00A47342"/>
    <w:rsid w:val="00A47BFC"/>
    <w:rsid w:val="00A47FFE"/>
    <w:rsid w:val="00A50C13"/>
    <w:rsid w:val="00A50C37"/>
    <w:rsid w:val="00A50DEA"/>
    <w:rsid w:val="00A5106E"/>
    <w:rsid w:val="00A511EA"/>
    <w:rsid w:val="00A51EA1"/>
    <w:rsid w:val="00A52780"/>
    <w:rsid w:val="00A52A52"/>
    <w:rsid w:val="00A53563"/>
    <w:rsid w:val="00A53721"/>
    <w:rsid w:val="00A537C9"/>
    <w:rsid w:val="00A5400F"/>
    <w:rsid w:val="00A5409F"/>
    <w:rsid w:val="00A542E6"/>
    <w:rsid w:val="00A54BE9"/>
    <w:rsid w:val="00A55266"/>
    <w:rsid w:val="00A55662"/>
    <w:rsid w:val="00A55989"/>
    <w:rsid w:val="00A55EEB"/>
    <w:rsid w:val="00A560A2"/>
    <w:rsid w:val="00A56C07"/>
    <w:rsid w:val="00A57135"/>
    <w:rsid w:val="00A5755A"/>
    <w:rsid w:val="00A57ADB"/>
    <w:rsid w:val="00A57C89"/>
    <w:rsid w:val="00A603A3"/>
    <w:rsid w:val="00A6048F"/>
    <w:rsid w:val="00A6055C"/>
    <w:rsid w:val="00A606A8"/>
    <w:rsid w:val="00A606FB"/>
    <w:rsid w:val="00A6076E"/>
    <w:rsid w:val="00A60965"/>
    <w:rsid w:val="00A60FF1"/>
    <w:rsid w:val="00A615DA"/>
    <w:rsid w:val="00A61881"/>
    <w:rsid w:val="00A61EF5"/>
    <w:rsid w:val="00A6264C"/>
    <w:rsid w:val="00A626FE"/>
    <w:rsid w:val="00A6290C"/>
    <w:rsid w:val="00A6310E"/>
    <w:rsid w:val="00A631D2"/>
    <w:rsid w:val="00A6327E"/>
    <w:rsid w:val="00A633D1"/>
    <w:rsid w:val="00A6343B"/>
    <w:rsid w:val="00A63832"/>
    <w:rsid w:val="00A63BDC"/>
    <w:rsid w:val="00A63DDC"/>
    <w:rsid w:val="00A64006"/>
    <w:rsid w:val="00A644B5"/>
    <w:rsid w:val="00A64717"/>
    <w:rsid w:val="00A64B37"/>
    <w:rsid w:val="00A64C8F"/>
    <w:rsid w:val="00A64DE2"/>
    <w:rsid w:val="00A64F20"/>
    <w:rsid w:val="00A65146"/>
    <w:rsid w:val="00A65197"/>
    <w:rsid w:val="00A654AD"/>
    <w:rsid w:val="00A65501"/>
    <w:rsid w:val="00A655EF"/>
    <w:rsid w:val="00A65E06"/>
    <w:rsid w:val="00A65F42"/>
    <w:rsid w:val="00A65FE9"/>
    <w:rsid w:val="00A66756"/>
    <w:rsid w:val="00A66AF7"/>
    <w:rsid w:val="00A67407"/>
    <w:rsid w:val="00A67547"/>
    <w:rsid w:val="00A67A2E"/>
    <w:rsid w:val="00A7047B"/>
    <w:rsid w:val="00A707CC"/>
    <w:rsid w:val="00A7090C"/>
    <w:rsid w:val="00A70C98"/>
    <w:rsid w:val="00A70EFA"/>
    <w:rsid w:val="00A711D8"/>
    <w:rsid w:val="00A7120B"/>
    <w:rsid w:val="00A713F2"/>
    <w:rsid w:val="00A719BB"/>
    <w:rsid w:val="00A71E30"/>
    <w:rsid w:val="00A72313"/>
    <w:rsid w:val="00A728F2"/>
    <w:rsid w:val="00A72BF1"/>
    <w:rsid w:val="00A731C1"/>
    <w:rsid w:val="00A732DA"/>
    <w:rsid w:val="00A7369A"/>
    <w:rsid w:val="00A738CF"/>
    <w:rsid w:val="00A73BA8"/>
    <w:rsid w:val="00A73F88"/>
    <w:rsid w:val="00A74171"/>
    <w:rsid w:val="00A745A9"/>
    <w:rsid w:val="00A7488D"/>
    <w:rsid w:val="00A74DE4"/>
    <w:rsid w:val="00A75355"/>
    <w:rsid w:val="00A75A4B"/>
    <w:rsid w:val="00A75A72"/>
    <w:rsid w:val="00A75B61"/>
    <w:rsid w:val="00A75F28"/>
    <w:rsid w:val="00A76063"/>
    <w:rsid w:val="00A76967"/>
    <w:rsid w:val="00A76B96"/>
    <w:rsid w:val="00A76F59"/>
    <w:rsid w:val="00A77039"/>
    <w:rsid w:val="00A77182"/>
    <w:rsid w:val="00A776A7"/>
    <w:rsid w:val="00A77E87"/>
    <w:rsid w:val="00A800E5"/>
    <w:rsid w:val="00A80A83"/>
    <w:rsid w:val="00A80E51"/>
    <w:rsid w:val="00A823F6"/>
    <w:rsid w:val="00A8275A"/>
    <w:rsid w:val="00A82CA4"/>
    <w:rsid w:val="00A82D20"/>
    <w:rsid w:val="00A82D31"/>
    <w:rsid w:val="00A82D62"/>
    <w:rsid w:val="00A82FC8"/>
    <w:rsid w:val="00A83B34"/>
    <w:rsid w:val="00A83B9C"/>
    <w:rsid w:val="00A83D6A"/>
    <w:rsid w:val="00A8401C"/>
    <w:rsid w:val="00A84147"/>
    <w:rsid w:val="00A84B8C"/>
    <w:rsid w:val="00A84D12"/>
    <w:rsid w:val="00A84F4E"/>
    <w:rsid w:val="00A850AD"/>
    <w:rsid w:val="00A85583"/>
    <w:rsid w:val="00A85759"/>
    <w:rsid w:val="00A866D8"/>
    <w:rsid w:val="00A867DC"/>
    <w:rsid w:val="00A86D0C"/>
    <w:rsid w:val="00A86D70"/>
    <w:rsid w:val="00A86EB2"/>
    <w:rsid w:val="00A87A60"/>
    <w:rsid w:val="00A902AC"/>
    <w:rsid w:val="00A903A2"/>
    <w:rsid w:val="00A903E5"/>
    <w:rsid w:val="00A90DDA"/>
    <w:rsid w:val="00A90E6A"/>
    <w:rsid w:val="00A91228"/>
    <w:rsid w:val="00A922E4"/>
    <w:rsid w:val="00A92319"/>
    <w:rsid w:val="00A925AB"/>
    <w:rsid w:val="00A92880"/>
    <w:rsid w:val="00A928D1"/>
    <w:rsid w:val="00A928DD"/>
    <w:rsid w:val="00A92D61"/>
    <w:rsid w:val="00A9334C"/>
    <w:rsid w:val="00A937AD"/>
    <w:rsid w:val="00A938A8"/>
    <w:rsid w:val="00A938E6"/>
    <w:rsid w:val="00A93B37"/>
    <w:rsid w:val="00A942BA"/>
    <w:rsid w:val="00A94B81"/>
    <w:rsid w:val="00A94C5F"/>
    <w:rsid w:val="00A94C76"/>
    <w:rsid w:val="00A94EBC"/>
    <w:rsid w:val="00A95100"/>
    <w:rsid w:val="00A952B1"/>
    <w:rsid w:val="00A956A3"/>
    <w:rsid w:val="00A957D8"/>
    <w:rsid w:val="00A95A47"/>
    <w:rsid w:val="00A95E83"/>
    <w:rsid w:val="00A96277"/>
    <w:rsid w:val="00A9660A"/>
    <w:rsid w:val="00A96731"/>
    <w:rsid w:val="00A96BBA"/>
    <w:rsid w:val="00A96BD3"/>
    <w:rsid w:val="00A96E61"/>
    <w:rsid w:val="00A971B1"/>
    <w:rsid w:val="00A97A9D"/>
    <w:rsid w:val="00AA008A"/>
    <w:rsid w:val="00AA035E"/>
    <w:rsid w:val="00AA0929"/>
    <w:rsid w:val="00AA0E8B"/>
    <w:rsid w:val="00AA13AA"/>
    <w:rsid w:val="00AA14C3"/>
    <w:rsid w:val="00AA1C3C"/>
    <w:rsid w:val="00AA209E"/>
    <w:rsid w:val="00AA25C3"/>
    <w:rsid w:val="00AA27BB"/>
    <w:rsid w:val="00AA28F6"/>
    <w:rsid w:val="00AA29B1"/>
    <w:rsid w:val="00AA29EA"/>
    <w:rsid w:val="00AA2B2A"/>
    <w:rsid w:val="00AA2DE1"/>
    <w:rsid w:val="00AA2F3D"/>
    <w:rsid w:val="00AA3072"/>
    <w:rsid w:val="00AA37EA"/>
    <w:rsid w:val="00AA3C92"/>
    <w:rsid w:val="00AA3DA8"/>
    <w:rsid w:val="00AA41E9"/>
    <w:rsid w:val="00AA41F9"/>
    <w:rsid w:val="00AA4815"/>
    <w:rsid w:val="00AA4BDE"/>
    <w:rsid w:val="00AA55B7"/>
    <w:rsid w:val="00AA5F46"/>
    <w:rsid w:val="00AA5F93"/>
    <w:rsid w:val="00AA64E1"/>
    <w:rsid w:val="00AA66F4"/>
    <w:rsid w:val="00AA6ACF"/>
    <w:rsid w:val="00AA6FAB"/>
    <w:rsid w:val="00AA7927"/>
    <w:rsid w:val="00AA7A39"/>
    <w:rsid w:val="00AB05F8"/>
    <w:rsid w:val="00AB0CF0"/>
    <w:rsid w:val="00AB0D82"/>
    <w:rsid w:val="00AB1346"/>
    <w:rsid w:val="00AB193F"/>
    <w:rsid w:val="00AB224B"/>
    <w:rsid w:val="00AB282C"/>
    <w:rsid w:val="00AB2A0C"/>
    <w:rsid w:val="00AB2AFA"/>
    <w:rsid w:val="00AB2B61"/>
    <w:rsid w:val="00AB2DB9"/>
    <w:rsid w:val="00AB3652"/>
    <w:rsid w:val="00AB3993"/>
    <w:rsid w:val="00AB3A5F"/>
    <w:rsid w:val="00AB3B0B"/>
    <w:rsid w:val="00AB3D26"/>
    <w:rsid w:val="00AB42B6"/>
    <w:rsid w:val="00AB4880"/>
    <w:rsid w:val="00AB4E3B"/>
    <w:rsid w:val="00AB4EDF"/>
    <w:rsid w:val="00AB4FF9"/>
    <w:rsid w:val="00AB50F0"/>
    <w:rsid w:val="00AB55A5"/>
    <w:rsid w:val="00AB59B4"/>
    <w:rsid w:val="00AB5EB9"/>
    <w:rsid w:val="00AB5FF2"/>
    <w:rsid w:val="00AB60B2"/>
    <w:rsid w:val="00AB6A60"/>
    <w:rsid w:val="00AB6C31"/>
    <w:rsid w:val="00AB6F28"/>
    <w:rsid w:val="00AB6FF5"/>
    <w:rsid w:val="00AB6FFF"/>
    <w:rsid w:val="00AB726E"/>
    <w:rsid w:val="00AB772A"/>
    <w:rsid w:val="00AB7C97"/>
    <w:rsid w:val="00AB7F3F"/>
    <w:rsid w:val="00AC01BC"/>
    <w:rsid w:val="00AC0766"/>
    <w:rsid w:val="00AC0984"/>
    <w:rsid w:val="00AC0CE2"/>
    <w:rsid w:val="00AC17B6"/>
    <w:rsid w:val="00AC1D69"/>
    <w:rsid w:val="00AC1D87"/>
    <w:rsid w:val="00AC2106"/>
    <w:rsid w:val="00AC21DF"/>
    <w:rsid w:val="00AC2616"/>
    <w:rsid w:val="00AC2746"/>
    <w:rsid w:val="00AC2B24"/>
    <w:rsid w:val="00AC42DA"/>
    <w:rsid w:val="00AC514C"/>
    <w:rsid w:val="00AC5D39"/>
    <w:rsid w:val="00AC667A"/>
    <w:rsid w:val="00AC6709"/>
    <w:rsid w:val="00AC6760"/>
    <w:rsid w:val="00AC67D8"/>
    <w:rsid w:val="00AC6DAA"/>
    <w:rsid w:val="00AC6FFF"/>
    <w:rsid w:val="00AC7013"/>
    <w:rsid w:val="00AC7014"/>
    <w:rsid w:val="00AC7104"/>
    <w:rsid w:val="00AC71E9"/>
    <w:rsid w:val="00AC7398"/>
    <w:rsid w:val="00AC74BA"/>
    <w:rsid w:val="00AC7B2D"/>
    <w:rsid w:val="00AC7DBC"/>
    <w:rsid w:val="00AD0226"/>
    <w:rsid w:val="00AD0522"/>
    <w:rsid w:val="00AD074B"/>
    <w:rsid w:val="00AD0906"/>
    <w:rsid w:val="00AD11A5"/>
    <w:rsid w:val="00AD139A"/>
    <w:rsid w:val="00AD1479"/>
    <w:rsid w:val="00AD17FF"/>
    <w:rsid w:val="00AD1A25"/>
    <w:rsid w:val="00AD1AAE"/>
    <w:rsid w:val="00AD24A4"/>
    <w:rsid w:val="00AD2C37"/>
    <w:rsid w:val="00AD2F2F"/>
    <w:rsid w:val="00AD3928"/>
    <w:rsid w:val="00AD3934"/>
    <w:rsid w:val="00AD3A83"/>
    <w:rsid w:val="00AD3F5E"/>
    <w:rsid w:val="00AD45CA"/>
    <w:rsid w:val="00AD4874"/>
    <w:rsid w:val="00AD4ED3"/>
    <w:rsid w:val="00AD4F8B"/>
    <w:rsid w:val="00AD5477"/>
    <w:rsid w:val="00AD5903"/>
    <w:rsid w:val="00AD66B4"/>
    <w:rsid w:val="00AD6DFF"/>
    <w:rsid w:val="00AD746F"/>
    <w:rsid w:val="00AD7777"/>
    <w:rsid w:val="00AD7852"/>
    <w:rsid w:val="00AD7D36"/>
    <w:rsid w:val="00AD7FC4"/>
    <w:rsid w:val="00AE01EC"/>
    <w:rsid w:val="00AE0787"/>
    <w:rsid w:val="00AE14DD"/>
    <w:rsid w:val="00AE15EF"/>
    <w:rsid w:val="00AE1C40"/>
    <w:rsid w:val="00AE20DA"/>
    <w:rsid w:val="00AE21BF"/>
    <w:rsid w:val="00AE2262"/>
    <w:rsid w:val="00AE2983"/>
    <w:rsid w:val="00AE2C67"/>
    <w:rsid w:val="00AE3434"/>
    <w:rsid w:val="00AE355A"/>
    <w:rsid w:val="00AE3584"/>
    <w:rsid w:val="00AE363F"/>
    <w:rsid w:val="00AE40ED"/>
    <w:rsid w:val="00AE4498"/>
    <w:rsid w:val="00AE45DC"/>
    <w:rsid w:val="00AE4714"/>
    <w:rsid w:val="00AE477B"/>
    <w:rsid w:val="00AE4CB6"/>
    <w:rsid w:val="00AE4CD8"/>
    <w:rsid w:val="00AE547E"/>
    <w:rsid w:val="00AE555D"/>
    <w:rsid w:val="00AE5576"/>
    <w:rsid w:val="00AE643C"/>
    <w:rsid w:val="00AE6487"/>
    <w:rsid w:val="00AE65F5"/>
    <w:rsid w:val="00AE669B"/>
    <w:rsid w:val="00AE67F1"/>
    <w:rsid w:val="00AE71C9"/>
    <w:rsid w:val="00AE75AE"/>
    <w:rsid w:val="00AE7743"/>
    <w:rsid w:val="00AE789B"/>
    <w:rsid w:val="00AE7F61"/>
    <w:rsid w:val="00AF00BE"/>
    <w:rsid w:val="00AF059A"/>
    <w:rsid w:val="00AF07FB"/>
    <w:rsid w:val="00AF0AD6"/>
    <w:rsid w:val="00AF0BBC"/>
    <w:rsid w:val="00AF0C83"/>
    <w:rsid w:val="00AF0F0F"/>
    <w:rsid w:val="00AF177F"/>
    <w:rsid w:val="00AF1806"/>
    <w:rsid w:val="00AF193B"/>
    <w:rsid w:val="00AF19DA"/>
    <w:rsid w:val="00AF19FE"/>
    <w:rsid w:val="00AF1AD1"/>
    <w:rsid w:val="00AF20DA"/>
    <w:rsid w:val="00AF247F"/>
    <w:rsid w:val="00AF265A"/>
    <w:rsid w:val="00AF2D1B"/>
    <w:rsid w:val="00AF300F"/>
    <w:rsid w:val="00AF3613"/>
    <w:rsid w:val="00AF37D8"/>
    <w:rsid w:val="00AF3AF0"/>
    <w:rsid w:val="00AF3D12"/>
    <w:rsid w:val="00AF3DD1"/>
    <w:rsid w:val="00AF3F7E"/>
    <w:rsid w:val="00AF4633"/>
    <w:rsid w:val="00AF4685"/>
    <w:rsid w:val="00AF4AB8"/>
    <w:rsid w:val="00AF51FC"/>
    <w:rsid w:val="00AF51FF"/>
    <w:rsid w:val="00AF530B"/>
    <w:rsid w:val="00AF55FE"/>
    <w:rsid w:val="00AF58A5"/>
    <w:rsid w:val="00AF5C73"/>
    <w:rsid w:val="00AF5F10"/>
    <w:rsid w:val="00AF60C3"/>
    <w:rsid w:val="00AF620F"/>
    <w:rsid w:val="00AF638F"/>
    <w:rsid w:val="00AF681C"/>
    <w:rsid w:val="00AF715C"/>
    <w:rsid w:val="00AF7281"/>
    <w:rsid w:val="00AF7B8A"/>
    <w:rsid w:val="00AF7C6E"/>
    <w:rsid w:val="00B00008"/>
    <w:rsid w:val="00B000AB"/>
    <w:rsid w:val="00B005C1"/>
    <w:rsid w:val="00B00637"/>
    <w:rsid w:val="00B00773"/>
    <w:rsid w:val="00B00A9B"/>
    <w:rsid w:val="00B00C1D"/>
    <w:rsid w:val="00B00ED6"/>
    <w:rsid w:val="00B00EEA"/>
    <w:rsid w:val="00B01124"/>
    <w:rsid w:val="00B01298"/>
    <w:rsid w:val="00B0166F"/>
    <w:rsid w:val="00B01720"/>
    <w:rsid w:val="00B0183D"/>
    <w:rsid w:val="00B018E9"/>
    <w:rsid w:val="00B01D74"/>
    <w:rsid w:val="00B01DD3"/>
    <w:rsid w:val="00B02384"/>
    <w:rsid w:val="00B0255C"/>
    <w:rsid w:val="00B028CC"/>
    <w:rsid w:val="00B029DF"/>
    <w:rsid w:val="00B02C69"/>
    <w:rsid w:val="00B03045"/>
    <w:rsid w:val="00B03845"/>
    <w:rsid w:val="00B03951"/>
    <w:rsid w:val="00B03D87"/>
    <w:rsid w:val="00B0408B"/>
    <w:rsid w:val="00B041C2"/>
    <w:rsid w:val="00B0455F"/>
    <w:rsid w:val="00B04AA7"/>
    <w:rsid w:val="00B04B4C"/>
    <w:rsid w:val="00B04D11"/>
    <w:rsid w:val="00B04E5E"/>
    <w:rsid w:val="00B050E3"/>
    <w:rsid w:val="00B051C1"/>
    <w:rsid w:val="00B0566A"/>
    <w:rsid w:val="00B05A06"/>
    <w:rsid w:val="00B05B05"/>
    <w:rsid w:val="00B05D26"/>
    <w:rsid w:val="00B06325"/>
    <w:rsid w:val="00B0632F"/>
    <w:rsid w:val="00B06373"/>
    <w:rsid w:val="00B065CA"/>
    <w:rsid w:val="00B06C52"/>
    <w:rsid w:val="00B07377"/>
    <w:rsid w:val="00B0752A"/>
    <w:rsid w:val="00B10213"/>
    <w:rsid w:val="00B1053A"/>
    <w:rsid w:val="00B1077B"/>
    <w:rsid w:val="00B11EEA"/>
    <w:rsid w:val="00B12130"/>
    <w:rsid w:val="00B124BB"/>
    <w:rsid w:val="00B12890"/>
    <w:rsid w:val="00B129DA"/>
    <w:rsid w:val="00B12AC3"/>
    <w:rsid w:val="00B12C53"/>
    <w:rsid w:val="00B12FA9"/>
    <w:rsid w:val="00B13244"/>
    <w:rsid w:val="00B13D71"/>
    <w:rsid w:val="00B13F21"/>
    <w:rsid w:val="00B14127"/>
    <w:rsid w:val="00B14193"/>
    <w:rsid w:val="00B14306"/>
    <w:rsid w:val="00B14586"/>
    <w:rsid w:val="00B157AA"/>
    <w:rsid w:val="00B15AEF"/>
    <w:rsid w:val="00B15EAB"/>
    <w:rsid w:val="00B16232"/>
    <w:rsid w:val="00B163D6"/>
    <w:rsid w:val="00B1647C"/>
    <w:rsid w:val="00B1655E"/>
    <w:rsid w:val="00B165AE"/>
    <w:rsid w:val="00B167C3"/>
    <w:rsid w:val="00B16DEE"/>
    <w:rsid w:val="00B16F5A"/>
    <w:rsid w:val="00B17109"/>
    <w:rsid w:val="00B17354"/>
    <w:rsid w:val="00B17549"/>
    <w:rsid w:val="00B175F7"/>
    <w:rsid w:val="00B1770B"/>
    <w:rsid w:val="00B177C4"/>
    <w:rsid w:val="00B177F6"/>
    <w:rsid w:val="00B17BC9"/>
    <w:rsid w:val="00B17D31"/>
    <w:rsid w:val="00B2048F"/>
    <w:rsid w:val="00B20B2B"/>
    <w:rsid w:val="00B20C99"/>
    <w:rsid w:val="00B210CD"/>
    <w:rsid w:val="00B21359"/>
    <w:rsid w:val="00B221D9"/>
    <w:rsid w:val="00B228F5"/>
    <w:rsid w:val="00B22D81"/>
    <w:rsid w:val="00B22EF6"/>
    <w:rsid w:val="00B22F46"/>
    <w:rsid w:val="00B230B1"/>
    <w:rsid w:val="00B241DB"/>
    <w:rsid w:val="00B2420A"/>
    <w:rsid w:val="00B2471F"/>
    <w:rsid w:val="00B248E4"/>
    <w:rsid w:val="00B25001"/>
    <w:rsid w:val="00B2532E"/>
    <w:rsid w:val="00B25C33"/>
    <w:rsid w:val="00B25C8E"/>
    <w:rsid w:val="00B25F14"/>
    <w:rsid w:val="00B264F1"/>
    <w:rsid w:val="00B26524"/>
    <w:rsid w:val="00B26BBE"/>
    <w:rsid w:val="00B26E0B"/>
    <w:rsid w:val="00B26EF9"/>
    <w:rsid w:val="00B2769E"/>
    <w:rsid w:val="00B277FD"/>
    <w:rsid w:val="00B27B2C"/>
    <w:rsid w:val="00B303E8"/>
    <w:rsid w:val="00B309AD"/>
    <w:rsid w:val="00B31EB2"/>
    <w:rsid w:val="00B32051"/>
    <w:rsid w:val="00B321C7"/>
    <w:rsid w:val="00B3258D"/>
    <w:rsid w:val="00B32A31"/>
    <w:rsid w:val="00B32B61"/>
    <w:rsid w:val="00B32C22"/>
    <w:rsid w:val="00B32D46"/>
    <w:rsid w:val="00B33029"/>
    <w:rsid w:val="00B338C7"/>
    <w:rsid w:val="00B33B87"/>
    <w:rsid w:val="00B34692"/>
    <w:rsid w:val="00B34996"/>
    <w:rsid w:val="00B34BD4"/>
    <w:rsid w:val="00B34C1D"/>
    <w:rsid w:val="00B35211"/>
    <w:rsid w:val="00B352E3"/>
    <w:rsid w:val="00B354A1"/>
    <w:rsid w:val="00B35753"/>
    <w:rsid w:val="00B35918"/>
    <w:rsid w:val="00B35D7C"/>
    <w:rsid w:val="00B35D99"/>
    <w:rsid w:val="00B36751"/>
    <w:rsid w:val="00B36971"/>
    <w:rsid w:val="00B36B55"/>
    <w:rsid w:val="00B36B98"/>
    <w:rsid w:val="00B37262"/>
    <w:rsid w:val="00B37334"/>
    <w:rsid w:val="00B37336"/>
    <w:rsid w:val="00B37541"/>
    <w:rsid w:val="00B3795C"/>
    <w:rsid w:val="00B40496"/>
    <w:rsid w:val="00B40A96"/>
    <w:rsid w:val="00B40B09"/>
    <w:rsid w:val="00B40E1F"/>
    <w:rsid w:val="00B4100B"/>
    <w:rsid w:val="00B41040"/>
    <w:rsid w:val="00B41B95"/>
    <w:rsid w:val="00B424DE"/>
    <w:rsid w:val="00B42B5D"/>
    <w:rsid w:val="00B42F33"/>
    <w:rsid w:val="00B43BF6"/>
    <w:rsid w:val="00B43D8A"/>
    <w:rsid w:val="00B43EB1"/>
    <w:rsid w:val="00B44090"/>
    <w:rsid w:val="00B4416F"/>
    <w:rsid w:val="00B442E5"/>
    <w:rsid w:val="00B442F5"/>
    <w:rsid w:val="00B44B1E"/>
    <w:rsid w:val="00B44E41"/>
    <w:rsid w:val="00B44E89"/>
    <w:rsid w:val="00B44E9A"/>
    <w:rsid w:val="00B44ED0"/>
    <w:rsid w:val="00B45027"/>
    <w:rsid w:val="00B45D3B"/>
    <w:rsid w:val="00B463CD"/>
    <w:rsid w:val="00B47CFE"/>
    <w:rsid w:val="00B50999"/>
    <w:rsid w:val="00B509EB"/>
    <w:rsid w:val="00B50A5C"/>
    <w:rsid w:val="00B50D3D"/>
    <w:rsid w:val="00B50D6F"/>
    <w:rsid w:val="00B51378"/>
    <w:rsid w:val="00B51542"/>
    <w:rsid w:val="00B5154C"/>
    <w:rsid w:val="00B51A10"/>
    <w:rsid w:val="00B51B60"/>
    <w:rsid w:val="00B521DC"/>
    <w:rsid w:val="00B525A2"/>
    <w:rsid w:val="00B526DC"/>
    <w:rsid w:val="00B5277E"/>
    <w:rsid w:val="00B52873"/>
    <w:rsid w:val="00B52ABA"/>
    <w:rsid w:val="00B53BB9"/>
    <w:rsid w:val="00B53DF9"/>
    <w:rsid w:val="00B53E6B"/>
    <w:rsid w:val="00B5429E"/>
    <w:rsid w:val="00B548DF"/>
    <w:rsid w:val="00B549B2"/>
    <w:rsid w:val="00B54BE9"/>
    <w:rsid w:val="00B54F52"/>
    <w:rsid w:val="00B554BB"/>
    <w:rsid w:val="00B557CA"/>
    <w:rsid w:val="00B558DD"/>
    <w:rsid w:val="00B56621"/>
    <w:rsid w:val="00B56EE2"/>
    <w:rsid w:val="00B56F6D"/>
    <w:rsid w:val="00B603D5"/>
    <w:rsid w:val="00B6040A"/>
    <w:rsid w:val="00B608B5"/>
    <w:rsid w:val="00B60EA5"/>
    <w:rsid w:val="00B60EB2"/>
    <w:rsid w:val="00B60F8C"/>
    <w:rsid w:val="00B61230"/>
    <w:rsid w:val="00B6125A"/>
    <w:rsid w:val="00B618C3"/>
    <w:rsid w:val="00B61A28"/>
    <w:rsid w:val="00B61C47"/>
    <w:rsid w:val="00B61F06"/>
    <w:rsid w:val="00B62944"/>
    <w:rsid w:val="00B62D87"/>
    <w:rsid w:val="00B62DF6"/>
    <w:rsid w:val="00B62E1C"/>
    <w:rsid w:val="00B6332B"/>
    <w:rsid w:val="00B637C7"/>
    <w:rsid w:val="00B639D2"/>
    <w:rsid w:val="00B63CFA"/>
    <w:rsid w:val="00B641F7"/>
    <w:rsid w:val="00B64A26"/>
    <w:rsid w:val="00B64B52"/>
    <w:rsid w:val="00B653AD"/>
    <w:rsid w:val="00B65732"/>
    <w:rsid w:val="00B65A05"/>
    <w:rsid w:val="00B6630E"/>
    <w:rsid w:val="00B667B8"/>
    <w:rsid w:val="00B66CA6"/>
    <w:rsid w:val="00B66D24"/>
    <w:rsid w:val="00B66DC1"/>
    <w:rsid w:val="00B67CD9"/>
    <w:rsid w:val="00B70114"/>
    <w:rsid w:val="00B701C3"/>
    <w:rsid w:val="00B703D7"/>
    <w:rsid w:val="00B70437"/>
    <w:rsid w:val="00B70B17"/>
    <w:rsid w:val="00B7103F"/>
    <w:rsid w:val="00B71913"/>
    <w:rsid w:val="00B719D3"/>
    <w:rsid w:val="00B71A5D"/>
    <w:rsid w:val="00B71EAC"/>
    <w:rsid w:val="00B71EC4"/>
    <w:rsid w:val="00B71EF1"/>
    <w:rsid w:val="00B72085"/>
    <w:rsid w:val="00B72342"/>
    <w:rsid w:val="00B723AA"/>
    <w:rsid w:val="00B72DCD"/>
    <w:rsid w:val="00B734B4"/>
    <w:rsid w:val="00B7395E"/>
    <w:rsid w:val="00B73C40"/>
    <w:rsid w:val="00B73DA3"/>
    <w:rsid w:val="00B73F8E"/>
    <w:rsid w:val="00B7411B"/>
    <w:rsid w:val="00B74191"/>
    <w:rsid w:val="00B74E6A"/>
    <w:rsid w:val="00B751DF"/>
    <w:rsid w:val="00B75204"/>
    <w:rsid w:val="00B754FF"/>
    <w:rsid w:val="00B75526"/>
    <w:rsid w:val="00B757B3"/>
    <w:rsid w:val="00B75F4E"/>
    <w:rsid w:val="00B75F85"/>
    <w:rsid w:val="00B766EC"/>
    <w:rsid w:val="00B76AA0"/>
    <w:rsid w:val="00B77695"/>
    <w:rsid w:val="00B777A3"/>
    <w:rsid w:val="00B7792B"/>
    <w:rsid w:val="00B807D3"/>
    <w:rsid w:val="00B82729"/>
    <w:rsid w:val="00B82AA4"/>
    <w:rsid w:val="00B82CE6"/>
    <w:rsid w:val="00B82D3D"/>
    <w:rsid w:val="00B83111"/>
    <w:rsid w:val="00B83212"/>
    <w:rsid w:val="00B8334D"/>
    <w:rsid w:val="00B83396"/>
    <w:rsid w:val="00B835C4"/>
    <w:rsid w:val="00B8375E"/>
    <w:rsid w:val="00B84192"/>
    <w:rsid w:val="00B84583"/>
    <w:rsid w:val="00B84625"/>
    <w:rsid w:val="00B8560D"/>
    <w:rsid w:val="00B85AA7"/>
    <w:rsid w:val="00B86A91"/>
    <w:rsid w:val="00B86B45"/>
    <w:rsid w:val="00B86F4B"/>
    <w:rsid w:val="00B870A2"/>
    <w:rsid w:val="00B870E9"/>
    <w:rsid w:val="00B90B57"/>
    <w:rsid w:val="00B90D0D"/>
    <w:rsid w:val="00B911B8"/>
    <w:rsid w:val="00B9135E"/>
    <w:rsid w:val="00B9146D"/>
    <w:rsid w:val="00B91EE0"/>
    <w:rsid w:val="00B92603"/>
    <w:rsid w:val="00B928BD"/>
    <w:rsid w:val="00B92AA3"/>
    <w:rsid w:val="00B934B1"/>
    <w:rsid w:val="00B93920"/>
    <w:rsid w:val="00B93B2D"/>
    <w:rsid w:val="00B93D0B"/>
    <w:rsid w:val="00B93EB7"/>
    <w:rsid w:val="00B94910"/>
    <w:rsid w:val="00B950C9"/>
    <w:rsid w:val="00B951BE"/>
    <w:rsid w:val="00B960F5"/>
    <w:rsid w:val="00B96349"/>
    <w:rsid w:val="00B96444"/>
    <w:rsid w:val="00B96517"/>
    <w:rsid w:val="00B969B3"/>
    <w:rsid w:val="00B9717F"/>
    <w:rsid w:val="00B97769"/>
    <w:rsid w:val="00B97816"/>
    <w:rsid w:val="00B97B13"/>
    <w:rsid w:val="00B97D94"/>
    <w:rsid w:val="00B97F44"/>
    <w:rsid w:val="00BA043B"/>
    <w:rsid w:val="00BA0716"/>
    <w:rsid w:val="00BA08FD"/>
    <w:rsid w:val="00BA0937"/>
    <w:rsid w:val="00BA1011"/>
    <w:rsid w:val="00BA1124"/>
    <w:rsid w:val="00BA16B6"/>
    <w:rsid w:val="00BA1FAA"/>
    <w:rsid w:val="00BA2BA1"/>
    <w:rsid w:val="00BA2C99"/>
    <w:rsid w:val="00BA2FE5"/>
    <w:rsid w:val="00BA3047"/>
    <w:rsid w:val="00BA3135"/>
    <w:rsid w:val="00BA3BF2"/>
    <w:rsid w:val="00BA3DC8"/>
    <w:rsid w:val="00BA3E7F"/>
    <w:rsid w:val="00BA3F06"/>
    <w:rsid w:val="00BA4275"/>
    <w:rsid w:val="00BA49E4"/>
    <w:rsid w:val="00BA4CDD"/>
    <w:rsid w:val="00BA4D10"/>
    <w:rsid w:val="00BA4EBF"/>
    <w:rsid w:val="00BA52E5"/>
    <w:rsid w:val="00BA5909"/>
    <w:rsid w:val="00BA5C18"/>
    <w:rsid w:val="00BA63FC"/>
    <w:rsid w:val="00BA664F"/>
    <w:rsid w:val="00BA669C"/>
    <w:rsid w:val="00BA67B5"/>
    <w:rsid w:val="00BA68DD"/>
    <w:rsid w:val="00BA7551"/>
    <w:rsid w:val="00BA7A25"/>
    <w:rsid w:val="00BB03E0"/>
    <w:rsid w:val="00BB03FF"/>
    <w:rsid w:val="00BB0636"/>
    <w:rsid w:val="00BB071E"/>
    <w:rsid w:val="00BB0A64"/>
    <w:rsid w:val="00BB13BA"/>
    <w:rsid w:val="00BB166C"/>
    <w:rsid w:val="00BB1B9A"/>
    <w:rsid w:val="00BB1CCF"/>
    <w:rsid w:val="00BB1D88"/>
    <w:rsid w:val="00BB2210"/>
    <w:rsid w:val="00BB231E"/>
    <w:rsid w:val="00BB243D"/>
    <w:rsid w:val="00BB2950"/>
    <w:rsid w:val="00BB4587"/>
    <w:rsid w:val="00BB47AF"/>
    <w:rsid w:val="00BB47D9"/>
    <w:rsid w:val="00BB4DB5"/>
    <w:rsid w:val="00BB4DCF"/>
    <w:rsid w:val="00BB585D"/>
    <w:rsid w:val="00BB6010"/>
    <w:rsid w:val="00BB61C8"/>
    <w:rsid w:val="00BB66E7"/>
    <w:rsid w:val="00BB6AF3"/>
    <w:rsid w:val="00BB7C16"/>
    <w:rsid w:val="00BB7EF1"/>
    <w:rsid w:val="00BC0390"/>
    <w:rsid w:val="00BC0429"/>
    <w:rsid w:val="00BC0A7B"/>
    <w:rsid w:val="00BC0DD8"/>
    <w:rsid w:val="00BC11E8"/>
    <w:rsid w:val="00BC1460"/>
    <w:rsid w:val="00BC1688"/>
    <w:rsid w:val="00BC175F"/>
    <w:rsid w:val="00BC2307"/>
    <w:rsid w:val="00BC2666"/>
    <w:rsid w:val="00BC26EC"/>
    <w:rsid w:val="00BC2BF9"/>
    <w:rsid w:val="00BC3400"/>
    <w:rsid w:val="00BC3524"/>
    <w:rsid w:val="00BC3582"/>
    <w:rsid w:val="00BC36B3"/>
    <w:rsid w:val="00BC37EE"/>
    <w:rsid w:val="00BC387D"/>
    <w:rsid w:val="00BC38BE"/>
    <w:rsid w:val="00BC3D47"/>
    <w:rsid w:val="00BC4164"/>
    <w:rsid w:val="00BC4294"/>
    <w:rsid w:val="00BC42AE"/>
    <w:rsid w:val="00BC437E"/>
    <w:rsid w:val="00BC4D36"/>
    <w:rsid w:val="00BC508A"/>
    <w:rsid w:val="00BC54D7"/>
    <w:rsid w:val="00BC5520"/>
    <w:rsid w:val="00BC5A58"/>
    <w:rsid w:val="00BC5EB1"/>
    <w:rsid w:val="00BC5ED2"/>
    <w:rsid w:val="00BC6171"/>
    <w:rsid w:val="00BC6174"/>
    <w:rsid w:val="00BC672B"/>
    <w:rsid w:val="00BC6997"/>
    <w:rsid w:val="00BC6B41"/>
    <w:rsid w:val="00BC6C33"/>
    <w:rsid w:val="00BC6EC9"/>
    <w:rsid w:val="00BC6F77"/>
    <w:rsid w:val="00BC7114"/>
    <w:rsid w:val="00BC7F20"/>
    <w:rsid w:val="00BC7FFC"/>
    <w:rsid w:val="00BD0006"/>
    <w:rsid w:val="00BD0430"/>
    <w:rsid w:val="00BD09DB"/>
    <w:rsid w:val="00BD0E75"/>
    <w:rsid w:val="00BD2841"/>
    <w:rsid w:val="00BD3904"/>
    <w:rsid w:val="00BD3A16"/>
    <w:rsid w:val="00BD3DC0"/>
    <w:rsid w:val="00BD424D"/>
    <w:rsid w:val="00BD4318"/>
    <w:rsid w:val="00BD4906"/>
    <w:rsid w:val="00BD4990"/>
    <w:rsid w:val="00BD4A2F"/>
    <w:rsid w:val="00BD53FA"/>
    <w:rsid w:val="00BD548F"/>
    <w:rsid w:val="00BD5644"/>
    <w:rsid w:val="00BD580A"/>
    <w:rsid w:val="00BD5A2E"/>
    <w:rsid w:val="00BD5AFF"/>
    <w:rsid w:val="00BD5CF7"/>
    <w:rsid w:val="00BD5D47"/>
    <w:rsid w:val="00BD5E24"/>
    <w:rsid w:val="00BD5FDB"/>
    <w:rsid w:val="00BD6334"/>
    <w:rsid w:val="00BD7420"/>
    <w:rsid w:val="00BD746C"/>
    <w:rsid w:val="00BE0650"/>
    <w:rsid w:val="00BE0AEF"/>
    <w:rsid w:val="00BE106E"/>
    <w:rsid w:val="00BE1478"/>
    <w:rsid w:val="00BE1716"/>
    <w:rsid w:val="00BE1A41"/>
    <w:rsid w:val="00BE1D75"/>
    <w:rsid w:val="00BE1E1D"/>
    <w:rsid w:val="00BE25BD"/>
    <w:rsid w:val="00BE2A2E"/>
    <w:rsid w:val="00BE2B71"/>
    <w:rsid w:val="00BE2D10"/>
    <w:rsid w:val="00BE2E2F"/>
    <w:rsid w:val="00BE2EC5"/>
    <w:rsid w:val="00BE348A"/>
    <w:rsid w:val="00BE3941"/>
    <w:rsid w:val="00BE3A19"/>
    <w:rsid w:val="00BE3D90"/>
    <w:rsid w:val="00BE3DC2"/>
    <w:rsid w:val="00BE4068"/>
    <w:rsid w:val="00BE47DA"/>
    <w:rsid w:val="00BE499C"/>
    <w:rsid w:val="00BE5130"/>
    <w:rsid w:val="00BE5132"/>
    <w:rsid w:val="00BE5376"/>
    <w:rsid w:val="00BE5BD4"/>
    <w:rsid w:val="00BE5D96"/>
    <w:rsid w:val="00BE5DA7"/>
    <w:rsid w:val="00BE6F80"/>
    <w:rsid w:val="00BE72AA"/>
    <w:rsid w:val="00BE79A5"/>
    <w:rsid w:val="00BF0952"/>
    <w:rsid w:val="00BF0DF6"/>
    <w:rsid w:val="00BF1E1D"/>
    <w:rsid w:val="00BF2586"/>
    <w:rsid w:val="00BF272F"/>
    <w:rsid w:val="00BF2BAA"/>
    <w:rsid w:val="00BF2F83"/>
    <w:rsid w:val="00BF3054"/>
    <w:rsid w:val="00BF3063"/>
    <w:rsid w:val="00BF345E"/>
    <w:rsid w:val="00BF381B"/>
    <w:rsid w:val="00BF3822"/>
    <w:rsid w:val="00BF3B60"/>
    <w:rsid w:val="00BF4226"/>
    <w:rsid w:val="00BF45EB"/>
    <w:rsid w:val="00BF5824"/>
    <w:rsid w:val="00BF5E39"/>
    <w:rsid w:val="00BF6033"/>
    <w:rsid w:val="00BF675C"/>
    <w:rsid w:val="00BF68D5"/>
    <w:rsid w:val="00BF7552"/>
    <w:rsid w:val="00BF7F89"/>
    <w:rsid w:val="00C00243"/>
    <w:rsid w:val="00C002A9"/>
    <w:rsid w:val="00C004D0"/>
    <w:rsid w:val="00C0054E"/>
    <w:rsid w:val="00C0147C"/>
    <w:rsid w:val="00C01F3E"/>
    <w:rsid w:val="00C0204A"/>
    <w:rsid w:val="00C0218D"/>
    <w:rsid w:val="00C02929"/>
    <w:rsid w:val="00C046B9"/>
    <w:rsid w:val="00C04BFD"/>
    <w:rsid w:val="00C05089"/>
    <w:rsid w:val="00C053DB"/>
    <w:rsid w:val="00C05A30"/>
    <w:rsid w:val="00C05ECA"/>
    <w:rsid w:val="00C0688E"/>
    <w:rsid w:val="00C06906"/>
    <w:rsid w:val="00C0691B"/>
    <w:rsid w:val="00C0772D"/>
    <w:rsid w:val="00C077BF"/>
    <w:rsid w:val="00C077E2"/>
    <w:rsid w:val="00C078DC"/>
    <w:rsid w:val="00C07BDA"/>
    <w:rsid w:val="00C07EF7"/>
    <w:rsid w:val="00C1027A"/>
    <w:rsid w:val="00C1045E"/>
    <w:rsid w:val="00C10630"/>
    <w:rsid w:val="00C10700"/>
    <w:rsid w:val="00C1138F"/>
    <w:rsid w:val="00C115B5"/>
    <w:rsid w:val="00C118B8"/>
    <w:rsid w:val="00C11BE7"/>
    <w:rsid w:val="00C12753"/>
    <w:rsid w:val="00C128A2"/>
    <w:rsid w:val="00C129B4"/>
    <w:rsid w:val="00C12C72"/>
    <w:rsid w:val="00C133F9"/>
    <w:rsid w:val="00C1355C"/>
    <w:rsid w:val="00C13C92"/>
    <w:rsid w:val="00C14D6B"/>
    <w:rsid w:val="00C14DB8"/>
    <w:rsid w:val="00C14E2C"/>
    <w:rsid w:val="00C1506B"/>
    <w:rsid w:val="00C15B27"/>
    <w:rsid w:val="00C15B82"/>
    <w:rsid w:val="00C164AE"/>
    <w:rsid w:val="00C1696B"/>
    <w:rsid w:val="00C174BC"/>
    <w:rsid w:val="00C176A4"/>
    <w:rsid w:val="00C17942"/>
    <w:rsid w:val="00C17DF6"/>
    <w:rsid w:val="00C20203"/>
    <w:rsid w:val="00C20263"/>
    <w:rsid w:val="00C203BB"/>
    <w:rsid w:val="00C20D69"/>
    <w:rsid w:val="00C20E17"/>
    <w:rsid w:val="00C210E1"/>
    <w:rsid w:val="00C211F8"/>
    <w:rsid w:val="00C21812"/>
    <w:rsid w:val="00C21A88"/>
    <w:rsid w:val="00C21B24"/>
    <w:rsid w:val="00C21EF1"/>
    <w:rsid w:val="00C2200D"/>
    <w:rsid w:val="00C2228A"/>
    <w:rsid w:val="00C22382"/>
    <w:rsid w:val="00C2283B"/>
    <w:rsid w:val="00C228DE"/>
    <w:rsid w:val="00C22910"/>
    <w:rsid w:val="00C23A00"/>
    <w:rsid w:val="00C23F5D"/>
    <w:rsid w:val="00C24C7B"/>
    <w:rsid w:val="00C2546C"/>
    <w:rsid w:val="00C25583"/>
    <w:rsid w:val="00C25641"/>
    <w:rsid w:val="00C256A1"/>
    <w:rsid w:val="00C25997"/>
    <w:rsid w:val="00C25AE3"/>
    <w:rsid w:val="00C25B4F"/>
    <w:rsid w:val="00C25BF9"/>
    <w:rsid w:val="00C25DE4"/>
    <w:rsid w:val="00C26341"/>
    <w:rsid w:val="00C26B83"/>
    <w:rsid w:val="00C26D07"/>
    <w:rsid w:val="00C26ED6"/>
    <w:rsid w:val="00C26F32"/>
    <w:rsid w:val="00C2794A"/>
    <w:rsid w:val="00C279FC"/>
    <w:rsid w:val="00C27BB4"/>
    <w:rsid w:val="00C27D7C"/>
    <w:rsid w:val="00C27E68"/>
    <w:rsid w:val="00C306F6"/>
    <w:rsid w:val="00C3070A"/>
    <w:rsid w:val="00C30DF5"/>
    <w:rsid w:val="00C3153F"/>
    <w:rsid w:val="00C319CB"/>
    <w:rsid w:val="00C31ACA"/>
    <w:rsid w:val="00C322E5"/>
    <w:rsid w:val="00C3287F"/>
    <w:rsid w:val="00C331FE"/>
    <w:rsid w:val="00C333A7"/>
    <w:rsid w:val="00C3379D"/>
    <w:rsid w:val="00C34790"/>
    <w:rsid w:val="00C35A8B"/>
    <w:rsid w:val="00C36097"/>
    <w:rsid w:val="00C36418"/>
    <w:rsid w:val="00C3649E"/>
    <w:rsid w:val="00C36827"/>
    <w:rsid w:val="00C36C5D"/>
    <w:rsid w:val="00C370C9"/>
    <w:rsid w:val="00C370DC"/>
    <w:rsid w:val="00C372D4"/>
    <w:rsid w:val="00C372F8"/>
    <w:rsid w:val="00C3799E"/>
    <w:rsid w:val="00C379E7"/>
    <w:rsid w:val="00C40256"/>
    <w:rsid w:val="00C40291"/>
    <w:rsid w:val="00C405FC"/>
    <w:rsid w:val="00C406B8"/>
    <w:rsid w:val="00C4070C"/>
    <w:rsid w:val="00C409E6"/>
    <w:rsid w:val="00C40B8D"/>
    <w:rsid w:val="00C40EF0"/>
    <w:rsid w:val="00C416D6"/>
    <w:rsid w:val="00C419E4"/>
    <w:rsid w:val="00C41E29"/>
    <w:rsid w:val="00C42124"/>
    <w:rsid w:val="00C423B8"/>
    <w:rsid w:val="00C424B3"/>
    <w:rsid w:val="00C426B9"/>
    <w:rsid w:val="00C42AED"/>
    <w:rsid w:val="00C4306D"/>
    <w:rsid w:val="00C430F7"/>
    <w:rsid w:val="00C433FD"/>
    <w:rsid w:val="00C43494"/>
    <w:rsid w:val="00C43721"/>
    <w:rsid w:val="00C43B29"/>
    <w:rsid w:val="00C43D80"/>
    <w:rsid w:val="00C43E69"/>
    <w:rsid w:val="00C44105"/>
    <w:rsid w:val="00C44245"/>
    <w:rsid w:val="00C44AA2"/>
    <w:rsid w:val="00C44D44"/>
    <w:rsid w:val="00C459B4"/>
    <w:rsid w:val="00C459DA"/>
    <w:rsid w:val="00C45E54"/>
    <w:rsid w:val="00C46DC5"/>
    <w:rsid w:val="00C46EAA"/>
    <w:rsid w:val="00C46F4C"/>
    <w:rsid w:val="00C470CD"/>
    <w:rsid w:val="00C471ED"/>
    <w:rsid w:val="00C477FA"/>
    <w:rsid w:val="00C47E2C"/>
    <w:rsid w:val="00C500DB"/>
    <w:rsid w:val="00C5053B"/>
    <w:rsid w:val="00C51993"/>
    <w:rsid w:val="00C51AB1"/>
    <w:rsid w:val="00C51DAF"/>
    <w:rsid w:val="00C520FF"/>
    <w:rsid w:val="00C52161"/>
    <w:rsid w:val="00C523E4"/>
    <w:rsid w:val="00C53DFC"/>
    <w:rsid w:val="00C54200"/>
    <w:rsid w:val="00C54725"/>
    <w:rsid w:val="00C54878"/>
    <w:rsid w:val="00C54EF7"/>
    <w:rsid w:val="00C559B4"/>
    <w:rsid w:val="00C55C30"/>
    <w:rsid w:val="00C560CD"/>
    <w:rsid w:val="00C566FB"/>
    <w:rsid w:val="00C56715"/>
    <w:rsid w:val="00C567F1"/>
    <w:rsid w:val="00C56C06"/>
    <w:rsid w:val="00C5731A"/>
    <w:rsid w:val="00C60769"/>
    <w:rsid w:val="00C60A4B"/>
    <w:rsid w:val="00C60DE4"/>
    <w:rsid w:val="00C616C3"/>
    <w:rsid w:val="00C61FC2"/>
    <w:rsid w:val="00C62090"/>
    <w:rsid w:val="00C6218D"/>
    <w:rsid w:val="00C62545"/>
    <w:rsid w:val="00C62D3A"/>
    <w:rsid w:val="00C62D43"/>
    <w:rsid w:val="00C62FE1"/>
    <w:rsid w:val="00C638D5"/>
    <w:rsid w:val="00C63921"/>
    <w:rsid w:val="00C63D6B"/>
    <w:rsid w:val="00C640DB"/>
    <w:rsid w:val="00C64381"/>
    <w:rsid w:val="00C64C6E"/>
    <w:rsid w:val="00C64CE0"/>
    <w:rsid w:val="00C64EAD"/>
    <w:rsid w:val="00C64FE1"/>
    <w:rsid w:val="00C65530"/>
    <w:rsid w:val="00C65AC2"/>
    <w:rsid w:val="00C65DAD"/>
    <w:rsid w:val="00C66497"/>
    <w:rsid w:val="00C66525"/>
    <w:rsid w:val="00C66BA7"/>
    <w:rsid w:val="00C67F2B"/>
    <w:rsid w:val="00C704D7"/>
    <w:rsid w:val="00C70D57"/>
    <w:rsid w:val="00C70DFA"/>
    <w:rsid w:val="00C70E41"/>
    <w:rsid w:val="00C710E3"/>
    <w:rsid w:val="00C71393"/>
    <w:rsid w:val="00C7154B"/>
    <w:rsid w:val="00C717BF"/>
    <w:rsid w:val="00C71995"/>
    <w:rsid w:val="00C71B78"/>
    <w:rsid w:val="00C71D8F"/>
    <w:rsid w:val="00C7206B"/>
    <w:rsid w:val="00C72228"/>
    <w:rsid w:val="00C724DE"/>
    <w:rsid w:val="00C72D2C"/>
    <w:rsid w:val="00C72D8D"/>
    <w:rsid w:val="00C73445"/>
    <w:rsid w:val="00C73563"/>
    <w:rsid w:val="00C73DA3"/>
    <w:rsid w:val="00C74806"/>
    <w:rsid w:val="00C7484C"/>
    <w:rsid w:val="00C749B5"/>
    <w:rsid w:val="00C74F81"/>
    <w:rsid w:val="00C7504D"/>
    <w:rsid w:val="00C7519F"/>
    <w:rsid w:val="00C75400"/>
    <w:rsid w:val="00C75406"/>
    <w:rsid w:val="00C75441"/>
    <w:rsid w:val="00C75993"/>
    <w:rsid w:val="00C75C86"/>
    <w:rsid w:val="00C75D92"/>
    <w:rsid w:val="00C7606E"/>
    <w:rsid w:val="00C7629D"/>
    <w:rsid w:val="00C76A65"/>
    <w:rsid w:val="00C76CCB"/>
    <w:rsid w:val="00C76EE6"/>
    <w:rsid w:val="00C76FDE"/>
    <w:rsid w:val="00C77045"/>
    <w:rsid w:val="00C77108"/>
    <w:rsid w:val="00C7736C"/>
    <w:rsid w:val="00C7766C"/>
    <w:rsid w:val="00C77970"/>
    <w:rsid w:val="00C8045C"/>
    <w:rsid w:val="00C80561"/>
    <w:rsid w:val="00C8078B"/>
    <w:rsid w:val="00C811FE"/>
    <w:rsid w:val="00C8121E"/>
    <w:rsid w:val="00C8128E"/>
    <w:rsid w:val="00C8192B"/>
    <w:rsid w:val="00C81A05"/>
    <w:rsid w:val="00C82653"/>
    <w:rsid w:val="00C8279A"/>
    <w:rsid w:val="00C82810"/>
    <w:rsid w:val="00C82AD7"/>
    <w:rsid w:val="00C830BB"/>
    <w:rsid w:val="00C8359E"/>
    <w:rsid w:val="00C835FB"/>
    <w:rsid w:val="00C84989"/>
    <w:rsid w:val="00C849BD"/>
    <w:rsid w:val="00C84FBD"/>
    <w:rsid w:val="00C854C0"/>
    <w:rsid w:val="00C856DB"/>
    <w:rsid w:val="00C858F9"/>
    <w:rsid w:val="00C85ECD"/>
    <w:rsid w:val="00C85EFB"/>
    <w:rsid w:val="00C86EE3"/>
    <w:rsid w:val="00C877E4"/>
    <w:rsid w:val="00C87954"/>
    <w:rsid w:val="00C87CCE"/>
    <w:rsid w:val="00C87E29"/>
    <w:rsid w:val="00C90B72"/>
    <w:rsid w:val="00C90E80"/>
    <w:rsid w:val="00C90F70"/>
    <w:rsid w:val="00C91354"/>
    <w:rsid w:val="00C91688"/>
    <w:rsid w:val="00C9170F"/>
    <w:rsid w:val="00C92049"/>
    <w:rsid w:val="00C92FDF"/>
    <w:rsid w:val="00C92FEF"/>
    <w:rsid w:val="00C93D51"/>
    <w:rsid w:val="00C948A8"/>
    <w:rsid w:val="00C94D7F"/>
    <w:rsid w:val="00C954A0"/>
    <w:rsid w:val="00C955E1"/>
    <w:rsid w:val="00C958EC"/>
    <w:rsid w:val="00C959C7"/>
    <w:rsid w:val="00C95E6D"/>
    <w:rsid w:val="00C96126"/>
    <w:rsid w:val="00C9670B"/>
    <w:rsid w:val="00C96779"/>
    <w:rsid w:val="00C967DB"/>
    <w:rsid w:val="00C97DEC"/>
    <w:rsid w:val="00C97E99"/>
    <w:rsid w:val="00CA0131"/>
    <w:rsid w:val="00CA023D"/>
    <w:rsid w:val="00CA0C6F"/>
    <w:rsid w:val="00CA0CF6"/>
    <w:rsid w:val="00CA131B"/>
    <w:rsid w:val="00CA1333"/>
    <w:rsid w:val="00CA18AF"/>
    <w:rsid w:val="00CA1D51"/>
    <w:rsid w:val="00CA2092"/>
    <w:rsid w:val="00CA28BF"/>
    <w:rsid w:val="00CA2D4A"/>
    <w:rsid w:val="00CA33A8"/>
    <w:rsid w:val="00CA387A"/>
    <w:rsid w:val="00CA49D4"/>
    <w:rsid w:val="00CA525B"/>
    <w:rsid w:val="00CA5286"/>
    <w:rsid w:val="00CA52AB"/>
    <w:rsid w:val="00CA5758"/>
    <w:rsid w:val="00CA5921"/>
    <w:rsid w:val="00CA5E7E"/>
    <w:rsid w:val="00CA605F"/>
    <w:rsid w:val="00CA6446"/>
    <w:rsid w:val="00CA64AD"/>
    <w:rsid w:val="00CA67E1"/>
    <w:rsid w:val="00CA71E2"/>
    <w:rsid w:val="00CA7933"/>
    <w:rsid w:val="00CA79DF"/>
    <w:rsid w:val="00CA7D1B"/>
    <w:rsid w:val="00CA7D62"/>
    <w:rsid w:val="00CB0069"/>
    <w:rsid w:val="00CB0651"/>
    <w:rsid w:val="00CB0B52"/>
    <w:rsid w:val="00CB0BF8"/>
    <w:rsid w:val="00CB154A"/>
    <w:rsid w:val="00CB1E21"/>
    <w:rsid w:val="00CB2240"/>
    <w:rsid w:val="00CB2357"/>
    <w:rsid w:val="00CB281D"/>
    <w:rsid w:val="00CB2D95"/>
    <w:rsid w:val="00CB3AEB"/>
    <w:rsid w:val="00CB3EB6"/>
    <w:rsid w:val="00CB4043"/>
    <w:rsid w:val="00CB4451"/>
    <w:rsid w:val="00CB4678"/>
    <w:rsid w:val="00CB4C5C"/>
    <w:rsid w:val="00CB4D7C"/>
    <w:rsid w:val="00CB549A"/>
    <w:rsid w:val="00CB5BE2"/>
    <w:rsid w:val="00CB5BE3"/>
    <w:rsid w:val="00CB5E21"/>
    <w:rsid w:val="00CB6096"/>
    <w:rsid w:val="00CB6AF2"/>
    <w:rsid w:val="00CB6C1A"/>
    <w:rsid w:val="00CB721E"/>
    <w:rsid w:val="00CB7323"/>
    <w:rsid w:val="00CC01A9"/>
    <w:rsid w:val="00CC0320"/>
    <w:rsid w:val="00CC08BC"/>
    <w:rsid w:val="00CC0E25"/>
    <w:rsid w:val="00CC1102"/>
    <w:rsid w:val="00CC15F1"/>
    <w:rsid w:val="00CC262D"/>
    <w:rsid w:val="00CC31A0"/>
    <w:rsid w:val="00CC3390"/>
    <w:rsid w:val="00CC4633"/>
    <w:rsid w:val="00CC4A20"/>
    <w:rsid w:val="00CC54A3"/>
    <w:rsid w:val="00CC54E7"/>
    <w:rsid w:val="00CC5858"/>
    <w:rsid w:val="00CC5B29"/>
    <w:rsid w:val="00CC5D54"/>
    <w:rsid w:val="00CC654A"/>
    <w:rsid w:val="00CC6890"/>
    <w:rsid w:val="00CC6C70"/>
    <w:rsid w:val="00CC6D56"/>
    <w:rsid w:val="00CC70EC"/>
    <w:rsid w:val="00CC7457"/>
    <w:rsid w:val="00CC75C2"/>
    <w:rsid w:val="00CC75D2"/>
    <w:rsid w:val="00CC7674"/>
    <w:rsid w:val="00CD03B4"/>
    <w:rsid w:val="00CD083C"/>
    <w:rsid w:val="00CD0B09"/>
    <w:rsid w:val="00CD0F5E"/>
    <w:rsid w:val="00CD122D"/>
    <w:rsid w:val="00CD14D2"/>
    <w:rsid w:val="00CD193D"/>
    <w:rsid w:val="00CD1AEC"/>
    <w:rsid w:val="00CD1E8B"/>
    <w:rsid w:val="00CD20BB"/>
    <w:rsid w:val="00CD21DC"/>
    <w:rsid w:val="00CD2309"/>
    <w:rsid w:val="00CD25B3"/>
    <w:rsid w:val="00CD2805"/>
    <w:rsid w:val="00CD2FBA"/>
    <w:rsid w:val="00CD33A7"/>
    <w:rsid w:val="00CD36D3"/>
    <w:rsid w:val="00CD379C"/>
    <w:rsid w:val="00CD37DC"/>
    <w:rsid w:val="00CD37FF"/>
    <w:rsid w:val="00CD4470"/>
    <w:rsid w:val="00CD515C"/>
    <w:rsid w:val="00CD51D8"/>
    <w:rsid w:val="00CD55B5"/>
    <w:rsid w:val="00CD573A"/>
    <w:rsid w:val="00CD5A44"/>
    <w:rsid w:val="00CD5BBF"/>
    <w:rsid w:val="00CD6A1E"/>
    <w:rsid w:val="00CD7258"/>
    <w:rsid w:val="00CD7977"/>
    <w:rsid w:val="00CE0A50"/>
    <w:rsid w:val="00CE0E6F"/>
    <w:rsid w:val="00CE0EC8"/>
    <w:rsid w:val="00CE0F80"/>
    <w:rsid w:val="00CE0FA7"/>
    <w:rsid w:val="00CE120C"/>
    <w:rsid w:val="00CE140A"/>
    <w:rsid w:val="00CE1683"/>
    <w:rsid w:val="00CE1F7B"/>
    <w:rsid w:val="00CE21FE"/>
    <w:rsid w:val="00CE229E"/>
    <w:rsid w:val="00CE29A9"/>
    <w:rsid w:val="00CE2E21"/>
    <w:rsid w:val="00CE3057"/>
    <w:rsid w:val="00CE30F1"/>
    <w:rsid w:val="00CE3159"/>
    <w:rsid w:val="00CE31D2"/>
    <w:rsid w:val="00CE39F0"/>
    <w:rsid w:val="00CE4807"/>
    <w:rsid w:val="00CE4A32"/>
    <w:rsid w:val="00CE50F5"/>
    <w:rsid w:val="00CE5159"/>
    <w:rsid w:val="00CE5433"/>
    <w:rsid w:val="00CE5484"/>
    <w:rsid w:val="00CE5BEC"/>
    <w:rsid w:val="00CE6163"/>
    <w:rsid w:val="00CE6837"/>
    <w:rsid w:val="00CE68B5"/>
    <w:rsid w:val="00CE69F4"/>
    <w:rsid w:val="00CE718D"/>
    <w:rsid w:val="00CE724C"/>
    <w:rsid w:val="00CE7740"/>
    <w:rsid w:val="00CE7CA2"/>
    <w:rsid w:val="00CE7F9D"/>
    <w:rsid w:val="00CF026C"/>
    <w:rsid w:val="00CF0963"/>
    <w:rsid w:val="00CF09B9"/>
    <w:rsid w:val="00CF0A9A"/>
    <w:rsid w:val="00CF19B2"/>
    <w:rsid w:val="00CF1D5E"/>
    <w:rsid w:val="00CF2477"/>
    <w:rsid w:val="00CF26FC"/>
    <w:rsid w:val="00CF327A"/>
    <w:rsid w:val="00CF3417"/>
    <w:rsid w:val="00CF3504"/>
    <w:rsid w:val="00CF3571"/>
    <w:rsid w:val="00CF35B7"/>
    <w:rsid w:val="00CF3811"/>
    <w:rsid w:val="00CF3C01"/>
    <w:rsid w:val="00CF3E01"/>
    <w:rsid w:val="00CF423A"/>
    <w:rsid w:val="00CF44E6"/>
    <w:rsid w:val="00CF4900"/>
    <w:rsid w:val="00CF4BC2"/>
    <w:rsid w:val="00CF4CCC"/>
    <w:rsid w:val="00CF5125"/>
    <w:rsid w:val="00CF5B10"/>
    <w:rsid w:val="00CF5E3B"/>
    <w:rsid w:val="00CF63E0"/>
    <w:rsid w:val="00CF6540"/>
    <w:rsid w:val="00CF6B70"/>
    <w:rsid w:val="00CF7655"/>
    <w:rsid w:val="00CF792C"/>
    <w:rsid w:val="00CF7979"/>
    <w:rsid w:val="00CF7AD0"/>
    <w:rsid w:val="00CF7EF8"/>
    <w:rsid w:val="00CF7FDB"/>
    <w:rsid w:val="00D000BF"/>
    <w:rsid w:val="00D002B4"/>
    <w:rsid w:val="00D005AB"/>
    <w:rsid w:val="00D00864"/>
    <w:rsid w:val="00D010CD"/>
    <w:rsid w:val="00D01927"/>
    <w:rsid w:val="00D01C5E"/>
    <w:rsid w:val="00D02648"/>
    <w:rsid w:val="00D02C53"/>
    <w:rsid w:val="00D02CC5"/>
    <w:rsid w:val="00D032BC"/>
    <w:rsid w:val="00D03416"/>
    <w:rsid w:val="00D034C9"/>
    <w:rsid w:val="00D037B8"/>
    <w:rsid w:val="00D04210"/>
    <w:rsid w:val="00D042FA"/>
    <w:rsid w:val="00D04417"/>
    <w:rsid w:val="00D049C1"/>
    <w:rsid w:val="00D04CF7"/>
    <w:rsid w:val="00D05688"/>
    <w:rsid w:val="00D0632C"/>
    <w:rsid w:val="00D06746"/>
    <w:rsid w:val="00D069E3"/>
    <w:rsid w:val="00D0789F"/>
    <w:rsid w:val="00D07BC0"/>
    <w:rsid w:val="00D101B3"/>
    <w:rsid w:val="00D10256"/>
    <w:rsid w:val="00D102E5"/>
    <w:rsid w:val="00D107DB"/>
    <w:rsid w:val="00D10AAA"/>
    <w:rsid w:val="00D10AE7"/>
    <w:rsid w:val="00D10CC4"/>
    <w:rsid w:val="00D116F6"/>
    <w:rsid w:val="00D1172D"/>
    <w:rsid w:val="00D11798"/>
    <w:rsid w:val="00D117D6"/>
    <w:rsid w:val="00D11E06"/>
    <w:rsid w:val="00D129E9"/>
    <w:rsid w:val="00D12A83"/>
    <w:rsid w:val="00D1322B"/>
    <w:rsid w:val="00D133EA"/>
    <w:rsid w:val="00D13A46"/>
    <w:rsid w:val="00D13B26"/>
    <w:rsid w:val="00D13CFB"/>
    <w:rsid w:val="00D13EB5"/>
    <w:rsid w:val="00D14111"/>
    <w:rsid w:val="00D1441E"/>
    <w:rsid w:val="00D1495C"/>
    <w:rsid w:val="00D14B33"/>
    <w:rsid w:val="00D15009"/>
    <w:rsid w:val="00D151A3"/>
    <w:rsid w:val="00D151A7"/>
    <w:rsid w:val="00D15A92"/>
    <w:rsid w:val="00D15F45"/>
    <w:rsid w:val="00D15F9A"/>
    <w:rsid w:val="00D172F1"/>
    <w:rsid w:val="00D174E3"/>
    <w:rsid w:val="00D1778D"/>
    <w:rsid w:val="00D1781D"/>
    <w:rsid w:val="00D201B5"/>
    <w:rsid w:val="00D2124A"/>
    <w:rsid w:val="00D21496"/>
    <w:rsid w:val="00D214FB"/>
    <w:rsid w:val="00D21985"/>
    <w:rsid w:val="00D21F3C"/>
    <w:rsid w:val="00D22EC3"/>
    <w:rsid w:val="00D22ED2"/>
    <w:rsid w:val="00D232B6"/>
    <w:rsid w:val="00D23421"/>
    <w:rsid w:val="00D23614"/>
    <w:rsid w:val="00D23E08"/>
    <w:rsid w:val="00D248FA"/>
    <w:rsid w:val="00D24C65"/>
    <w:rsid w:val="00D251D3"/>
    <w:rsid w:val="00D2530C"/>
    <w:rsid w:val="00D25AC9"/>
    <w:rsid w:val="00D25E28"/>
    <w:rsid w:val="00D25F87"/>
    <w:rsid w:val="00D2641A"/>
    <w:rsid w:val="00D26A0D"/>
    <w:rsid w:val="00D271BF"/>
    <w:rsid w:val="00D274CD"/>
    <w:rsid w:val="00D278D2"/>
    <w:rsid w:val="00D305D1"/>
    <w:rsid w:val="00D30FF6"/>
    <w:rsid w:val="00D31528"/>
    <w:rsid w:val="00D315B8"/>
    <w:rsid w:val="00D31D7B"/>
    <w:rsid w:val="00D322F9"/>
    <w:rsid w:val="00D3235A"/>
    <w:rsid w:val="00D32450"/>
    <w:rsid w:val="00D326FC"/>
    <w:rsid w:val="00D32DC6"/>
    <w:rsid w:val="00D332DD"/>
    <w:rsid w:val="00D33819"/>
    <w:rsid w:val="00D33AD6"/>
    <w:rsid w:val="00D343BC"/>
    <w:rsid w:val="00D3440B"/>
    <w:rsid w:val="00D34715"/>
    <w:rsid w:val="00D34993"/>
    <w:rsid w:val="00D34DA8"/>
    <w:rsid w:val="00D34E8A"/>
    <w:rsid w:val="00D35553"/>
    <w:rsid w:val="00D35A00"/>
    <w:rsid w:val="00D35C18"/>
    <w:rsid w:val="00D363F8"/>
    <w:rsid w:val="00D36403"/>
    <w:rsid w:val="00D364A6"/>
    <w:rsid w:val="00D3684E"/>
    <w:rsid w:val="00D3696C"/>
    <w:rsid w:val="00D37740"/>
    <w:rsid w:val="00D37B52"/>
    <w:rsid w:val="00D4051C"/>
    <w:rsid w:val="00D40675"/>
    <w:rsid w:val="00D4082C"/>
    <w:rsid w:val="00D40D96"/>
    <w:rsid w:val="00D40F81"/>
    <w:rsid w:val="00D4171A"/>
    <w:rsid w:val="00D41CD2"/>
    <w:rsid w:val="00D422A7"/>
    <w:rsid w:val="00D422DE"/>
    <w:rsid w:val="00D4275E"/>
    <w:rsid w:val="00D42C7B"/>
    <w:rsid w:val="00D42D57"/>
    <w:rsid w:val="00D42F30"/>
    <w:rsid w:val="00D4312C"/>
    <w:rsid w:val="00D43947"/>
    <w:rsid w:val="00D44683"/>
    <w:rsid w:val="00D4490A"/>
    <w:rsid w:val="00D45193"/>
    <w:rsid w:val="00D455F7"/>
    <w:rsid w:val="00D45860"/>
    <w:rsid w:val="00D458FD"/>
    <w:rsid w:val="00D45903"/>
    <w:rsid w:val="00D4594F"/>
    <w:rsid w:val="00D45F63"/>
    <w:rsid w:val="00D462C4"/>
    <w:rsid w:val="00D46430"/>
    <w:rsid w:val="00D4706C"/>
    <w:rsid w:val="00D47486"/>
    <w:rsid w:val="00D477BB"/>
    <w:rsid w:val="00D47A2F"/>
    <w:rsid w:val="00D47CDF"/>
    <w:rsid w:val="00D50137"/>
    <w:rsid w:val="00D507D9"/>
    <w:rsid w:val="00D50BCD"/>
    <w:rsid w:val="00D5107B"/>
    <w:rsid w:val="00D510D8"/>
    <w:rsid w:val="00D51292"/>
    <w:rsid w:val="00D515EB"/>
    <w:rsid w:val="00D51855"/>
    <w:rsid w:val="00D518DC"/>
    <w:rsid w:val="00D52191"/>
    <w:rsid w:val="00D527DA"/>
    <w:rsid w:val="00D5288E"/>
    <w:rsid w:val="00D52BF7"/>
    <w:rsid w:val="00D53015"/>
    <w:rsid w:val="00D533C3"/>
    <w:rsid w:val="00D534D6"/>
    <w:rsid w:val="00D53AB9"/>
    <w:rsid w:val="00D53DB0"/>
    <w:rsid w:val="00D53E66"/>
    <w:rsid w:val="00D54700"/>
    <w:rsid w:val="00D54830"/>
    <w:rsid w:val="00D54E8C"/>
    <w:rsid w:val="00D56543"/>
    <w:rsid w:val="00D567CB"/>
    <w:rsid w:val="00D56AE2"/>
    <w:rsid w:val="00D57022"/>
    <w:rsid w:val="00D57909"/>
    <w:rsid w:val="00D57BD2"/>
    <w:rsid w:val="00D60160"/>
    <w:rsid w:val="00D605EE"/>
    <w:rsid w:val="00D60688"/>
    <w:rsid w:val="00D60D7C"/>
    <w:rsid w:val="00D612D0"/>
    <w:rsid w:val="00D617CA"/>
    <w:rsid w:val="00D61BA5"/>
    <w:rsid w:val="00D62122"/>
    <w:rsid w:val="00D622FA"/>
    <w:rsid w:val="00D6258B"/>
    <w:rsid w:val="00D6265D"/>
    <w:rsid w:val="00D62826"/>
    <w:rsid w:val="00D6292F"/>
    <w:rsid w:val="00D637CC"/>
    <w:rsid w:val="00D63892"/>
    <w:rsid w:val="00D63B00"/>
    <w:rsid w:val="00D63B03"/>
    <w:rsid w:val="00D64506"/>
    <w:rsid w:val="00D64AE8"/>
    <w:rsid w:val="00D64B2C"/>
    <w:rsid w:val="00D64EED"/>
    <w:rsid w:val="00D65A7E"/>
    <w:rsid w:val="00D65B29"/>
    <w:rsid w:val="00D65DA5"/>
    <w:rsid w:val="00D664E5"/>
    <w:rsid w:val="00D667A4"/>
    <w:rsid w:val="00D6685C"/>
    <w:rsid w:val="00D66B2D"/>
    <w:rsid w:val="00D66B65"/>
    <w:rsid w:val="00D66D52"/>
    <w:rsid w:val="00D67176"/>
    <w:rsid w:val="00D6726F"/>
    <w:rsid w:val="00D672AF"/>
    <w:rsid w:val="00D672EF"/>
    <w:rsid w:val="00D67513"/>
    <w:rsid w:val="00D67A7B"/>
    <w:rsid w:val="00D67B42"/>
    <w:rsid w:val="00D70020"/>
    <w:rsid w:val="00D70282"/>
    <w:rsid w:val="00D704DD"/>
    <w:rsid w:val="00D707EA"/>
    <w:rsid w:val="00D709CB"/>
    <w:rsid w:val="00D711A5"/>
    <w:rsid w:val="00D714B2"/>
    <w:rsid w:val="00D717F6"/>
    <w:rsid w:val="00D71A53"/>
    <w:rsid w:val="00D71DAF"/>
    <w:rsid w:val="00D71E52"/>
    <w:rsid w:val="00D71E53"/>
    <w:rsid w:val="00D71FAA"/>
    <w:rsid w:val="00D72496"/>
    <w:rsid w:val="00D72502"/>
    <w:rsid w:val="00D72AA1"/>
    <w:rsid w:val="00D72D20"/>
    <w:rsid w:val="00D72D6A"/>
    <w:rsid w:val="00D72E5B"/>
    <w:rsid w:val="00D73101"/>
    <w:rsid w:val="00D7345A"/>
    <w:rsid w:val="00D7358A"/>
    <w:rsid w:val="00D736B2"/>
    <w:rsid w:val="00D736D1"/>
    <w:rsid w:val="00D736EE"/>
    <w:rsid w:val="00D73ACB"/>
    <w:rsid w:val="00D73E3F"/>
    <w:rsid w:val="00D745EA"/>
    <w:rsid w:val="00D74837"/>
    <w:rsid w:val="00D74A3D"/>
    <w:rsid w:val="00D74AF5"/>
    <w:rsid w:val="00D74E71"/>
    <w:rsid w:val="00D75933"/>
    <w:rsid w:val="00D75B49"/>
    <w:rsid w:val="00D75B4E"/>
    <w:rsid w:val="00D760B9"/>
    <w:rsid w:val="00D760FD"/>
    <w:rsid w:val="00D76AE8"/>
    <w:rsid w:val="00D76CA0"/>
    <w:rsid w:val="00D7729D"/>
    <w:rsid w:val="00D773E8"/>
    <w:rsid w:val="00D775E5"/>
    <w:rsid w:val="00D77DCD"/>
    <w:rsid w:val="00D80C89"/>
    <w:rsid w:val="00D80DF3"/>
    <w:rsid w:val="00D812A5"/>
    <w:rsid w:val="00D81319"/>
    <w:rsid w:val="00D813B3"/>
    <w:rsid w:val="00D815F7"/>
    <w:rsid w:val="00D82F37"/>
    <w:rsid w:val="00D830BA"/>
    <w:rsid w:val="00D83230"/>
    <w:rsid w:val="00D834E6"/>
    <w:rsid w:val="00D83886"/>
    <w:rsid w:val="00D83BA4"/>
    <w:rsid w:val="00D83E06"/>
    <w:rsid w:val="00D84063"/>
    <w:rsid w:val="00D842FE"/>
    <w:rsid w:val="00D845DD"/>
    <w:rsid w:val="00D84B3A"/>
    <w:rsid w:val="00D84F51"/>
    <w:rsid w:val="00D85333"/>
    <w:rsid w:val="00D8540E"/>
    <w:rsid w:val="00D86348"/>
    <w:rsid w:val="00D8683E"/>
    <w:rsid w:val="00D86850"/>
    <w:rsid w:val="00D86D65"/>
    <w:rsid w:val="00D87038"/>
    <w:rsid w:val="00D87298"/>
    <w:rsid w:val="00D87579"/>
    <w:rsid w:val="00D879E3"/>
    <w:rsid w:val="00D87CB3"/>
    <w:rsid w:val="00D90311"/>
    <w:rsid w:val="00D9056B"/>
    <w:rsid w:val="00D90818"/>
    <w:rsid w:val="00D90A3D"/>
    <w:rsid w:val="00D90E72"/>
    <w:rsid w:val="00D91692"/>
    <w:rsid w:val="00D919A4"/>
    <w:rsid w:val="00D91A4F"/>
    <w:rsid w:val="00D91DB4"/>
    <w:rsid w:val="00D91F5D"/>
    <w:rsid w:val="00D927E2"/>
    <w:rsid w:val="00D92938"/>
    <w:rsid w:val="00D929CA"/>
    <w:rsid w:val="00D93166"/>
    <w:rsid w:val="00D9371A"/>
    <w:rsid w:val="00D940C0"/>
    <w:rsid w:val="00D94180"/>
    <w:rsid w:val="00D94FDB"/>
    <w:rsid w:val="00D95819"/>
    <w:rsid w:val="00D95B0D"/>
    <w:rsid w:val="00D95E8E"/>
    <w:rsid w:val="00D9612A"/>
    <w:rsid w:val="00D964F6"/>
    <w:rsid w:val="00D96AC0"/>
    <w:rsid w:val="00D97293"/>
    <w:rsid w:val="00D97471"/>
    <w:rsid w:val="00D97C68"/>
    <w:rsid w:val="00DA00CD"/>
    <w:rsid w:val="00DA08F4"/>
    <w:rsid w:val="00DA0EB5"/>
    <w:rsid w:val="00DA0F47"/>
    <w:rsid w:val="00DA0F5B"/>
    <w:rsid w:val="00DA0FB6"/>
    <w:rsid w:val="00DA1263"/>
    <w:rsid w:val="00DA1521"/>
    <w:rsid w:val="00DA1AA4"/>
    <w:rsid w:val="00DA2D3A"/>
    <w:rsid w:val="00DA324A"/>
    <w:rsid w:val="00DA3413"/>
    <w:rsid w:val="00DA37E4"/>
    <w:rsid w:val="00DA3857"/>
    <w:rsid w:val="00DA38D2"/>
    <w:rsid w:val="00DA39D7"/>
    <w:rsid w:val="00DA46B2"/>
    <w:rsid w:val="00DA4A6C"/>
    <w:rsid w:val="00DA4BB8"/>
    <w:rsid w:val="00DA4DA8"/>
    <w:rsid w:val="00DA534E"/>
    <w:rsid w:val="00DA58A0"/>
    <w:rsid w:val="00DA6241"/>
    <w:rsid w:val="00DA6B73"/>
    <w:rsid w:val="00DA6CB2"/>
    <w:rsid w:val="00DA6E28"/>
    <w:rsid w:val="00DA7D60"/>
    <w:rsid w:val="00DA7F34"/>
    <w:rsid w:val="00DB01C8"/>
    <w:rsid w:val="00DB0ABE"/>
    <w:rsid w:val="00DB1175"/>
    <w:rsid w:val="00DB12DB"/>
    <w:rsid w:val="00DB12F0"/>
    <w:rsid w:val="00DB13B8"/>
    <w:rsid w:val="00DB17AE"/>
    <w:rsid w:val="00DB206A"/>
    <w:rsid w:val="00DB2557"/>
    <w:rsid w:val="00DB2F80"/>
    <w:rsid w:val="00DB32C2"/>
    <w:rsid w:val="00DB3CD0"/>
    <w:rsid w:val="00DB3CFF"/>
    <w:rsid w:val="00DB3DCA"/>
    <w:rsid w:val="00DB433E"/>
    <w:rsid w:val="00DB4C2C"/>
    <w:rsid w:val="00DB5156"/>
    <w:rsid w:val="00DB5230"/>
    <w:rsid w:val="00DB52C3"/>
    <w:rsid w:val="00DB597A"/>
    <w:rsid w:val="00DB65D8"/>
    <w:rsid w:val="00DB6A3B"/>
    <w:rsid w:val="00DB6B60"/>
    <w:rsid w:val="00DB7037"/>
    <w:rsid w:val="00DB707E"/>
    <w:rsid w:val="00DB71AA"/>
    <w:rsid w:val="00DB77CF"/>
    <w:rsid w:val="00DB7B0B"/>
    <w:rsid w:val="00DB7D14"/>
    <w:rsid w:val="00DB7D96"/>
    <w:rsid w:val="00DB7E75"/>
    <w:rsid w:val="00DC0403"/>
    <w:rsid w:val="00DC04B6"/>
    <w:rsid w:val="00DC052E"/>
    <w:rsid w:val="00DC0683"/>
    <w:rsid w:val="00DC0832"/>
    <w:rsid w:val="00DC08F1"/>
    <w:rsid w:val="00DC097E"/>
    <w:rsid w:val="00DC0BB8"/>
    <w:rsid w:val="00DC10AC"/>
    <w:rsid w:val="00DC1521"/>
    <w:rsid w:val="00DC1AC8"/>
    <w:rsid w:val="00DC1AEB"/>
    <w:rsid w:val="00DC1DCB"/>
    <w:rsid w:val="00DC1F54"/>
    <w:rsid w:val="00DC27E1"/>
    <w:rsid w:val="00DC2949"/>
    <w:rsid w:val="00DC295F"/>
    <w:rsid w:val="00DC2ACD"/>
    <w:rsid w:val="00DC3343"/>
    <w:rsid w:val="00DC3386"/>
    <w:rsid w:val="00DC3C81"/>
    <w:rsid w:val="00DC4995"/>
    <w:rsid w:val="00DC49E4"/>
    <w:rsid w:val="00DC4D5E"/>
    <w:rsid w:val="00DC4D75"/>
    <w:rsid w:val="00DC50C5"/>
    <w:rsid w:val="00DC56A3"/>
    <w:rsid w:val="00DC5763"/>
    <w:rsid w:val="00DC6013"/>
    <w:rsid w:val="00DC61D1"/>
    <w:rsid w:val="00DC69F1"/>
    <w:rsid w:val="00DC6BB0"/>
    <w:rsid w:val="00DC7598"/>
    <w:rsid w:val="00DC7638"/>
    <w:rsid w:val="00DC7A03"/>
    <w:rsid w:val="00DC7CF6"/>
    <w:rsid w:val="00DC7DE4"/>
    <w:rsid w:val="00DC7E61"/>
    <w:rsid w:val="00DD0942"/>
    <w:rsid w:val="00DD0DD8"/>
    <w:rsid w:val="00DD0E9B"/>
    <w:rsid w:val="00DD1148"/>
    <w:rsid w:val="00DD199E"/>
    <w:rsid w:val="00DD2101"/>
    <w:rsid w:val="00DD2296"/>
    <w:rsid w:val="00DD2581"/>
    <w:rsid w:val="00DD3394"/>
    <w:rsid w:val="00DD3829"/>
    <w:rsid w:val="00DD3FA6"/>
    <w:rsid w:val="00DD4512"/>
    <w:rsid w:val="00DD48CC"/>
    <w:rsid w:val="00DD494A"/>
    <w:rsid w:val="00DD4DA0"/>
    <w:rsid w:val="00DD537D"/>
    <w:rsid w:val="00DD58B4"/>
    <w:rsid w:val="00DD5A8F"/>
    <w:rsid w:val="00DD6099"/>
    <w:rsid w:val="00DD61DB"/>
    <w:rsid w:val="00DD6C9C"/>
    <w:rsid w:val="00DD7421"/>
    <w:rsid w:val="00DD74D5"/>
    <w:rsid w:val="00DD7669"/>
    <w:rsid w:val="00DD7B5A"/>
    <w:rsid w:val="00DE06E7"/>
    <w:rsid w:val="00DE075B"/>
    <w:rsid w:val="00DE0B58"/>
    <w:rsid w:val="00DE10FA"/>
    <w:rsid w:val="00DE1200"/>
    <w:rsid w:val="00DE17DE"/>
    <w:rsid w:val="00DE1E71"/>
    <w:rsid w:val="00DE256C"/>
    <w:rsid w:val="00DE25DE"/>
    <w:rsid w:val="00DE2DAE"/>
    <w:rsid w:val="00DE33DA"/>
    <w:rsid w:val="00DE3AAF"/>
    <w:rsid w:val="00DE3F5C"/>
    <w:rsid w:val="00DE45C8"/>
    <w:rsid w:val="00DE5135"/>
    <w:rsid w:val="00DE5896"/>
    <w:rsid w:val="00DE5D2A"/>
    <w:rsid w:val="00DE6627"/>
    <w:rsid w:val="00DE66EB"/>
    <w:rsid w:val="00DE6CD9"/>
    <w:rsid w:val="00DE6E10"/>
    <w:rsid w:val="00DE6FC3"/>
    <w:rsid w:val="00DE708C"/>
    <w:rsid w:val="00DE7105"/>
    <w:rsid w:val="00DE74F4"/>
    <w:rsid w:val="00DE792C"/>
    <w:rsid w:val="00DF0433"/>
    <w:rsid w:val="00DF0DAC"/>
    <w:rsid w:val="00DF1AD1"/>
    <w:rsid w:val="00DF21AF"/>
    <w:rsid w:val="00DF221C"/>
    <w:rsid w:val="00DF2652"/>
    <w:rsid w:val="00DF2CD9"/>
    <w:rsid w:val="00DF34F3"/>
    <w:rsid w:val="00DF3AC1"/>
    <w:rsid w:val="00DF3CB1"/>
    <w:rsid w:val="00DF4FD0"/>
    <w:rsid w:val="00DF5E75"/>
    <w:rsid w:val="00DF6014"/>
    <w:rsid w:val="00DF60A6"/>
    <w:rsid w:val="00DF619C"/>
    <w:rsid w:val="00DF6737"/>
    <w:rsid w:val="00DF6E46"/>
    <w:rsid w:val="00E002C6"/>
    <w:rsid w:val="00E0031F"/>
    <w:rsid w:val="00E00568"/>
    <w:rsid w:val="00E00864"/>
    <w:rsid w:val="00E01322"/>
    <w:rsid w:val="00E0135E"/>
    <w:rsid w:val="00E01567"/>
    <w:rsid w:val="00E01B0A"/>
    <w:rsid w:val="00E01BF0"/>
    <w:rsid w:val="00E03052"/>
    <w:rsid w:val="00E034E2"/>
    <w:rsid w:val="00E03A04"/>
    <w:rsid w:val="00E041CD"/>
    <w:rsid w:val="00E04699"/>
    <w:rsid w:val="00E04875"/>
    <w:rsid w:val="00E04920"/>
    <w:rsid w:val="00E057CC"/>
    <w:rsid w:val="00E05922"/>
    <w:rsid w:val="00E05BBE"/>
    <w:rsid w:val="00E0645C"/>
    <w:rsid w:val="00E06472"/>
    <w:rsid w:val="00E06492"/>
    <w:rsid w:val="00E064BB"/>
    <w:rsid w:val="00E06643"/>
    <w:rsid w:val="00E06B6E"/>
    <w:rsid w:val="00E06B90"/>
    <w:rsid w:val="00E06E6C"/>
    <w:rsid w:val="00E07380"/>
    <w:rsid w:val="00E07C36"/>
    <w:rsid w:val="00E1074A"/>
    <w:rsid w:val="00E10C9F"/>
    <w:rsid w:val="00E10DE0"/>
    <w:rsid w:val="00E11820"/>
    <w:rsid w:val="00E11AA3"/>
    <w:rsid w:val="00E11E60"/>
    <w:rsid w:val="00E12AE1"/>
    <w:rsid w:val="00E12D66"/>
    <w:rsid w:val="00E12FB5"/>
    <w:rsid w:val="00E130BF"/>
    <w:rsid w:val="00E13618"/>
    <w:rsid w:val="00E13775"/>
    <w:rsid w:val="00E13920"/>
    <w:rsid w:val="00E13E1E"/>
    <w:rsid w:val="00E13F1C"/>
    <w:rsid w:val="00E1463B"/>
    <w:rsid w:val="00E147D5"/>
    <w:rsid w:val="00E1488B"/>
    <w:rsid w:val="00E14B75"/>
    <w:rsid w:val="00E14FF1"/>
    <w:rsid w:val="00E15123"/>
    <w:rsid w:val="00E1518B"/>
    <w:rsid w:val="00E1549E"/>
    <w:rsid w:val="00E1570B"/>
    <w:rsid w:val="00E157A3"/>
    <w:rsid w:val="00E15A9D"/>
    <w:rsid w:val="00E15AAD"/>
    <w:rsid w:val="00E160F4"/>
    <w:rsid w:val="00E16BBE"/>
    <w:rsid w:val="00E17107"/>
    <w:rsid w:val="00E1722D"/>
    <w:rsid w:val="00E17361"/>
    <w:rsid w:val="00E17668"/>
    <w:rsid w:val="00E216FD"/>
    <w:rsid w:val="00E21CE7"/>
    <w:rsid w:val="00E221EE"/>
    <w:rsid w:val="00E221F8"/>
    <w:rsid w:val="00E226E7"/>
    <w:rsid w:val="00E22B64"/>
    <w:rsid w:val="00E23341"/>
    <w:rsid w:val="00E236C6"/>
    <w:rsid w:val="00E239F7"/>
    <w:rsid w:val="00E23AFE"/>
    <w:rsid w:val="00E24459"/>
    <w:rsid w:val="00E24830"/>
    <w:rsid w:val="00E248E5"/>
    <w:rsid w:val="00E24D8C"/>
    <w:rsid w:val="00E24DDA"/>
    <w:rsid w:val="00E253A2"/>
    <w:rsid w:val="00E258F8"/>
    <w:rsid w:val="00E25938"/>
    <w:rsid w:val="00E25DC8"/>
    <w:rsid w:val="00E2610A"/>
    <w:rsid w:val="00E261D8"/>
    <w:rsid w:val="00E26730"/>
    <w:rsid w:val="00E26B9C"/>
    <w:rsid w:val="00E27555"/>
    <w:rsid w:val="00E277D0"/>
    <w:rsid w:val="00E27997"/>
    <w:rsid w:val="00E27AF3"/>
    <w:rsid w:val="00E27E29"/>
    <w:rsid w:val="00E30049"/>
    <w:rsid w:val="00E30148"/>
    <w:rsid w:val="00E30F41"/>
    <w:rsid w:val="00E31379"/>
    <w:rsid w:val="00E31A12"/>
    <w:rsid w:val="00E31AB4"/>
    <w:rsid w:val="00E31D61"/>
    <w:rsid w:val="00E31E2A"/>
    <w:rsid w:val="00E31E62"/>
    <w:rsid w:val="00E31F97"/>
    <w:rsid w:val="00E3243B"/>
    <w:rsid w:val="00E32824"/>
    <w:rsid w:val="00E32A6B"/>
    <w:rsid w:val="00E32E29"/>
    <w:rsid w:val="00E32E84"/>
    <w:rsid w:val="00E332D6"/>
    <w:rsid w:val="00E3344B"/>
    <w:rsid w:val="00E336F5"/>
    <w:rsid w:val="00E337D3"/>
    <w:rsid w:val="00E33DB2"/>
    <w:rsid w:val="00E340A9"/>
    <w:rsid w:val="00E3429D"/>
    <w:rsid w:val="00E34530"/>
    <w:rsid w:val="00E35090"/>
    <w:rsid w:val="00E360C0"/>
    <w:rsid w:val="00E36A48"/>
    <w:rsid w:val="00E36DCD"/>
    <w:rsid w:val="00E36DF1"/>
    <w:rsid w:val="00E375EC"/>
    <w:rsid w:val="00E3760F"/>
    <w:rsid w:val="00E37CA8"/>
    <w:rsid w:val="00E40762"/>
    <w:rsid w:val="00E40902"/>
    <w:rsid w:val="00E40D99"/>
    <w:rsid w:val="00E422EE"/>
    <w:rsid w:val="00E42750"/>
    <w:rsid w:val="00E428B1"/>
    <w:rsid w:val="00E42E02"/>
    <w:rsid w:val="00E4346F"/>
    <w:rsid w:val="00E43592"/>
    <w:rsid w:val="00E439E8"/>
    <w:rsid w:val="00E446E3"/>
    <w:rsid w:val="00E4472D"/>
    <w:rsid w:val="00E44845"/>
    <w:rsid w:val="00E44EB6"/>
    <w:rsid w:val="00E44FB7"/>
    <w:rsid w:val="00E44FFA"/>
    <w:rsid w:val="00E453B4"/>
    <w:rsid w:val="00E45430"/>
    <w:rsid w:val="00E45760"/>
    <w:rsid w:val="00E4588B"/>
    <w:rsid w:val="00E459CB"/>
    <w:rsid w:val="00E46070"/>
    <w:rsid w:val="00E464AE"/>
    <w:rsid w:val="00E464ED"/>
    <w:rsid w:val="00E466B0"/>
    <w:rsid w:val="00E4690C"/>
    <w:rsid w:val="00E469F7"/>
    <w:rsid w:val="00E46FFA"/>
    <w:rsid w:val="00E47297"/>
    <w:rsid w:val="00E479CD"/>
    <w:rsid w:val="00E47F28"/>
    <w:rsid w:val="00E508F1"/>
    <w:rsid w:val="00E51366"/>
    <w:rsid w:val="00E518F7"/>
    <w:rsid w:val="00E51AFE"/>
    <w:rsid w:val="00E521C3"/>
    <w:rsid w:val="00E52386"/>
    <w:rsid w:val="00E526EF"/>
    <w:rsid w:val="00E52B2F"/>
    <w:rsid w:val="00E52B3B"/>
    <w:rsid w:val="00E52BB6"/>
    <w:rsid w:val="00E52BD4"/>
    <w:rsid w:val="00E52DE2"/>
    <w:rsid w:val="00E52E1A"/>
    <w:rsid w:val="00E531F2"/>
    <w:rsid w:val="00E53A37"/>
    <w:rsid w:val="00E53B3C"/>
    <w:rsid w:val="00E54071"/>
    <w:rsid w:val="00E54231"/>
    <w:rsid w:val="00E54917"/>
    <w:rsid w:val="00E54B25"/>
    <w:rsid w:val="00E556CC"/>
    <w:rsid w:val="00E55772"/>
    <w:rsid w:val="00E55B20"/>
    <w:rsid w:val="00E55CAC"/>
    <w:rsid w:val="00E55E23"/>
    <w:rsid w:val="00E56475"/>
    <w:rsid w:val="00E56FAB"/>
    <w:rsid w:val="00E570D6"/>
    <w:rsid w:val="00E57331"/>
    <w:rsid w:val="00E57441"/>
    <w:rsid w:val="00E575C9"/>
    <w:rsid w:val="00E57BB3"/>
    <w:rsid w:val="00E603F2"/>
    <w:rsid w:val="00E60A4C"/>
    <w:rsid w:val="00E60E07"/>
    <w:rsid w:val="00E60FAE"/>
    <w:rsid w:val="00E61963"/>
    <w:rsid w:val="00E61E7A"/>
    <w:rsid w:val="00E61F5D"/>
    <w:rsid w:val="00E6229B"/>
    <w:rsid w:val="00E623B5"/>
    <w:rsid w:val="00E629D5"/>
    <w:rsid w:val="00E62ABA"/>
    <w:rsid w:val="00E633BA"/>
    <w:rsid w:val="00E63945"/>
    <w:rsid w:val="00E63CAA"/>
    <w:rsid w:val="00E64299"/>
    <w:rsid w:val="00E64331"/>
    <w:rsid w:val="00E64D32"/>
    <w:rsid w:val="00E64EE9"/>
    <w:rsid w:val="00E656B8"/>
    <w:rsid w:val="00E656BE"/>
    <w:rsid w:val="00E657A8"/>
    <w:rsid w:val="00E65C78"/>
    <w:rsid w:val="00E65CF0"/>
    <w:rsid w:val="00E66504"/>
    <w:rsid w:val="00E66A5B"/>
    <w:rsid w:val="00E66C62"/>
    <w:rsid w:val="00E66C9C"/>
    <w:rsid w:val="00E66F9B"/>
    <w:rsid w:val="00E67521"/>
    <w:rsid w:val="00E6763F"/>
    <w:rsid w:val="00E67791"/>
    <w:rsid w:val="00E6782A"/>
    <w:rsid w:val="00E700FD"/>
    <w:rsid w:val="00E703D3"/>
    <w:rsid w:val="00E70EF3"/>
    <w:rsid w:val="00E7110C"/>
    <w:rsid w:val="00E720F8"/>
    <w:rsid w:val="00E724C6"/>
    <w:rsid w:val="00E726B8"/>
    <w:rsid w:val="00E72819"/>
    <w:rsid w:val="00E72ABE"/>
    <w:rsid w:val="00E72DA5"/>
    <w:rsid w:val="00E72E22"/>
    <w:rsid w:val="00E732FE"/>
    <w:rsid w:val="00E7355F"/>
    <w:rsid w:val="00E737CC"/>
    <w:rsid w:val="00E73AD4"/>
    <w:rsid w:val="00E740D9"/>
    <w:rsid w:val="00E74D0F"/>
    <w:rsid w:val="00E75264"/>
    <w:rsid w:val="00E752F1"/>
    <w:rsid w:val="00E76AB6"/>
    <w:rsid w:val="00E76DD2"/>
    <w:rsid w:val="00E77268"/>
    <w:rsid w:val="00E773B3"/>
    <w:rsid w:val="00E77410"/>
    <w:rsid w:val="00E77C2C"/>
    <w:rsid w:val="00E800FF"/>
    <w:rsid w:val="00E801B9"/>
    <w:rsid w:val="00E80380"/>
    <w:rsid w:val="00E80DD1"/>
    <w:rsid w:val="00E81144"/>
    <w:rsid w:val="00E8170A"/>
    <w:rsid w:val="00E8178E"/>
    <w:rsid w:val="00E81B85"/>
    <w:rsid w:val="00E81F3B"/>
    <w:rsid w:val="00E81F58"/>
    <w:rsid w:val="00E82545"/>
    <w:rsid w:val="00E82AEB"/>
    <w:rsid w:val="00E83395"/>
    <w:rsid w:val="00E833E9"/>
    <w:rsid w:val="00E83404"/>
    <w:rsid w:val="00E83463"/>
    <w:rsid w:val="00E8390A"/>
    <w:rsid w:val="00E8399F"/>
    <w:rsid w:val="00E83DDF"/>
    <w:rsid w:val="00E84135"/>
    <w:rsid w:val="00E8473D"/>
    <w:rsid w:val="00E84CDF"/>
    <w:rsid w:val="00E85253"/>
    <w:rsid w:val="00E85593"/>
    <w:rsid w:val="00E857A7"/>
    <w:rsid w:val="00E858C3"/>
    <w:rsid w:val="00E85F21"/>
    <w:rsid w:val="00E862DF"/>
    <w:rsid w:val="00E863E9"/>
    <w:rsid w:val="00E86F4D"/>
    <w:rsid w:val="00E871B4"/>
    <w:rsid w:val="00E87F86"/>
    <w:rsid w:val="00E90736"/>
    <w:rsid w:val="00E90B48"/>
    <w:rsid w:val="00E90FA6"/>
    <w:rsid w:val="00E91369"/>
    <w:rsid w:val="00E91790"/>
    <w:rsid w:val="00E91F11"/>
    <w:rsid w:val="00E9223D"/>
    <w:rsid w:val="00E92330"/>
    <w:rsid w:val="00E926CF"/>
    <w:rsid w:val="00E92ABD"/>
    <w:rsid w:val="00E92FA8"/>
    <w:rsid w:val="00E930AB"/>
    <w:rsid w:val="00E93702"/>
    <w:rsid w:val="00E93891"/>
    <w:rsid w:val="00E93A67"/>
    <w:rsid w:val="00E93E65"/>
    <w:rsid w:val="00E94111"/>
    <w:rsid w:val="00E944FC"/>
    <w:rsid w:val="00E945AC"/>
    <w:rsid w:val="00E9481D"/>
    <w:rsid w:val="00E94D13"/>
    <w:rsid w:val="00E94DCD"/>
    <w:rsid w:val="00E94E21"/>
    <w:rsid w:val="00E9522A"/>
    <w:rsid w:val="00E9539A"/>
    <w:rsid w:val="00E953AA"/>
    <w:rsid w:val="00E955B4"/>
    <w:rsid w:val="00E95D4B"/>
    <w:rsid w:val="00E95DAE"/>
    <w:rsid w:val="00E9638C"/>
    <w:rsid w:val="00E96B44"/>
    <w:rsid w:val="00E97092"/>
    <w:rsid w:val="00E97155"/>
    <w:rsid w:val="00E97D4A"/>
    <w:rsid w:val="00E97E2C"/>
    <w:rsid w:val="00E97EA3"/>
    <w:rsid w:val="00EA0587"/>
    <w:rsid w:val="00EA0664"/>
    <w:rsid w:val="00EA0E1B"/>
    <w:rsid w:val="00EA0F51"/>
    <w:rsid w:val="00EA1162"/>
    <w:rsid w:val="00EA13D2"/>
    <w:rsid w:val="00EA1A14"/>
    <w:rsid w:val="00EA1AC8"/>
    <w:rsid w:val="00EA1CE4"/>
    <w:rsid w:val="00EA1E81"/>
    <w:rsid w:val="00EA25F5"/>
    <w:rsid w:val="00EA273F"/>
    <w:rsid w:val="00EA2FA6"/>
    <w:rsid w:val="00EA30D8"/>
    <w:rsid w:val="00EA338A"/>
    <w:rsid w:val="00EA34A1"/>
    <w:rsid w:val="00EA35FE"/>
    <w:rsid w:val="00EA4140"/>
    <w:rsid w:val="00EA5195"/>
    <w:rsid w:val="00EA61EC"/>
    <w:rsid w:val="00EA6EDA"/>
    <w:rsid w:val="00EA70E3"/>
    <w:rsid w:val="00EA7746"/>
    <w:rsid w:val="00EA7C7C"/>
    <w:rsid w:val="00EB06D3"/>
    <w:rsid w:val="00EB077B"/>
    <w:rsid w:val="00EB0B52"/>
    <w:rsid w:val="00EB0D55"/>
    <w:rsid w:val="00EB1A89"/>
    <w:rsid w:val="00EB1E58"/>
    <w:rsid w:val="00EB1E6A"/>
    <w:rsid w:val="00EB1F06"/>
    <w:rsid w:val="00EB2079"/>
    <w:rsid w:val="00EB23E1"/>
    <w:rsid w:val="00EB289D"/>
    <w:rsid w:val="00EB2BF1"/>
    <w:rsid w:val="00EB3004"/>
    <w:rsid w:val="00EB31B5"/>
    <w:rsid w:val="00EB3AB4"/>
    <w:rsid w:val="00EB3B92"/>
    <w:rsid w:val="00EB3C93"/>
    <w:rsid w:val="00EB3F20"/>
    <w:rsid w:val="00EB3F45"/>
    <w:rsid w:val="00EB49CC"/>
    <w:rsid w:val="00EB4BD8"/>
    <w:rsid w:val="00EB4D56"/>
    <w:rsid w:val="00EB4D58"/>
    <w:rsid w:val="00EB4DFE"/>
    <w:rsid w:val="00EB5752"/>
    <w:rsid w:val="00EB57F9"/>
    <w:rsid w:val="00EB5F64"/>
    <w:rsid w:val="00EB6C30"/>
    <w:rsid w:val="00EB75BF"/>
    <w:rsid w:val="00EB7944"/>
    <w:rsid w:val="00EB7A0F"/>
    <w:rsid w:val="00EB7D9D"/>
    <w:rsid w:val="00EB7F9E"/>
    <w:rsid w:val="00EC005B"/>
    <w:rsid w:val="00EC066A"/>
    <w:rsid w:val="00EC0961"/>
    <w:rsid w:val="00EC0FE9"/>
    <w:rsid w:val="00EC1155"/>
    <w:rsid w:val="00EC118C"/>
    <w:rsid w:val="00EC128C"/>
    <w:rsid w:val="00EC1678"/>
    <w:rsid w:val="00EC1CB4"/>
    <w:rsid w:val="00EC1CBF"/>
    <w:rsid w:val="00EC1FE7"/>
    <w:rsid w:val="00EC21EB"/>
    <w:rsid w:val="00EC2563"/>
    <w:rsid w:val="00EC2725"/>
    <w:rsid w:val="00EC3021"/>
    <w:rsid w:val="00EC3A3D"/>
    <w:rsid w:val="00EC3DE1"/>
    <w:rsid w:val="00EC3EF2"/>
    <w:rsid w:val="00EC456F"/>
    <w:rsid w:val="00EC48EE"/>
    <w:rsid w:val="00EC4D51"/>
    <w:rsid w:val="00EC4F56"/>
    <w:rsid w:val="00EC527B"/>
    <w:rsid w:val="00EC5743"/>
    <w:rsid w:val="00EC5F1C"/>
    <w:rsid w:val="00EC60F9"/>
    <w:rsid w:val="00EC6C37"/>
    <w:rsid w:val="00EC6FBF"/>
    <w:rsid w:val="00EC7008"/>
    <w:rsid w:val="00EC745B"/>
    <w:rsid w:val="00EC76CD"/>
    <w:rsid w:val="00EC789F"/>
    <w:rsid w:val="00EC7A01"/>
    <w:rsid w:val="00EC7A54"/>
    <w:rsid w:val="00ED0576"/>
    <w:rsid w:val="00ED07CA"/>
    <w:rsid w:val="00ED0C3A"/>
    <w:rsid w:val="00ED1426"/>
    <w:rsid w:val="00ED1578"/>
    <w:rsid w:val="00ED1751"/>
    <w:rsid w:val="00ED2391"/>
    <w:rsid w:val="00ED2579"/>
    <w:rsid w:val="00ED34FB"/>
    <w:rsid w:val="00ED36F8"/>
    <w:rsid w:val="00ED394C"/>
    <w:rsid w:val="00ED3DEF"/>
    <w:rsid w:val="00ED49BD"/>
    <w:rsid w:val="00ED4CE7"/>
    <w:rsid w:val="00ED4D0B"/>
    <w:rsid w:val="00ED4E48"/>
    <w:rsid w:val="00ED5EDA"/>
    <w:rsid w:val="00ED67D8"/>
    <w:rsid w:val="00ED6B50"/>
    <w:rsid w:val="00ED774E"/>
    <w:rsid w:val="00ED7E06"/>
    <w:rsid w:val="00EE0002"/>
    <w:rsid w:val="00EE0333"/>
    <w:rsid w:val="00EE04D6"/>
    <w:rsid w:val="00EE0862"/>
    <w:rsid w:val="00EE1223"/>
    <w:rsid w:val="00EE1CE6"/>
    <w:rsid w:val="00EE28A1"/>
    <w:rsid w:val="00EE2C4F"/>
    <w:rsid w:val="00EE32F4"/>
    <w:rsid w:val="00EE34CB"/>
    <w:rsid w:val="00EE3C45"/>
    <w:rsid w:val="00EE3E36"/>
    <w:rsid w:val="00EE451C"/>
    <w:rsid w:val="00EE460E"/>
    <w:rsid w:val="00EE46DD"/>
    <w:rsid w:val="00EE4745"/>
    <w:rsid w:val="00EE4A8A"/>
    <w:rsid w:val="00EE4E72"/>
    <w:rsid w:val="00EE50FE"/>
    <w:rsid w:val="00EE51BD"/>
    <w:rsid w:val="00EE53EF"/>
    <w:rsid w:val="00EE5687"/>
    <w:rsid w:val="00EE5759"/>
    <w:rsid w:val="00EE5CBA"/>
    <w:rsid w:val="00EE5D1B"/>
    <w:rsid w:val="00EE5DF4"/>
    <w:rsid w:val="00EE5EB2"/>
    <w:rsid w:val="00EE6B30"/>
    <w:rsid w:val="00EE6C32"/>
    <w:rsid w:val="00EE72BD"/>
    <w:rsid w:val="00EE79B1"/>
    <w:rsid w:val="00EE79D3"/>
    <w:rsid w:val="00EE7A99"/>
    <w:rsid w:val="00EE7AB5"/>
    <w:rsid w:val="00EE7B5F"/>
    <w:rsid w:val="00EE7F60"/>
    <w:rsid w:val="00EF04D3"/>
    <w:rsid w:val="00EF08D5"/>
    <w:rsid w:val="00EF0A93"/>
    <w:rsid w:val="00EF0E12"/>
    <w:rsid w:val="00EF11D6"/>
    <w:rsid w:val="00EF120C"/>
    <w:rsid w:val="00EF195E"/>
    <w:rsid w:val="00EF21DA"/>
    <w:rsid w:val="00EF2BEC"/>
    <w:rsid w:val="00EF2EEB"/>
    <w:rsid w:val="00EF306C"/>
    <w:rsid w:val="00EF3B82"/>
    <w:rsid w:val="00EF3DF0"/>
    <w:rsid w:val="00EF3E8C"/>
    <w:rsid w:val="00EF46EA"/>
    <w:rsid w:val="00EF4E90"/>
    <w:rsid w:val="00EF5543"/>
    <w:rsid w:val="00EF5960"/>
    <w:rsid w:val="00EF5ADE"/>
    <w:rsid w:val="00EF6DA2"/>
    <w:rsid w:val="00EF6E3A"/>
    <w:rsid w:val="00EF76B0"/>
    <w:rsid w:val="00F003AE"/>
    <w:rsid w:val="00F004D3"/>
    <w:rsid w:val="00F00803"/>
    <w:rsid w:val="00F00C41"/>
    <w:rsid w:val="00F00F58"/>
    <w:rsid w:val="00F01040"/>
    <w:rsid w:val="00F013EA"/>
    <w:rsid w:val="00F01424"/>
    <w:rsid w:val="00F01914"/>
    <w:rsid w:val="00F0199A"/>
    <w:rsid w:val="00F0293D"/>
    <w:rsid w:val="00F037B9"/>
    <w:rsid w:val="00F038A1"/>
    <w:rsid w:val="00F03AEF"/>
    <w:rsid w:val="00F041BA"/>
    <w:rsid w:val="00F044CC"/>
    <w:rsid w:val="00F04549"/>
    <w:rsid w:val="00F051D8"/>
    <w:rsid w:val="00F053F7"/>
    <w:rsid w:val="00F05664"/>
    <w:rsid w:val="00F056AA"/>
    <w:rsid w:val="00F05779"/>
    <w:rsid w:val="00F0606D"/>
    <w:rsid w:val="00F06110"/>
    <w:rsid w:val="00F06544"/>
    <w:rsid w:val="00F06C8B"/>
    <w:rsid w:val="00F06EF0"/>
    <w:rsid w:val="00F07215"/>
    <w:rsid w:val="00F074D7"/>
    <w:rsid w:val="00F07AC7"/>
    <w:rsid w:val="00F1044E"/>
    <w:rsid w:val="00F10AC3"/>
    <w:rsid w:val="00F1172B"/>
    <w:rsid w:val="00F11781"/>
    <w:rsid w:val="00F1192A"/>
    <w:rsid w:val="00F11992"/>
    <w:rsid w:val="00F1232D"/>
    <w:rsid w:val="00F123D1"/>
    <w:rsid w:val="00F1246C"/>
    <w:rsid w:val="00F12587"/>
    <w:rsid w:val="00F126EB"/>
    <w:rsid w:val="00F12790"/>
    <w:rsid w:val="00F129EB"/>
    <w:rsid w:val="00F12A6B"/>
    <w:rsid w:val="00F130CE"/>
    <w:rsid w:val="00F13BDB"/>
    <w:rsid w:val="00F13EA9"/>
    <w:rsid w:val="00F1414F"/>
    <w:rsid w:val="00F14589"/>
    <w:rsid w:val="00F14D91"/>
    <w:rsid w:val="00F14F07"/>
    <w:rsid w:val="00F15019"/>
    <w:rsid w:val="00F15411"/>
    <w:rsid w:val="00F1576D"/>
    <w:rsid w:val="00F15A0F"/>
    <w:rsid w:val="00F15CDB"/>
    <w:rsid w:val="00F1610D"/>
    <w:rsid w:val="00F16CEE"/>
    <w:rsid w:val="00F17065"/>
    <w:rsid w:val="00F1745D"/>
    <w:rsid w:val="00F17691"/>
    <w:rsid w:val="00F17BFC"/>
    <w:rsid w:val="00F20086"/>
    <w:rsid w:val="00F20525"/>
    <w:rsid w:val="00F20776"/>
    <w:rsid w:val="00F20AF7"/>
    <w:rsid w:val="00F20B49"/>
    <w:rsid w:val="00F20B6F"/>
    <w:rsid w:val="00F20DFA"/>
    <w:rsid w:val="00F20F83"/>
    <w:rsid w:val="00F2124B"/>
    <w:rsid w:val="00F212F5"/>
    <w:rsid w:val="00F2168F"/>
    <w:rsid w:val="00F217BC"/>
    <w:rsid w:val="00F21A06"/>
    <w:rsid w:val="00F21B75"/>
    <w:rsid w:val="00F225B8"/>
    <w:rsid w:val="00F22E40"/>
    <w:rsid w:val="00F23106"/>
    <w:rsid w:val="00F236B3"/>
    <w:rsid w:val="00F238F3"/>
    <w:rsid w:val="00F23A77"/>
    <w:rsid w:val="00F24014"/>
    <w:rsid w:val="00F24156"/>
    <w:rsid w:val="00F242D5"/>
    <w:rsid w:val="00F2441D"/>
    <w:rsid w:val="00F2470E"/>
    <w:rsid w:val="00F2478B"/>
    <w:rsid w:val="00F247D5"/>
    <w:rsid w:val="00F24BF2"/>
    <w:rsid w:val="00F25304"/>
    <w:rsid w:val="00F25945"/>
    <w:rsid w:val="00F25AEB"/>
    <w:rsid w:val="00F25D1E"/>
    <w:rsid w:val="00F25FA1"/>
    <w:rsid w:val="00F26593"/>
    <w:rsid w:val="00F26903"/>
    <w:rsid w:val="00F269D8"/>
    <w:rsid w:val="00F26F6D"/>
    <w:rsid w:val="00F27820"/>
    <w:rsid w:val="00F27832"/>
    <w:rsid w:val="00F279AB"/>
    <w:rsid w:val="00F27DC5"/>
    <w:rsid w:val="00F303E7"/>
    <w:rsid w:val="00F3081B"/>
    <w:rsid w:val="00F30E1D"/>
    <w:rsid w:val="00F310D5"/>
    <w:rsid w:val="00F31590"/>
    <w:rsid w:val="00F315FF"/>
    <w:rsid w:val="00F316F0"/>
    <w:rsid w:val="00F321D0"/>
    <w:rsid w:val="00F321DF"/>
    <w:rsid w:val="00F321E0"/>
    <w:rsid w:val="00F322B7"/>
    <w:rsid w:val="00F32768"/>
    <w:rsid w:val="00F32899"/>
    <w:rsid w:val="00F32F4D"/>
    <w:rsid w:val="00F32FA8"/>
    <w:rsid w:val="00F330F5"/>
    <w:rsid w:val="00F33A26"/>
    <w:rsid w:val="00F33B45"/>
    <w:rsid w:val="00F34124"/>
    <w:rsid w:val="00F3421A"/>
    <w:rsid w:val="00F3428E"/>
    <w:rsid w:val="00F3462C"/>
    <w:rsid w:val="00F35609"/>
    <w:rsid w:val="00F3595B"/>
    <w:rsid w:val="00F3603E"/>
    <w:rsid w:val="00F360B6"/>
    <w:rsid w:val="00F362C5"/>
    <w:rsid w:val="00F364F2"/>
    <w:rsid w:val="00F365CC"/>
    <w:rsid w:val="00F36AC4"/>
    <w:rsid w:val="00F36B94"/>
    <w:rsid w:val="00F371CB"/>
    <w:rsid w:val="00F3731F"/>
    <w:rsid w:val="00F37590"/>
    <w:rsid w:val="00F3782E"/>
    <w:rsid w:val="00F37B5C"/>
    <w:rsid w:val="00F37BD7"/>
    <w:rsid w:val="00F40015"/>
    <w:rsid w:val="00F403D5"/>
    <w:rsid w:val="00F40C2D"/>
    <w:rsid w:val="00F40C81"/>
    <w:rsid w:val="00F41627"/>
    <w:rsid w:val="00F41D30"/>
    <w:rsid w:val="00F41F38"/>
    <w:rsid w:val="00F424AC"/>
    <w:rsid w:val="00F42ADE"/>
    <w:rsid w:val="00F42B5D"/>
    <w:rsid w:val="00F42CE7"/>
    <w:rsid w:val="00F42E4D"/>
    <w:rsid w:val="00F43480"/>
    <w:rsid w:val="00F4353F"/>
    <w:rsid w:val="00F436D9"/>
    <w:rsid w:val="00F436DA"/>
    <w:rsid w:val="00F43869"/>
    <w:rsid w:val="00F43B72"/>
    <w:rsid w:val="00F43B73"/>
    <w:rsid w:val="00F43ED2"/>
    <w:rsid w:val="00F441B5"/>
    <w:rsid w:val="00F44616"/>
    <w:rsid w:val="00F446B8"/>
    <w:rsid w:val="00F454AD"/>
    <w:rsid w:val="00F46649"/>
    <w:rsid w:val="00F46EC7"/>
    <w:rsid w:val="00F4734F"/>
    <w:rsid w:val="00F47352"/>
    <w:rsid w:val="00F4736E"/>
    <w:rsid w:val="00F47814"/>
    <w:rsid w:val="00F5005B"/>
    <w:rsid w:val="00F5026F"/>
    <w:rsid w:val="00F503B9"/>
    <w:rsid w:val="00F5061B"/>
    <w:rsid w:val="00F509A6"/>
    <w:rsid w:val="00F509D6"/>
    <w:rsid w:val="00F50E82"/>
    <w:rsid w:val="00F50ED9"/>
    <w:rsid w:val="00F51983"/>
    <w:rsid w:val="00F51C57"/>
    <w:rsid w:val="00F521BC"/>
    <w:rsid w:val="00F52483"/>
    <w:rsid w:val="00F52726"/>
    <w:rsid w:val="00F529A9"/>
    <w:rsid w:val="00F52C24"/>
    <w:rsid w:val="00F52DA7"/>
    <w:rsid w:val="00F52EDE"/>
    <w:rsid w:val="00F5418B"/>
    <w:rsid w:val="00F544E7"/>
    <w:rsid w:val="00F545BA"/>
    <w:rsid w:val="00F54710"/>
    <w:rsid w:val="00F55C52"/>
    <w:rsid w:val="00F5629C"/>
    <w:rsid w:val="00F565BE"/>
    <w:rsid w:val="00F57129"/>
    <w:rsid w:val="00F57775"/>
    <w:rsid w:val="00F60631"/>
    <w:rsid w:val="00F60F73"/>
    <w:rsid w:val="00F60FCE"/>
    <w:rsid w:val="00F62375"/>
    <w:rsid w:val="00F625BE"/>
    <w:rsid w:val="00F62B38"/>
    <w:rsid w:val="00F62E3D"/>
    <w:rsid w:val="00F6306C"/>
    <w:rsid w:val="00F63343"/>
    <w:rsid w:val="00F6378A"/>
    <w:rsid w:val="00F64464"/>
    <w:rsid w:val="00F65061"/>
    <w:rsid w:val="00F652A8"/>
    <w:rsid w:val="00F65966"/>
    <w:rsid w:val="00F65CC5"/>
    <w:rsid w:val="00F665BC"/>
    <w:rsid w:val="00F668E9"/>
    <w:rsid w:val="00F66EF6"/>
    <w:rsid w:val="00F67028"/>
    <w:rsid w:val="00F67125"/>
    <w:rsid w:val="00F6799E"/>
    <w:rsid w:val="00F67CCA"/>
    <w:rsid w:val="00F70406"/>
    <w:rsid w:val="00F704A3"/>
    <w:rsid w:val="00F704C1"/>
    <w:rsid w:val="00F70EDB"/>
    <w:rsid w:val="00F71A6C"/>
    <w:rsid w:val="00F722F6"/>
    <w:rsid w:val="00F723FB"/>
    <w:rsid w:val="00F723FF"/>
    <w:rsid w:val="00F72577"/>
    <w:rsid w:val="00F72637"/>
    <w:rsid w:val="00F72AC5"/>
    <w:rsid w:val="00F72F4F"/>
    <w:rsid w:val="00F72F7C"/>
    <w:rsid w:val="00F730DD"/>
    <w:rsid w:val="00F735B9"/>
    <w:rsid w:val="00F735BC"/>
    <w:rsid w:val="00F73808"/>
    <w:rsid w:val="00F738DF"/>
    <w:rsid w:val="00F74229"/>
    <w:rsid w:val="00F74376"/>
    <w:rsid w:val="00F74745"/>
    <w:rsid w:val="00F74C79"/>
    <w:rsid w:val="00F74DD7"/>
    <w:rsid w:val="00F74DE4"/>
    <w:rsid w:val="00F752A5"/>
    <w:rsid w:val="00F75828"/>
    <w:rsid w:val="00F7587D"/>
    <w:rsid w:val="00F758C1"/>
    <w:rsid w:val="00F75E6E"/>
    <w:rsid w:val="00F76073"/>
    <w:rsid w:val="00F766A3"/>
    <w:rsid w:val="00F769CB"/>
    <w:rsid w:val="00F76F60"/>
    <w:rsid w:val="00F775E5"/>
    <w:rsid w:val="00F7788C"/>
    <w:rsid w:val="00F77895"/>
    <w:rsid w:val="00F77970"/>
    <w:rsid w:val="00F77EC5"/>
    <w:rsid w:val="00F80029"/>
    <w:rsid w:val="00F80091"/>
    <w:rsid w:val="00F805BC"/>
    <w:rsid w:val="00F80934"/>
    <w:rsid w:val="00F80D20"/>
    <w:rsid w:val="00F81512"/>
    <w:rsid w:val="00F81556"/>
    <w:rsid w:val="00F81734"/>
    <w:rsid w:val="00F81B02"/>
    <w:rsid w:val="00F81BD5"/>
    <w:rsid w:val="00F81F67"/>
    <w:rsid w:val="00F8238A"/>
    <w:rsid w:val="00F824C8"/>
    <w:rsid w:val="00F82584"/>
    <w:rsid w:val="00F82663"/>
    <w:rsid w:val="00F82872"/>
    <w:rsid w:val="00F82C45"/>
    <w:rsid w:val="00F833C2"/>
    <w:rsid w:val="00F8344D"/>
    <w:rsid w:val="00F834FD"/>
    <w:rsid w:val="00F83755"/>
    <w:rsid w:val="00F83E0B"/>
    <w:rsid w:val="00F83F0B"/>
    <w:rsid w:val="00F840C9"/>
    <w:rsid w:val="00F8439C"/>
    <w:rsid w:val="00F84474"/>
    <w:rsid w:val="00F847BF"/>
    <w:rsid w:val="00F85B71"/>
    <w:rsid w:val="00F85C9D"/>
    <w:rsid w:val="00F85DD1"/>
    <w:rsid w:val="00F868C9"/>
    <w:rsid w:val="00F86AF8"/>
    <w:rsid w:val="00F86C23"/>
    <w:rsid w:val="00F87222"/>
    <w:rsid w:val="00F87437"/>
    <w:rsid w:val="00F87FF9"/>
    <w:rsid w:val="00F90351"/>
    <w:rsid w:val="00F90EEF"/>
    <w:rsid w:val="00F90FA0"/>
    <w:rsid w:val="00F91FF0"/>
    <w:rsid w:val="00F92401"/>
    <w:rsid w:val="00F925A9"/>
    <w:rsid w:val="00F92A81"/>
    <w:rsid w:val="00F93D49"/>
    <w:rsid w:val="00F93F5B"/>
    <w:rsid w:val="00F9453C"/>
    <w:rsid w:val="00F9458D"/>
    <w:rsid w:val="00F947AA"/>
    <w:rsid w:val="00F94863"/>
    <w:rsid w:val="00F94D52"/>
    <w:rsid w:val="00F95386"/>
    <w:rsid w:val="00F95985"/>
    <w:rsid w:val="00F959AA"/>
    <w:rsid w:val="00F9624C"/>
    <w:rsid w:val="00F962C9"/>
    <w:rsid w:val="00F964A3"/>
    <w:rsid w:val="00F96562"/>
    <w:rsid w:val="00F965C6"/>
    <w:rsid w:val="00F96635"/>
    <w:rsid w:val="00F96AEB"/>
    <w:rsid w:val="00F96C07"/>
    <w:rsid w:val="00F96CE6"/>
    <w:rsid w:val="00F96E2B"/>
    <w:rsid w:val="00F97742"/>
    <w:rsid w:val="00F97CCA"/>
    <w:rsid w:val="00F97DB0"/>
    <w:rsid w:val="00FA003E"/>
    <w:rsid w:val="00FA02D7"/>
    <w:rsid w:val="00FA0BA6"/>
    <w:rsid w:val="00FA1486"/>
    <w:rsid w:val="00FA1A4C"/>
    <w:rsid w:val="00FA1C89"/>
    <w:rsid w:val="00FA2895"/>
    <w:rsid w:val="00FA28B0"/>
    <w:rsid w:val="00FA2A36"/>
    <w:rsid w:val="00FA2AFE"/>
    <w:rsid w:val="00FA2D46"/>
    <w:rsid w:val="00FA3014"/>
    <w:rsid w:val="00FA32DE"/>
    <w:rsid w:val="00FA356E"/>
    <w:rsid w:val="00FA36B8"/>
    <w:rsid w:val="00FA37C3"/>
    <w:rsid w:val="00FA3D09"/>
    <w:rsid w:val="00FA40B8"/>
    <w:rsid w:val="00FA42E0"/>
    <w:rsid w:val="00FA4413"/>
    <w:rsid w:val="00FA46BD"/>
    <w:rsid w:val="00FA471E"/>
    <w:rsid w:val="00FA47A0"/>
    <w:rsid w:val="00FA4A4F"/>
    <w:rsid w:val="00FA4A87"/>
    <w:rsid w:val="00FA4CF4"/>
    <w:rsid w:val="00FA51F9"/>
    <w:rsid w:val="00FA531F"/>
    <w:rsid w:val="00FA57A5"/>
    <w:rsid w:val="00FA59BC"/>
    <w:rsid w:val="00FA631A"/>
    <w:rsid w:val="00FA724B"/>
    <w:rsid w:val="00FA73C9"/>
    <w:rsid w:val="00FA7B8A"/>
    <w:rsid w:val="00FA7EB0"/>
    <w:rsid w:val="00FB02CC"/>
    <w:rsid w:val="00FB0315"/>
    <w:rsid w:val="00FB034B"/>
    <w:rsid w:val="00FB04D1"/>
    <w:rsid w:val="00FB05BC"/>
    <w:rsid w:val="00FB05BF"/>
    <w:rsid w:val="00FB0931"/>
    <w:rsid w:val="00FB0E51"/>
    <w:rsid w:val="00FB105B"/>
    <w:rsid w:val="00FB10C4"/>
    <w:rsid w:val="00FB10D0"/>
    <w:rsid w:val="00FB1147"/>
    <w:rsid w:val="00FB197F"/>
    <w:rsid w:val="00FB1A05"/>
    <w:rsid w:val="00FB1ABD"/>
    <w:rsid w:val="00FB1C6D"/>
    <w:rsid w:val="00FB1DAE"/>
    <w:rsid w:val="00FB219E"/>
    <w:rsid w:val="00FB28AA"/>
    <w:rsid w:val="00FB2DA0"/>
    <w:rsid w:val="00FB362B"/>
    <w:rsid w:val="00FB40FD"/>
    <w:rsid w:val="00FB479F"/>
    <w:rsid w:val="00FB4B92"/>
    <w:rsid w:val="00FB546E"/>
    <w:rsid w:val="00FB5987"/>
    <w:rsid w:val="00FB6204"/>
    <w:rsid w:val="00FB658F"/>
    <w:rsid w:val="00FB6BC2"/>
    <w:rsid w:val="00FB6D49"/>
    <w:rsid w:val="00FB7218"/>
    <w:rsid w:val="00FB735C"/>
    <w:rsid w:val="00FB74D8"/>
    <w:rsid w:val="00FB7704"/>
    <w:rsid w:val="00FC016A"/>
    <w:rsid w:val="00FC038F"/>
    <w:rsid w:val="00FC0834"/>
    <w:rsid w:val="00FC09D9"/>
    <w:rsid w:val="00FC0FE7"/>
    <w:rsid w:val="00FC10AA"/>
    <w:rsid w:val="00FC1C85"/>
    <w:rsid w:val="00FC284D"/>
    <w:rsid w:val="00FC2A1B"/>
    <w:rsid w:val="00FC337B"/>
    <w:rsid w:val="00FC355C"/>
    <w:rsid w:val="00FC3615"/>
    <w:rsid w:val="00FC39EB"/>
    <w:rsid w:val="00FC3EFB"/>
    <w:rsid w:val="00FC430A"/>
    <w:rsid w:val="00FC439E"/>
    <w:rsid w:val="00FC4495"/>
    <w:rsid w:val="00FC4FD9"/>
    <w:rsid w:val="00FC5474"/>
    <w:rsid w:val="00FC580C"/>
    <w:rsid w:val="00FC5A7D"/>
    <w:rsid w:val="00FC5D1E"/>
    <w:rsid w:val="00FC5D87"/>
    <w:rsid w:val="00FC6090"/>
    <w:rsid w:val="00FC67A3"/>
    <w:rsid w:val="00FC69F2"/>
    <w:rsid w:val="00FC74C9"/>
    <w:rsid w:val="00FD01AE"/>
    <w:rsid w:val="00FD039F"/>
    <w:rsid w:val="00FD0520"/>
    <w:rsid w:val="00FD08D0"/>
    <w:rsid w:val="00FD1087"/>
    <w:rsid w:val="00FD17C9"/>
    <w:rsid w:val="00FD1A92"/>
    <w:rsid w:val="00FD1E85"/>
    <w:rsid w:val="00FD255B"/>
    <w:rsid w:val="00FD2BEE"/>
    <w:rsid w:val="00FD3752"/>
    <w:rsid w:val="00FD3782"/>
    <w:rsid w:val="00FD3FBC"/>
    <w:rsid w:val="00FD423E"/>
    <w:rsid w:val="00FD47B9"/>
    <w:rsid w:val="00FD5D6E"/>
    <w:rsid w:val="00FD5F4C"/>
    <w:rsid w:val="00FD6426"/>
    <w:rsid w:val="00FD651E"/>
    <w:rsid w:val="00FD65FB"/>
    <w:rsid w:val="00FD663D"/>
    <w:rsid w:val="00FD6804"/>
    <w:rsid w:val="00FD68E8"/>
    <w:rsid w:val="00FD6928"/>
    <w:rsid w:val="00FD6E02"/>
    <w:rsid w:val="00FD6E44"/>
    <w:rsid w:val="00FD7240"/>
    <w:rsid w:val="00FD733C"/>
    <w:rsid w:val="00FD7BDC"/>
    <w:rsid w:val="00FE015E"/>
    <w:rsid w:val="00FE037F"/>
    <w:rsid w:val="00FE03AA"/>
    <w:rsid w:val="00FE0735"/>
    <w:rsid w:val="00FE07EB"/>
    <w:rsid w:val="00FE092C"/>
    <w:rsid w:val="00FE0996"/>
    <w:rsid w:val="00FE0A09"/>
    <w:rsid w:val="00FE0BA8"/>
    <w:rsid w:val="00FE1188"/>
    <w:rsid w:val="00FE1414"/>
    <w:rsid w:val="00FE1537"/>
    <w:rsid w:val="00FE154F"/>
    <w:rsid w:val="00FE2A2C"/>
    <w:rsid w:val="00FE318D"/>
    <w:rsid w:val="00FE3660"/>
    <w:rsid w:val="00FE3C0A"/>
    <w:rsid w:val="00FE3C0C"/>
    <w:rsid w:val="00FE41CF"/>
    <w:rsid w:val="00FE4208"/>
    <w:rsid w:val="00FE43FD"/>
    <w:rsid w:val="00FE4538"/>
    <w:rsid w:val="00FE453B"/>
    <w:rsid w:val="00FE48D4"/>
    <w:rsid w:val="00FE4E41"/>
    <w:rsid w:val="00FE5147"/>
    <w:rsid w:val="00FE559D"/>
    <w:rsid w:val="00FE55AF"/>
    <w:rsid w:val="00FE6692"/>
    <w:rsid w:val="00FE6933"/>
    <w:rsid w:val="00FE6EA0"/>
    <w:rsid w:val="00FE7856"/>
    <w:rsid w:val="00FE7A2B"/>
    <w:rsid w:val="00FE7B35"/>
    <w:rsid w:val="00FE7F18"/>
    <w:rsid w:val="00FE7FBF"/>
    <w:rsid w:val="00FF0389"/>
    <w:rsid w:val="00FF0764"/>
    <w:rsid w:val="00FF0952"/>
    <w:rsid w:val="00FF1458"/>
    <w:rsid w:val="00FF14FF"/>
    <w:rsid w:val="00FF186C"/>
    <w:rsid w:val="00FF2574"/>
    <w:rsid w:val="00FF277B"/>
    <w:rsid w:val="00FF2B7A"/>
    <w:rsid w:val="00FF2E88"/>
    <w:rsid w:val="00FF3156"/>
    <w:rsid w:val="00FF34FB"/>
    <w:rsid w:val="00FF3B15"/>
    <w:rsid w:val="00FF3EFB"/>
    <w:rsid w:val="00FF447B"/>
    <w:rsid w:val="00FF44D6"/>
    <w:rsid w:val="00FF4B1D"/>
    <w:rsid w:val="00FF4BEF"/>
    <w:rsid w:val="00FF4F55"/>
    <w:rsid w:val="00FF4F64"/>
    <w:rsid w:val="00FF5191"/>
    <w:rsid w:val="00FF55AC"/>
    <w:rsid w:val="00FF573B"/>
    <w:rsid w:val="00FF57B3"/>
    <w:rsid w:val="00FF58E6"/>
    <w:rsid w:val="00FF5B0A"/>
    <w:rsid w:val="00FF5B6A"/>
    <w:rsid w:val="00FF6302"/>
    <w:rsid w:val="00FF6414"/>
    <w:rsid w:val="00FF7259"/>
    <w:rsid w:val="00FF750E"/>
    <w:rsid w:val="00FF7749"/>
    <w:rsid w:val="00FF7ABA"/>
    <w:rsid w:val="00FF7F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27CE38"/>
  <w15:docId w15:val="{7E124A51-0055-4758-B969-D754A0472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13B4"/>
    <w:pPr>
      <w:spacing w:line="288" w:lineRule="auto"/>
    </w:pPr>
    <w:rPr>
      <w:rFonts w:ascii="Aptos" w:hAnsi="Aptos"/>
    </w:rPr>
  </w:style>
  <w:style w:type="paragraph" w:styleId="Heading1">
    <w:name w:val="heading 1"/>
    <w:basedOn w:val="Normal"/>
    <w:next w:val="Normal"/>
    <w:link w:val="Heading1Char"/>
    <w:uiPriority w:val="9"/>
    <w:qFormat/>
    <w:rsid w:val="00D60688"/>
    <w:pPr>
      <w:keepNext/>
      <w:keepLines/>
      <w:spacing w:before="400" w:after="40" w:line="240" w:lineRule="auto"/>
      <w:outlineLvl w:val="0"/>
    </w:pPr>
    <w:rPr>
      <w:rFonts w:asciiTheme="majorHAnsi" w:eastAsiaTheme="majorEastAsia" w:hAnsiTheme="majorHAnsi" w:cstheme="majorBidi"/>
      <w:color w:val="253356" w:themeColor="accent1" w:themeShade="80"/>
      <w:sz w:val="36"/>
      <w:szCs w:val="36"/>
    </w:rPr>
  </w:style>
  <w:style w:type="paragraph" w:styleId="Heading2">
    <w:name w:val="heading 2"/>
    <w:basedOn w:val="Normal"/>
    <w:next w:val="Normal"/>
    <w:link w:val="Heading2Char"/>
    <w:uiPriority w:val="9"/>
    <w:unhideWhenUsed/>
    <w:qFormat/>
    <w:rsid w:val="00D60688"/>
    <w:pPr>
      <w:keepNext/>
      <w:keepLines/>
      <w:spacing w:before="40" w:after="0" w:line="240" w:lineRule="auto"/>
      <w:outlineLvl w:val="1"/>
    </w:pPr>
    <w:rPr>
      <w:rFonts w:asciiTheme="majorHAnsi" w:eastAsiaTheme="majorEastAsia" w:hAnsiTheme="majorHAnsi" w:cstheme="majorBidi"/>
      <w:color w:val="374C80" w:themeColor="accent1" w:themeShade="BF"/>
      <w:sz w:val="32"/>
      <w:szCs w:val="32"/>
    </w:rPr>
  </w:style>
  <w:style w:type="paragraph" w:styleId="Heading3">
    <w:name w:val="heading 3"/>
    <w:basedOn w:val="Normal"/>
    <w:next w:val="Normal"/>
    <w:link w:val="Heading3Char"/>
    <w:uiPriority w:val="9"/>
    <w:unhideWhenUsed/>
    <w:qFormat/>
    <w:rsid w:val="00D60688"/>
    <w:pPr>
      <w:keepNext/>
      <w:keepLines/>
      <w:spacing w:before="40" w:after="0" w:line="240" w:lineRule="auto"/>
      <w:outlineLvl w:val="2"/>
    </w:pPr>
    <w:rPr>
      <w:rFonts w:asciiTheme="majorHAnsi" w:eastAsiaTheme="majorEastAsia" w:hAnsiTheme="majorHAnsi" w:cstheme="majorBidi"/>
      <w:color w:val="374C80" w:themeColor="accent1" w:themeShade="BF"/>
      <w:sz w:val="28"/>
      <w:szCs w:val="28"/>
    </w:rPr>
  </w:style>
  <w:style w:type="paragraph" w:styleId="Heading4">
    <w:name w:val="heading 4"/>
    <w:basedOn w:val="Normal"/>
    <w:next w:val="Normal"/>
    <w:link w:val="Heading4Char"/>
    <w:uiPriority w:val="9"/>
    <w:unhideWhenUsed/>
    <w:qFormat/>
    <w:rsid w:val="00D60688"/>
    <w:pPr>
      <w:keepNext/>
      <w:keepLines/>
      <w:spacing w:before="40" w:after="0"/>
      <w:outlineLvl w:val="3"/>
    </w:pPr>
    <w:rPr>
      <w:rFonts w:asciiTheme="majorHAnsi" w:eastAsiaTheme="majorEastAsia" w:hAnsiTheme="majorHAnsi" w:cstheme="majorBidi"/>
      <w:color w:val="374C80" w:themeColor="accent1" w:themeShade="BF"/>
      <w:sz w:val="24"/>
      <w:szCs w:val="24"/>
    </w:rPr>
  </w:style>
  <w:style w:type="paragraph" w:styleId="Heading5">
    <w:name w:val="heading 5"/>
    <w:basedOn w:val="Normal"/>
    <w:next w:val="Normal"/>
    <w:link w:val="Heading5Char"/>
    <w:uiPriority w:val="9"/>
    <w:unhideWhenUsed/>
    <w:qFormat/>
    <w:rsid w:val="00D60688"/>
    <w:pPr>
      <w:keepNext/>
      <w:keepLines/>
      <w:spacing w:before="40" w:after="0"/>
      <w:outlineLvl w:val="4"/>
    </w:pPr>
    <w:rPr>
      <w:rFonts w:asciiTheme="majorHAnsi" w:eastAsiaTheme="majorEastAsia" w:hAnsiTheme="majorHAnsi" w:cstheme="majorBidi"/>
      <w:caps/>
      <w:color w:val="374C80" w:themeColor="accent1" w:themeShade="BF"/>
    </w:rPr>
  </w:style>
  <w:style w:type="paragraph" w:styleId="Heading6">
    <w:name w:val="heading 6"/>
    <w:basedOn w:val="Normal"/>
    <w:next w:val="Normal"/>
    <w:link w:val="Heading6Char"/>
    <w:uiPriority w:val="9"/>
    <w:unhideWhenUsed/>
    <w:qFormat/>
    <w:rsid w:val="00D60688"/>
    <w:pPr>
      <w:keepNext/>
      <w:keepLines/>
      <w:spacing w:before="40" w:after="0"/>
      <w:outlineLvl w:val="5"/>
    </w:pPr>
    <w:rPr>
      <w:rFonts w:asciiTheme="majorHAnsi" w:eastAsiaTheme="majorEastAsia" w:hAnsiTheme="majorHAnsi" w:cstheme="majorBidi"/>
      <w:i/>
      <w:iCs/>
      <w:caps/>
      <w:color w:val="253356" w:themeColor="accent1" w:themeShade="80"/>
    </w:rPr>
  </w:style>
  <w:style w:type="paragraph" w:styleId="Heading7">
    <w:name w:val="heading 7"/>
    <w:basedOn w:val="Normal"/>
    <w:next w:val="Normal"/>
    <w:link w:val="Heading7Char"/>
    <w:uiPriority w:val="9"/>
    <w:semiHidden/>
    <w:unhideWhenUsed/>
    <w:qFormat/>
    <w:rsid w:val="00D60688"/>
    <w:pPr>
      <w:keepNext/>
      <w:keepLines/>
      <w:spacing w:before="40" w:after="0"/>
      <w:outlineLvl w:val="6"/>
    </w:pPr>
    <w:rPr>
      <w:rFonts w:asciiTheme="majorHAnsi" w:eastAsiaTheme="majorEastAsia" w:hAnsiTheme="majorHAnsi" w:cstheme="majorBidi"/>
      <w:b/>
      <w:bCs/>
      <w:color w:val="253356" w:themeColor="accent1" w:themeShade="80"/>
    </w:rPr>
  </w:style>
  <w:style w:type="paragraph" w:styleId="Heading8">
    <w:name w:val="heading 8"/>
    <w:basedOn w:val="Normal"/>
    <w:next w:val="Normal"/>
    <w:link w:val="Heading8Char"/>
    <w:uiPriority w:val="9"/>
    <w:semiHidden/>
    <w:unhideWhenUsed/>
    <w:qFormat/>
    <w:rsid w:val="00D60688"/>
    <w:pPr>
      <w:keepNext/>
      <w:keepLines/>
      <w:spacing w:before="40" w:after="0"/>
      <w:outlineLvl w:val="7"/>
    </w:pPr>
    <w:rPr>
      <w:rFonts w:asciiTheme="majorHAnsi" w:eastAsiaTheme="majorEastAsia" w:hAnsiTheme="majorHAnsi" w:cstheme="majorBidi"/>
      <w:b/>
      <w:bCs/>
      <w:i/>
      <w:iCs/>
      <w:color w:val="253356" w:themeColor="accent1" w:themeShade="80"/>
    </w:rPr>
  </w:style>
  <w:style w:type="paragraph" w:styleId="Heading9">
    <w:name w:val="heading 9"/>
    <w:basedOn w:val="Normal"/>
    <w:next w:val="Normal"/>
    <w:link w:val="Heading9Char"/>
    <w:uiPriority w:val="9"/>
    <w:semiHidden/>
    <w:unhideWhenUsed/>
    <w:qFormat/>
    <w:rsid w:val="00D60688"/>
    <w:pPr>
      <w:keepNext/>
      <w:keepLines/>
      <w:spacing w:before="40" w:after="0"/>
      <w:outlineLvl w:val="8"/>
    </w:pPr>
    <w:rPr>
      <w:rFonts w:asciiTheme="majorHAnsi" w:eastAsiaTheme="majorEastAsia" w:hAnsiTheme="majorHAnsi" w:cstheme="majorBidi"/>
      <w:i/>
      <w:iCs/>
      <w:color w:val="253356"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ind w:left="9"/>
    </w:pPr>
    <w:rPr>
      <w:rFonts w:ascii="Calibri" w:eastAsia="Calibri" w:hAnsi="Calibri" w:cs="Calibri"/>
      <w:color w:val="000000"/>
    </w:rPr>
  </w:style>
  <w:style w:type="character" w:customStyle="1" w:styleId="footnotedescriptionChar">
    <w:name w:val="footnote description Char"/>
    <w:link w:val="footnotedescription"/>
    <w:rPr>
      <w:rFonts w:ascii="Calibri" w:eastAsia="Calibri" w:hAnsi="Calibri" w:cs="Calibri"/>
      <w:color w:val="000000"/>
      <w:sz w:val="22"/>
    </w:rPr>
  </w:style>
  <w:style w:type="character" w:customStyle="1" w:styleId="Heading1Char">
    <w:name w:val="Heading 1 Char"/>
    <w:basedOn w:val="DefaultParagraphFont"/>
    <w:link w:val="Heading1"/>
    <w:uiPriority w:val="9"/>
    <w:rsid w:val="00D60688"/>
    <w:rPr>
      <w:rFonts w:asciiTheme="majorHAnsi" w:eastAsiaTheme="majorEastAsia" w:hAnsiTheme="majorHAnsi" w:cstheme="majorBidi"/>
      <w:color w:val="253356" w:themeColor="accent1" w:themeShade="80"/>
      <w:sz w:val="36"/>
      <w:szCs w:val="36"/>
    </w:rPr>
  </w:style>
  <w:style w:type="character" w:customStyle="1" w:styleId="Heading2Char">
    <w:name w:val="Heading 2 Char"/>
    <w:basedOn w:val="DefaultParagraphFont"/>
    <w:link w:val="Heading2"/>
    <w:uiPriority w:val="9"/>
    <w:rsid w:val="00D60688"/>
    <w:rPr>
      <w:rFonts w:asciiTheme="majorHAnsi" w:eastAsiaTheme="majorEastAsia" w:hAnsiTheme="majorHAnsi" w:cstheme="majorBidi"/>
      <w:color w:val="374C80" w:themeColor="accent1" w:themeShade="BF"/>
      <w:sz w:val="32"/>
      <w:szCs w:val="32"/>
    </w:rPr>
  </w:style>
  <w:style w:type="character" w:customStyle="1" w:styleId="footnotemark">
    <w:name w:val="footnote mark"/>
    <w:hidden/>
    <w:rPr>
      <w:rFonts w:ascii="Calibri" w:eastAsia="Calibri" w:hAnsi="Calibri" w:cs="Calibri"/>
      <w:color w:val="000000"/>
      <w:sz w:val="34"/>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275E20"/>
    <w:rPr>
      <w:color w:val="9454C3" w:themeColor="hyperlink"/>
      <w:u w:val="single"/>
    </w:rPr>
  </w:style>
  <w:style w:type="character" w:customStyle="1" w:styleId="Heading3Char">
    <w:name w:val="Heading 3 Char"/>
    <w:basedOn w:val="DefaultParagraphFont"/>
    <w:link w:val="Heading3"/>
    <w:uiPriority w:val="9"/>
    <w:rsid w:val="00D60688"/>
    <w:rPr>
      <w:rFonts w:asciiTheme="majorHAnsi" w:eastAsiaTheme="majorEastAsia" w:hAnsiTheme="majorHAnsi" w:cstheme="majorBidi"/>
      <w:color w:val="374C80" w:themeColor="accent1" w:themeShade="BF"/>
      <w:sz w:val="28"/>
      <w:szCs w:val="28"/>
    </w:rPr>
  </w:style>
  <w:style w:type="character" w:customStyle="1" w:styleId="Heading4Char">
    <w:name w:val="Heading 4 Char"/>
    <w:basedOn w:val="DefaultParagraphFont"/>
    <w:link w:val="Heading4"/>
    <w:uiPriority w:val="9"/>
    <w:rsid w:val="00D60688"/>
    <w:rPr>
      <w:rFonts w:asciiTheme="majorHAnsi" w:eastAsiaTheme="majorEastAsia" w:hAnsiTheme="majorHAnsi" w:cstheme="majorBidi"/>
      <w:color w:val="374C80" w:themeColor="accent1" w:themeShade="BF"/>
      <w:sz w:val="24"/>
      <w:szCs w:val="24"/>
    </w:rPr>
  </w:style>
  <w:style w:type="character" w:customStyle="1" w:styleId="Heading5Char">
    <w:name w:val="Heading 5 Char"/>
    <w:basedOn w:val="DefaultParagraphFont"/>
    <w:link w:val="Heading5"/>
    <w:uiPriority w:val="9"/>
    <w:rsid w:val="00D60688"/>
    <w:rPr>
      <w:rFonts w:asciiTheme="majorHAnsi" w:eastAsiaTheme="majorEastAsia" w:hAnsiTheme="majorHAnsi" w:cstheme="majorBidi"/>
      <w:caps/>
      <w:color w:val="374C80" w:themeColor="accent1" w:themeShade="BF"/>
    </w:rPr>
  </w:style>
  <w:style w:type="character" w:customStyle="1" w:styleId="Heading6Char">
    <w:name w:val="Heading 6 Char"/>
    <w:basedOn w:val="DefaultParagraphFont"/>
    <w:link w:val="Heading6"/>
    <w:uiPriority w:val="9"/>
    <w:rsid w:val="00D60688"/>
    <w:rPr>
      <w:rFonts w:asciiTheme="majorHAnsi" w:eastAsiaTheme="majorEastAsia" w:hAnsiTheme="majorHAnsi" w:cstheme="majorBidi"/>
      <w:i/>
      <w:iCs/>
      <w:caps/>
      <w:color w:val="253356" w:themeColor="accent1" w:themeShade="80"/>
    </w:rPr>
  </w:style>
  <w:style w:type="character" w:customStyle="1" w:styleId="Heading7Char">
    <w:name w:val="Heading 7 Char"/>
    <w:basedOn w:val="DefaultParagraphFont"/>
    <w:link w:val="Heading7"/>
    <w:uiPriority w:val="9"/>
    <w:semiHidden/>
    <w:rsid w:val="00D60688"/>
    <w:rPr>
      <w:rFonts w:asciiTheme="majorHAnsi" w:eastAsiaTheme="majorEastAsia" w:hAnsiTheme="majorHAnsi" w:cstheme="majorBidi"/>
      <w:b/>
      <w:bCs/>
      <w:color w:val="253356" w:themeColor="accent1" w:themeShade="80"/>
    </w:rPr>
  </w:style>
  <w:style w:type="character" w:customStyle="1" w:styleId="Heading8Char">
    <w:name w:val="Heading 8 Char"/>
    <w:basedOn w:val="DefaultParagraphFont"/>
    <w:link w:val="Heading8"/>
    <w:uiPriority w:val="9"/>
    <w:semiHidden/>
    <w:rsid w:val="00D60688"/>
    <w:rPr>
      <w:rFonts w:asciiTheme="majorHAnsi" w:eastAsiaTheme="majorEastAsia" w:hAnsiTheme="majorHAnsi" w:cstheme="majorBidi"/>
      <w:b/>
      <w:bCs/>
      <w:i/>
      <w:iCs/>
      <w:color w:val="253356" w:themeColor="accent1" w:themeShade="80"/>
    </w:rPr>
  </w:style>
  <w:style w:type="character" w:customStyle="1" w:styleId="Heading9Char">
    <w:name w:val="Heading 9 Char"/>
    <w:basedOn w:val="DefaultParagraphFont"/>
    <w:link w:val="Heading9"/>
    <w:uiPriority w:val="9"/>
    <w:semiHidden/>
    <w:rsid w:val="00D60688"/>
    <w:rPr>
      <w:rFonts w:asciiTheme="majorHAnsi" w:eastAsiaTheme="majorEastAsia" w:hAnsiTheme="majorHAnsi" w:cstheme="majorBidi"/>
      <w:i/>
      <w:iCs/>
      <w:color w:val="253356" w:themeColor="accent1" w:themeShade="80"/>
    </w:rPr>
  </w:style>
  <w:style w:type="paragraph" w:styleId="Caption">
    <w:name w:val="caption"/>
    <w:basedOn w:val="Normal"/>
    <w:next w:val="Normal"/>
    <w:uiPriority w:val="35"/>
    <w:unhideWhenUsed/>
    <w:qFormat/>
    <w:rsid w:val="00D60688"/>
    <w:pPr>
      <w:spacing w:line="240" w:lineRule="auto"/>
    </w:pPr>
    <w:rPr>
      <w:b/>
      <w:bCs/>
      <w:smallCaps/>
      <w:color w:val="242852" w:themeColor="text2"/>
    </w:rPr>
  </w:style>
  <w:style w:type="paragraph" w:styleId="Title">
    <w:name w:val="Title"/>
    <w:basedOn w:val="Normal"/>
    <w:next w:val="Normal"/>
    <w:link w:val="TitleChar"/>
    <w:uiPriority w:val="10"/>
    <w:qFormat/>
    <w:rsid w:val="00D60688"/>
    <w:pPr>
      <w:spacing w:after="0" w:line="204" w:lineRule="auto"/>
      <w:contextualSpacing/>
    </w:pPr>
    <w:rPr>
      <w:rFonts w:asciiTheme="majorHAnsi" w:eastAsiaTheme="majorEastAsia" w:hAnsiTheme="majorHAnsi" w:cstheme="majorBidi"/>
      <w:caps/>
      <w:color w:val="242852" w:themeColor="text2"/>
      <w:spacing w:val="-15"/>
      <w:sz w:val="72"/>
      <w:szCs w:val="72"/>
    </w:rPr>
  </w:style>
  <w:style w:type="character" w:customStyle="1" w:styleId="TitleChar">
    <w:name w:val="Title Char"/>
    <w:basedOn w:val="DefaultParagraphFont"/>
    <w:link w:val="Title"/>
    <w:uiPriority w:val="10"/>
    <w:rsid w:val="00D60688"/>
    <w:rPr>
      <w:rFonts w:asciiTheme="majorHAnsi" w:eastAsiaTheme="majorEastAsia" w:hAnsiTheme="majorHAnsi" w:cstheme="majorBidi"/>
      <w:caps/>
      <w:color w:val="242852" w:themeColor="text2"/>
      <w:spacing w:val="-15"/>
      <w:sz w:val="72"/>
      <w:szCs w:val="72"/>
    </w:rPr>
  </w:style>
  <w:style w:type="paragraph" w:styleId="Subtitle">
    <w:name w:val="Subtitle"/>
    <w:basedOn w:val="Normal"/>
    <w:next w:val="Normal"/>
    <w:link w:val="SubtitleChar"/>
    <w:uiPriority w:val="11"/>
    <w:qFormat/>
    <w:rsid w:val="00D60688"/>
    <w:pPr>
      <w:numPr>
        <w:ilvl w:val="1"/>
      </w:numPr>
      <w:spacing w:after="240" w:line="240" w:lineRule="auto"/>
    </w:pPr>
    <w:rPr>
      <w:rFonts w:asciiTheme="majorHAnsi" w:eastAsiaTheme="majorEastAsia" w:hAnsiTheme="majorHAnsi" w:cstheme="majorBidi"/>
      <w:color w:val="4A66AC" w:themeColor="accent1"/>
      <w:sz w:val="28"/>
      <w:szCs w:val="28"/>
    </w:rPr>
  </w:style>
  <w:style w:type="character" w:customStyle="1" w:styleId="SubtitleChar">
    <w:name w:val="Subtitle Char"/>
    <w:basedOn w:val="DefaultParagraphFont"/>
    <w:link w:val="Subtitle"/>
    <w:uiPriority w:val="11"/>
    <w:rsid w:val="00D60688"/>
    <w:rPr>
      <w:rFonts w:asciiTheme="majorHAnsi" w:eastAsiaTheme="majorEastAsia" w:hAnsiTheme="majorHAnsi" w:cstheme="majorBidi"/>
      <w:color w:val="4A66AC" w:themeColor="accent1"/>
      <w:sz w:val="28"/>
      <w:szCs w:val="28"/>
    </w:rPr>
  </w:style>
  <w:style w:type="character" w:styleId="Strong">
    <w:name w:val="Strong"/>
    <w:basedOn w:val="DefaultParagraphFont"/>
    <w:uiPriority w:val="22"/>
    <w:qFormat/>
    <w:rsid w:val="00D60688"/>
    <w:rPr>
      <w:b/>
      <w:bCs/>
    </w:rPr>
  </w:style>
  <w:style w:type="character" w:styleId="Emphasis">
    <w:name w:val="Emphasis"/>
    <w:basedOn w:val="DefaultParagraphFont"/>
    <w:uiPriority w:val="20"/>
    <w:qFormat/>
    <w:rsid w:val="00D60688"/>
    <w:rPr>
      <w:i/>
      <w:iCs/>
    </w:rPr>
  </w:style>
  <w:style w:type="paragraph" w:styleId="NoSpacing">
    <w:name w:val="No Spacing"/>
    <w:link w:val="NoSpacingChar"/>
    <w:uiPriority w:val="1"/>
    <w:qFormat/>
    <w:rsid w:val="00D60688"/>
    <w:pPr>
      <w:spacing w:after="0" w:line="240" w:lineRule="auto"/>
    </w:pPr>
  </w:style>
  <w:style w:type="paragraph" w:styleId="Quote">
    <w:name w:val="Quote"/>
    <w:basedOn w:val="Normal"/>
    <w:next w:val="Normal"/>
    <w:link w:val="QuoteChar"/>
    <w:uiPriority w:val="29"/>
    <w:qFormat/>
    <w:rsid w:val="00D60688"/>
    <w:pPr>
      <w:spacing w:before="120" w:after="120"/>
      <w:ind w:left="720"/>
    </w:pPr>
    <w:rPr>
      <w:color w:val="242852" w:themeColor="text2"/>
      <w:sz w:val="24"/>
      <w:szCs w:val="24"/>
    </w:rPr>
  </w:style>
  <w:style w:type="character" w:customStyle="1" w:styleId="QuoteChar">
    <w:name w:val="Quote Char"/>
    <w:basedOn w:val="DefaultParagraphFont"/>
    <w:link w:val="Quote"/>
    <w:uiPriority w:val="29"/>
    <w:rsid w:val="00D60688"/>
    <w:rPr>
      <w:color w:val="242852" w:themeColor="text2"/>
      <w:sz w:val="24"/>
      <w:szCs w:val="24"/>
    </w:rPr>
  </w:style>
  <w:style w:type="paragraph" w:styleId="IntenseQuote">
    <w:name w:val="Intense Quote"/>
    <w:basedOn w:val="Normal"/>
    <w:next w:val="Normal"/>
    <w:link w:val="IntenseQuoteChar"/>
    <w:uiPriority w:val="30"/>
    <w:qFormat/>
    <w:rsid w:val="00D60688"/>
    <w:pPr>
      <w:spacing w:before="100" w:beforeAutospacing="1" w:after="240" w:line="240" w:lineRule="auto"/>
      <w:ind w:left="720"/>
      <w:jc w:val="center"/>
    </w:pPr>
    <w:rPr>
      <w:rFonts w:asciiTheme="majorHAnsi" w:eastAsiaTheme="majorEastAsia" w:hAnsiTheme="majorHAnsi" w:cstheme="majorBidi"/>
      <w:color w:val="242852" w:themeColor="text2"/>
      <w:spacing w:val="-6"/>
      <w:sz w:val="32"/>
      <w:szCs w:val="32"/>
    </w:rPr>
  </w:style>
  <w:style w:type="character" w:customStyle="1" w:styleId="IntenseQuoteChar">
    <w:name w:val="Intense Quote Char"/>
    <w:basedOn w:val="DefaultParagraphFont"/>
    <w:link w:val="IntenseQuote"/>
    <w:uiPriority w:val="30"/>
    <w:rsid w:val="00D60688"/>
    <w:rPr>
      <w:rFonts w:asciiTheme="majorHAnsi" w:eastAsiaTheme="majorEastAsia" w:hAnsiTheme="majorHAnsi" w:cstheme="majorBidi"/>
      <w:color w:val="242852" w:themeColor="text2"/>
      <w:spacing w:val="-6"/>
      <w:sz w:val="32"/>
      <w:szCs w:val="32"/>
    </w:rPr>
  </w:style>
  <w:style w:type="character" w:styleId="SubtleEmphasis">
    <w:name w:val="Subtle Emphasis"/>
    <w:basedOn w:val="DefaultParagraphFont"/>
    <w:uiPriority w:val="19"/>
    <w:qFormat/>
    <w:rsid w:val="00D60688"/>
    <w:rPr>
      <w:i/>
      <w:iCs/>
      <w:color w:val="595959" w:themeColor="text1" w:themeTint="A6"/>
    </w:rPr>
  </w:style>
  <w:style w:type="character" w:styleId="IntenseEmphasis">
    <w:name w:val="Intense Emphasis"/>
    <w:basedOn w:val="DefaultParagraphFont"/>
    <w:uiPriority w:val="21"/>
    <w:qFormat/>
    <w:rsid w:val="00D60688"/>
    <w:rPr>
      <w:b/>
      <w:bCs/>
      <w:i/>
      <w:iCs/>
    </w:rPr>
  </w:style>
  <w:style w:type="character" w:styleId="SubtleReference">
    <w:name w:val="Subtle Reference"/>
    <w:basedOn w:val="DefaultParagraphFont"/>
    <w:uiPriority w:val="31"/>
    <w:qFormat/>
    <w:rsid w:val="00D60688"/>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D60688"/>
    <w:rPr>
      <w:b/>
      <w:bCs/>
      <w:smallCaps/>
      <w:color w:val="242852" w:themeColor="text2"/>
      <w:u w:val="single"/>
    </w:rPr>
  </w:style>
  <w:style w:type="character" w:styleId="BookTitle">
    <w:name w:val="Book Title"/>
    <w:basedOn w:val="DefaultParagraphFont"/>
    <w:uiPriority w:val="33"/>
    <w:qFormat/>
    <w:rsid w:val="00D60688"/>
    <w:rPr>
      <w:b/>
      <w:bCs/>
      <w:smallCaps/>
      <w:spacing w:val="10"/>
    </w:rPr>
  </w:style>
  <w:style w:type="paragraph" w:styleId="TOCHeading">
    <w:name w:val="TOC Heading"/>
    <w:basedOn w:val="Heading1"/>
    <w:next w:val="Normal"/>
    <w:uiPriority w:val="39"/>
    <w:unhideWhenUsed/>
    <w:qFormat/>
    <w:rsid w:val="00D60688"/>
    <w:pPr>
      <w:outlineLvl w:val="9"/>
    </w:pPr>
  </w:style>
  <w:style w:type="paragraph" w:styleId="ListParagraph">
    <w:name w:val="List Paragraph"/>
    <w:basedOn w:val="Normal"/>
    <w:uiPriority w:val="34"/>
    <w:qFormat/>
    <w:rsid w:val="001F7EF7"/>
    <w:pPr>
      <w:ind w:left="720"/>
      <w:contextualSpacing/>
    </w:pPr>
  </w:style>
  <w:style w:type="paragraph" w:styleId="Header">
    <w:name w:val="header"/>
    <w:basedOn w:val="Normal"/>
    <w:link w:val="HeaderChar"/>
    <w:uiPriority w:val="99"/>
    <w:unhideWhenUsed/>
    <w:rsid w:val="00C115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15B5"/>
  </w:style>
  <w:style w:type="paragraph" w:styleId="Footer">
    <w:name w:val="footer"/>
    <w:basedOn w:val="Normal"/>
    <w:link w:val="FooterChar"/>
    <w:uiPriority w:val="99"/>
    <w:unhideWhenUsed/>
    <w:rsid w:val="00C115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15B5"/>
  </w:style>
  <w:style w:type="paragraph" w:styleId="TOC1">
    <w:name w:val="toc 1"/>
    <w:basedOn w:val="Normal"/>
    <w:next w:val="Normal"/>
    <w:autoRedefine/>
    <w:uiPriority w:val="39"/>
    <w:unhideWhenUsed/>
    <w:rsid w:val="003B208D"/>
    <w:pPr>
      <w:spacing w:after="100"/>
    </w:pPr>
  </w:style>
  <w:style w:type="paragraph" w:styleId="TOC2">
    <w:name w:val="toc 2"/>
    <w:basedOn w:val="Normal"/>
    <w:next w:val="Normal"/>
    <w:autoRedefine/>
    <w:uiPriority w:val="39"/>
    <w:unhideWhenUsed/>
    <w:rsid w:val="003B208D"/>
    <w:pPr>
      <w:spacing w:after="100"/>
      <w:ind w:left="220"/>
    </w:pPr>
  </w:style>
  <w:style w:type="paragraph" w:styleId="TOC3">
    <w:name w:val="toc 3"/>
    <w:basedOn w:val="Normal"/>
    <w:next w:val="Normal"/>
    <w:autoRedefine/>
    <w:uiPriority w:val="39"/>
    <w:unhideWhenUsed/>
    <w:rsid w:val="003B208D"/>
    <w:pPr>
      <w:spacing w:after="100"/>
      <w:ind w:left="440"/>
    </w:pPr>
  </w:style>
  <w:style w:type="paragraph" w:styleId="TOC4">
    <w:name w:val="toc 4"/>
    <w:basedOn w:val="Normal"/>
    <w:next w:val="Normal"/>
    <w:autoRedefine/>
    <w:uiPriority w:val="39"/>
    <w:unhideWhenUsed/>
    <w:rsid w:val="003B208D"/>
    <w:pPr>
      <w:spacing w:after="100"/>
      <w:ind w:left="660"/>
    </w:pPr>
  </w:style>
  <w:style w:type="paragraph" w:styleId="TOC5">
    <w:name w:val="toc 5"/>
    <w:basedOn w:val="Normal"/>
    <w:next w:val="Normal"/>
    <w:autoRedefine/>
    <w:uiPriority w:val="39"/>
    <w:unhideWhenUsed/>
    <w:rsid w:val="003B208D"/>
    <w:pPr>
      <w:spacing w:after="100"/>
      <w:ind w:left="880"/>
    </w:pPr>
  </w:style>
  <w:style w:type="paragraph" w:styleId="TOC6">
    <w:name w:val="toc 6"/>
    <w:basedOn w:val="Normal"/>
    <w:next w:val="Normal"/>
    <w:autoRedefine/>
    <w:uiPriority w:val="39"/>
    <w:unhideWhenUsed/>
    <w:rsid w:val="003B208D"/>
    <w:pPr>
      <w:spacing w:after="100"/>
      <w:ind w:left="1100"/>
    </w:pPr>
  </w:style>
  <w:style w:type="paragraph" w:styleId="TOC7">
    <w:name w:val="toc 7"/>
    <w:basedOn w:val="Normal"/>
    <w:next w:val="Normal"/>
    <w:autoRedefine/>
    <w:uiPriority w:val="39"/>
    <w:unhideWhenUsed/>
    <w:rsid w:val="003B208D"/>
    <w:pPr>
      <w:spacing w:after="100"/>
      <w:ind w:left="1320"/>
    </w:pPr>
  </w:style>
  <w:style w:type="paragraph" w:styleId="TOC8">
    <w:name w:val="toc 8"/>
    <w:basedOn w:val="Normal"/>
    <w:next w:val="Normal"/>
    <w:autoRedefine/>
    <w:uiPriority w:val="39"/>
    <w:unhideWhenUsed/>
    <w:rsid w:val="003B208D"/>
    <w:pPr>
      <w:spacing w:after="100"/>
      <w:ind w:left="1540"/>
    </w:pPr>
  </w:style>
  <w:style w:type="paragraph" w:styleId="TOC9">
    <w:name w:val="toc 9"/>
    <w:basedOn w:val="Normal"/>
    <w:next w:val="Normal"/>
    <w:autoRedefine/>
    <w:uiPriority w:val="39"/>
    <w:unhideWhenUsed/>
    <w:rsid w:val="003B208D"/>
    <w:pPr>
      <w:spacing w:after="100"/>
      <w:ind w:left="1760"/>
    </w:pPr>
  </w:style>
  <w:style w:type="character" w:styleId="UnresolvedMention">
    <w:name w:val="Unresolved Mention"/>
    <w:basedOn w:val="DefaultParagraphFont"/>
    <w:uiPriority w:val="99"/>
    <w:semiHidden/>
    <w:unhideWhenUsed/>
    <w:rsid w:val="003B208D"/>
    <w:rPr>
      <w:color w:val="605E5C"/>
      <w:shd w:val="clear" w:color="auto" w:fill="E1DFDD"/>
    </w:rPr>
  </w:style>
  <w:style w:type="paragraph" w:styleId="Bibliography">
    <w:name w:val="Bibliography"/>
    <w:basedOn w:val="Normal"/>
    <w:next w:val="Normal"/>
    <w:uiPriority w:val="37"/>
    <w:unhideWhenUsed/>
    <w:rsid w:val="006E452D"/>
    <w:pPr>
      <w:tabs>
        <w:tab w:val="left" w:pos="384"/>
      </w:tabs>
      <w:spacing w:after="0" w:line="240" w:lineRule="auto"/>
      <w:ind w:left="384" w:hanging="384"/>
    </w:pPr>
  </w:style>
  <w:style w:type="table" w:styleId="TableGrid0">
    <w:name w:val="Table Grid"/>
    <w:basedOn w:val="TableNormal"/>
    <w:uiPriority w:val="39"/>
    <w:rsid w:val="007773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Accent5">
    <w:name w:val="List Table 4 Accent 5"/>
    <w:basedOn w:val="TableNormal"/>
    <w:uiPriority w:val="49"/>
    <w:rsid w:val="00685FB5"/>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tcBorders>
        <w:shd w:val="clear" w:color="auto" w:fill="5AA2AE" w:themeFill="accent5"/>
      </w:tcPr>
    </w:tblStylePr>
    <w:tblStylePr w:type="lastRow">
      <w:rPr>
        <w:b/>
        <w:bCs/>
      </w:rPr>
      <w:tblPr/>
      <w:tcPr>
        <w:tcBorders>
          <w:top w:val="double" w:sz="4" w:space="0" w:color="9BC7CE" w:themeColor="accent5" w:themeTint="99"/>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paragraph" w:styleId="FootnoteText">
    <w:name w:val="footnote text"/>
    <w:basedOn w:val="Normal"/>
    <w:link w:val="FootnoteTextChar"/>
    <w:uiPriority w:val="99"/>
    <w:semiHidden/>
    <w:unhideWhenUsed/>
    <w:rsid w:val="00EA1CE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1CE4"/>
    <w:rPr>
      <w:sz w:val="20"/>
      <w:szCs w:val="20"/>
    </w:rPr>
  </w:style>
  <w:style w:type="character" w:styleId="FootnoteReference">
    <w:name w:val="footnote reference"/>
    <w:basedOn w:val="DefaultParagraphFont"/>
    <w:uiPriority w:val="99"/>
    <w:semiHidden/>
    <w:unhideWhenUsed/>
    <w:rsid w:val="00EA1CE4"/>
    <w:rPr>
      <w:vertAlign w:val="superscript"/>
    </w:rPr>
  </w:style>
  <w:style w:type="character" w:styleId="CommentReference">
    <w:name w:val="annotation reference"/>
    <w:basedOn w:val="DefaultParagraphFont"/>
    <w:uiPriority w:val="99"/>
    <w:semiHidden/>
    <w:unhideWhenUsed/>
    <w:rsid w:val="00D56543"/>
    <w:rPr>
      <w:sz w:val="16"/>
      <w:szCs w:val="16"/>
    </w:rPr>
  </w:style>
  <w:style w:type="paragraph" w:styleId="CommentText">
    <w:name w:val="annotation text"/>
    <w:basedOn w:val="Normal"/>
    <w:link w:val="CommentTextChar"/>
    <w:uiPriority w:val="99"/>
    <w:semiHidden/>
    <w:unhideWhenUsed/>
    <w:rsid w:val="00D56543"/>
    <w:pPr>
      <w:spacing w:line="240" w:lineRule="auto"/>
    </w:pPr>
    <w:rPr>
      <w:sz w:val="20"/>
      <w:szCs w:val="20"/>
    </w:rPr>
  </w:style>
  <w:style w:type="character" w:customStyle="1" w:styleId="CommentTextChar">
    <w:name w:val="Comment Text Char"/>
    <w:basedOn w:val="DefaultParagraphFont"/>
    <w:link w:val="CommentText"/>
    <w:uiPriority w:val="99"/>
    <w:semiHidden/>
    <w:rsid w:val="00D56543"/>
    <w:rPr>
      <w:sz w:val="20"/>
      <w:szCs w:val="20"/>
    </w:rPr>
  </w:style>
  <w:style w:type="paragraph" w:styleId="CommentSubject">
    <w:name w:val="annotation subject"/>
    <w:basedOn w:val="CommentText"/>
    <w:next w:val="CommentText"/>
    <w:link w:val="CommentSubjectChar"/>
    <w:uiPriority w:val="99"/>
    <w:semiHidden/>
    <w:unhideWhenUsed/>
    <w:rsid w:val="00D56543"/>
    <w:rPr>
      <w:b/>
      <w:bCs/>
    </w:rPr>
  </w:style>
  <w:style w:type="character" w:customStyle="1" w:styleId="CommentSubjectChar">
    <w:name w:val="Comment Subject Char"/>
    <w:basedOn w:val="CommentTextChar"/>
    <w:link w:val="CommentSubject"/>
    <w:uiPriority w:val="99"/>
    <w:semiHidden/>
    <w:rsid w:val="00D56543"/>
    <w:rPr>
      <w:b/>
      <w:bCs/>
      <w:sz w:val="20"/>
      <w:szCs w:val="20"/>
    </w:rPr>
  </w:style>
  <w:style w:type="character" w:customStyle="1" w:styleId="NoSpacingChar">
    <w:name w:val="No Spacing Char"/>
    <w:basedOn w:val="DefaultParagraphFont"/>
    <w:link w:val="NoSpacing"/>
    <w:uiPriority w:val="1"/>
    <w:rsid w:val="001C6071"/>
  </w:style>
  <w:style w:type="table" w:styleId="ListTable4-Accent2">
    <w:name w:val="List Table 4 Accent 2"/>
    <w:basedOn w:val="TableNormal"/>
    <w:uiPriority w:val="49"/>
    <w:rsid w:val="006F3660"/>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tcBorders>
        <w:shd w:val="clear" w:color="auto" w:fill="629DD1" w:themeFill="accent2"/>
      </w:tcPr>
    </w:tblStylePr>
    <w:tblStylePr w:type="lastRow">
      <w:rPr>
        <w:b/>
        <w:bCs/>
      </w:rPr>
      <w:tblPr/>
      <w:tcPr>
        <w:tcBorders>
          <w:top w:val="double" w:sz="4" w:space="0" w:color="A0C3E3" w:themeColor="accent2" w:themeTint="99"/>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table" w:styleId="ListTable3-Accent6">
    <w:name w:val="List Table 3 Accent 6"/>
    <w:basedOn w:val="TableNormal"/>
    <w:uiPriority w:val="48"/>
    <w:rsid w:val="006F3660"/>
    <w:pPr>
      <w:spacing w:after="0" w:line="240" w:lineRule="auto"/>
    </w:pPr>
    <w:tblPr>
      <w:tblStyleRowBandSize w:val="1"/>
      <w:tblStyleColBandSize w:val="1"/>
      <w:tblBorders>
        <w:top w:val="single" w:sz="4" w:space="0" w:color="9D90A0" w:themeColor="accent6"/>
        <w:left w:val="single" w:sz="4" w:space="0" w:color="9D90A0" w:themeColor="accent6"/>
        <w:bottom w:val="single" w:sz="4" w:space="0" w:color="9D90A0" w:themeColor="accent6"/>
        <w:right w:val="single" w:sz="4" w:space="0" w:color="9D90A0" w:themeColor="accent6"/>
      </w:tblBorders>
    </w:tblPr>
    <w:tblStylePr w:type="firstRow">
      <w:rPr>
        <w:b/>
        <w:bCs/>
        <w:color w:val="FFFFFF" w:themeColor="background1"/>
      </w:rPr>
      <w:tblPr/>
      <w:tcPr>
        <w:shd w:val="clear" w:color="auto" w:fill="9D90A0" w:themeFill="accent6"/>
      </w:tcPr>
    </w:tblStylePr>
    <w:tblStylePr w:type="lastRow">
      <w:rPr>
        <w:b/>
        <w:bCs/>
      </w:rPr>
      <w:tblPr/>
      <w:tcPr>
        <w:tcBorders>
          <w:top w:val="double" w:sz="4" w:space="0" w:color="9D90A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D90A0" w:themeColor="accent6"/>
          <w:right w:val="single" w:sz="4" w:space="0" w:color="9D90A0" w:themeColor="accent6"/>
        </w:tcBorders>
      </w:tcPr>
    </w:tblStylePr>
    <w:tblStylePr w:type="band1Horz">
      <w:tblPr/>
      <w:tcPr>
        <w:tcBorders>
          <w:top w:val="single" w:sz="4" w:space="0" w:color="9D90A0" w:themeColor="accent6"/>
          <w:bottom w:val="single" w:sz="4" w:space="0" w:color="9D90A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D90A0" w:themeColor="accent6"/>
          <w:left w:val="nil"/>
        </w:tcBorders>
      </w:tcPr>
    </w:tblStylePr>
    <w:tblStylePr w:type="swCell">
      <w:tblPr/>
      <w:tcPr>
        <w:tcBorders>
          <w:top w:val="double" w:sz="4" w:space="0" w:color="9D90A0" w:themeColor="accent6"/>
          <w:right w:val="nil"/>
        </w:tcBorders>
      </w:tcPr>
    </w:tblStylePr>
  </w:style>
  <w:style w:type="paragraph" w:styleId="Revision">
    <w:name w:val="Revision"/>
    <w:hidden/>
    <w:uiPriority w:val="99"/>
    <w:semiHidden/>
    <w:rsid w:val="00F2168F"/>
    <w:pPr>
      <w:spacing w:after="0" w:line="240" w:lineRule="auto"/>
    </w:pPr>
  </w:style>
  <w:style w:type="character" w:styleId="FollowedHyperlink">
    <w:name w:val="FollowedHyperlink"/>
    <w:basedOn w:val="DefaultParagraphFont"/>
    <w:uiPriority w:val="99"/>
    <w:semiHidden/>
    <w:unhideWhenUsed/>
    <w:rsid w:val="00DB32C2"/>
    <w:rPr>
      <w:color w:val="3EBBF0" w:themeColor="followedHyperlink"/>
      <w:u w:val="single"/>
    </w:rPr>
  </w:style>
  <w:style w:type="table" w:styleId="GridTable4-Accent5">
    <w:name w:val="Grid Table 4 Accent 5"/>
    <w:basedOn w:val="TableNormal"/>
    <w:uiPriority w:val="49"/>
    <w:rsid w:val="00F42ADE"/>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insideV w:val="nil"/>
        </w:tcBorders>
        <w:shd w:val="clear" w:color="auto" w:fill="5AA2AE" w:themeFill="accent5"/>
      </w:tcPr>
    </w:tblStylePr>
    <w:tblStylePr w:type="lastRow">
      <w:rPr>
        <w:b/>
        <w:bCs/>
      </w:rPr>
      <w:tblPr/>
      <w:tcPr>
        <w:tcBorders>
          <w:top w:val="double" w:sz="4" w:space="0" w:color="5AA2AE" w:themeColor="accent5"/>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GridTable5Dark-Accent5">
    <w:name w:val="Grid Table 5 Dark Accent 5"/>
    <w:basedOn w:val="TableNormal"/>
    <w:uiPriority w:val="50"/>
    <w:rsid w:val="0098039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C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A2AE"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A2AE"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A2AE"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A2AE" w:themeFill="accent5"/>
      </w:tcPr>
    </w:tblStylePr>
    <w:tblStylePr w:type="band1Vert">
      <w:tblPr/>
      <w:tcPr>
        <w:shd w:val="clear" w:color="auto" w:fill="BCD9DE" w:themeFill="accent5" w:themeFillTint="66"/>
      </w:tcPr>
    </w:tblStylePr>
    <w:tblStylePr w:type="band1Horz">
      <w:tblPr/>
      <w:tcPr>
        <w:shd w:val="clear" w:color="auto" w:fill="BCD9DE" w:themeFill="accent5" w:themeFillTint="66"/>
      </w:tcPr>
    </w:tblStylePr>
  </w:style>
  <w:style w:type="table" w:styleId="GridTable4-Accent1">
    <w:name w:val="Grid Table 4 Accent 1"/>
    <w:basedOn w:val="TableNormal"/>
    <w:uiPriority w:val="49"/>
    <w:rsid w:val="00BF381B"/>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GridTable5Dark-Accent1">
    <w:name w:val="Grid Table 5 Dark Accent 1"/>
    <w:basedOn w:val="TableNormal"/>
    <w:uiPriority w:val="50"/>
    <w:rsid w:val="0080432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table" w:styleId="PlainTable4">
    <w:name w:val="Plain Table 4"/>
    <w:basedOn w:val="TableNormal"/>
    <w:uiPriority w:val="44"/>
    <w:rsid w:val="00990A8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1Light-Accent2">
    <w:name w:val="List Table 1 Light Accent 2"/>
    <w:basedOn w:val="TableNormal"/>
    <w:uiPriority w:val="46"/>
    <w:rsid w:val="001653BA"/>
    <w:pPr>
      <w:spacing w:after="0" w:line="240" w:lineRule="auto"/>
    </w:pPr>
    <w:tblPr>
      <w:tblStyleRowBandSize w:val="1"/>
      <w:tblStyleColBandSize w:val="1"/>
    </w:tblPr>
    <w:tblStylePr w:type="firstRow">
      <w:rPr>
        <w:b/>
        <w:bCs/>
      </w:rPr>
      <w:tblPr/>
      <w:tcPr>
        <w:tcBorders>
          <w:bottom w:val="single" w:sz="4" w:space="0" w:color="A0C3E3" w:themeColor="accent2" w:themeTint="99"/>
        </w:tcBorders>
      </w:tcPr>
    </w:tblStylePr>
    <w:tblStylePr w:type="lastRow">
      <w:rPr>
        <w:b/>
        <w:bCs/>
      </w:rPr>
      <w:tblPr/>
      <w:tcPr>
        <w:tcBorders>
          <w:top w:val="single" w:sz="4" w:space="0" w:color="A0C3E3" w:themeColor="accent2" w:themeTint="99"/>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character" w:styleId="PlaceholderText">
    <w:name w:val="Placeholder Text"/>
    <w:basedOn w:val="DefaultParagraphFont"/>
    <w:uiPriority w:val="99"/>
    <w:semiHidden/>
    <w:rsid w:val="005A1E1F"/>
    <w:rPr>
      <w:color w:val="808080"/>
    </w:rPr>
  </w:style>
  <w:style w:type="table" w:styleId="ListTable1Light-Accent3">
    <w:name w:val="List Table 1 Light Accent 3"/>
    <w:basedOn w:val="TableNormal"/>
    <w:uiPriority w:val="46"/>
    <w:rsid w:val="00327DF3"/>
    <w:pPr>
      <w:spacing w:after="0" w:line="240" w:lineRule="auto"/>
    </w:pPr>
    <w:tblPr>
      <w:tblStyleRowBandSize w:val="1"/>
      <w:tblStyleColBandSize w:val="1"/>
    </w:tblPr>
    <w:tblStylePr w:type="firstRow">
      <w:rPr>
        <w:b/>
        <w:bCs/>
      </w:rPr>
      <w:tblPr/>
      <w:tcPr>
        <w:tcBorders>
          <w:bottom w:val="single" w:sz="4" w:space="0" w:color="7EB1E6" w:themeColor="accent3" w:themeTint="99"/>
        </w:tcBorders>
      </w:tcPr>
    </w:tblStylePr>
    <w:tblStylePr w:type="lastRow">
      <w:rPr>
        <w:b/>
        <w:bCs/>
      </w:rPr>
      <w:tblPr/>
      <w:tcPr>
        <w:tcBorders>
          <w:top w:val="single" w:sz="4" w:space="0" w:color="7EB1E6" w:themeColor="accent3" w:themeTint="99"/>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ListTable3-Accent3">
    <w:name w:val="List Table 3 Accent 3"/>
    <w:basedOn w:val="TableNormal"/>
    <w:uiPriority w:val="48"/>
    <w:rsid w:val="00950638"/>
    <w:pPr>
      <w:spacing w:after="0" w:line="240" w:lineRule="auto"/>
    </w:pPr>
    <w:tblPr>
      <w:tblStyleRowBandSize w:val="1"/>
      <w:tblStyleColBandSize w:val="1"/>
      <w:tblBorders>
        <w:top w:val="single" w:sz="4" w:space="0" w:color="297FD5" w:themeColor="accent3"/>
        <w:left w:val="single" w:sz="4" w:space="0" w:color="297FD5" w:themeColor="accent3"/>
        <w:bottom w:val="single" w:sz="4" w:space="0" w:color="297FD5" w:themeColor="accent3"/>
        <w:right w:val="single" w:sz="4" w:space="0" w:color="297FD5" w:themeColor="accent3"/>
      </w:tblBorders>
    </w:tblPr>
    <w:tblStylePr w:type="firstRow">
      <w:rPr>
        <w:b/>
        <w:bCs/>
        <w:color w:val="FFFFFF" w:themeColor="background1"/>
      </w:rPr>
      <w:tblPr/>
      <w:tcPr>
        <w:shd w:val="clear" w:color="auto" w:fill="297FD5" w:themeFill="accent3"/>
      </w:tcPr>
    </w:tblStylePr>
    <w:tblStylePr w:type="lastRow">
      <w:rPr>
        <w:b/>
        <w:bCs/>
      </w:rPr>
      <w:tblPr/>
      <w:tcPr>
        <w:tcBorders>
          <w:top w:val="double" w:sz="4" w:space="0" w:color="297FD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97FD5" w:themeColor="accent3"/>
          <w:right w:val="single" w:sz="4" w:space="0" w:color="297FD5" w:themeColor="accent3"/>
        </w:tcBorders>
      </w:tcPr>
    </w:tblStylePr>
    <w:tblStylePr w:type="band1Horz">
      <w:tblPr/>
      <w:tcPr>
        <w:tcBorders>
          <w:top w:val="single" w:sz="4" w:space="0" w:color="297FD5" w:themeColor="accent3"/>
          <w:bottom w:val="single" w:sz="4" w:space="0" w:color="297FD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97FD5" w:themeColor="accent3"/>
          <w:left w:val="nil"/>
        </w:tcBorders>
      </w:tcPr>
    </w:tblStylePr>
    <w:tblStylePr w:type="swCell">
      <w:tblPr/>
      <w:tcPr>
        <w:tcBorders>
          <w:top w:val="double" w:sz="4" w:space="0" w:color="297FD5" w:themeColor="accent3"/>
          <w:right w:val="nil"/>
        </w:tcBorders>
      </w:tcPr>
    </w:tblStylePr>
  </w:style>
  <w:style w:type="table" w:styleId="GridTable2-Accent1">
    <w:name w:val="Grid Table 2 Accent 1"/>
    <w:basedOn w:val="TableNormal"/>
    <w:uiPriority w:val="47"/>
    <w:rsid w:val="00235791"/>
    <w:pPr>
      <w:spacing w:after="0" w:line="240" w:lineRule="auto"/>
    </w:pPr>
    <w:tblPr>
      <w:tblStyleRowBandSize w:val="1"/>
      <w:tblStyleColBandSize w:val="1"/>
      <w:tblBorders>
        <w:top w:val="single" w:sz="2" w:space="0" w:color="90A1CF" w:themeColor="accent1" w:themeTint="99"/>
        <w:bottom w:val="single" w:sz="2" w:space="0" w:color="90A1CF" w:themeColor="accent1" w:themeTint="99"/>
        <w:insideH w:val="single" w:sz="2" w:space="0" w:color="90A1CF" w:themeColor="accent1" w:themeTint="99"/>
        <w:insideV w:val="single" w:sz="2" w:space="0" w:color="90A1CF" w:themeColor="accent1" w:themeTint="99"/>
      </w:tblBorders>
    </w:tblPr>
    <w:tblStylePr w:type="firstRow">
      <w:rPr>
        <w:b/>
        <w:bCs/>
      </w:rPr>
      <w:tblPr/>
      <w:tcPr>
        <w:tcBorders>
          <w:top w:val="nil"/>
          <w:bottom w:val="single" w:sz="12" w:space="0" w:color="90A1CF" w:themeColor="accent1" w:themeTint="99"/>
          <w:insideH w:val="nil"/>
          <w:insideV w:val="nil"/>
        </w:tcBorders>
        <w:shd w:val="clear" w:color="auto" w:fill="FFFFFF" w:themeFill="background1"/>
      </w:tcPr>
    </w:tblStylePr>
    <w:tblStylePr w:type="lastRow">
      <w:rPr>
        <w:b/>
        <w:bCs/>
      </w:rPr>
      <w:tblPr/>
      <w:tcPr>
        <w:tcBorders>
          <w:top w:val="double" w:sz="2" w:space="0" w:color="90A1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GridTable5Dark-Accent3">
    <w:name w:val="Grid Table 5 Dark Accent 3"/>
    <w:basedOn w:val="TableNormal"/>
    <w:uiPriority w:val="50"/>
    <w:rsid w:val="0053797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5F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97FD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97FD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97FD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97FD5" w:themeFill="accent3"/>
      </w:tcPr>
    </w:tblStylePr>
    <w:tblStylePr w:type="band1Vert">
      <w:tblPr/>
      <w:tcPr>
        <w:shd w:val="clear" w:color="auto" w:fill="A8CBEE" w:themeFill="accent3" w:themeFillTint="66"/>
      </w:tcPr>
    </w:tblStylePr>
    <w:tblStylePr w:type="band1Horz">
      <w:tblPr/>
      <w:tcPr>
        <w:shd w:val="clear" w:color="auto" w:fill="A8CBEE" w:themeFill="accent3" w:themeFillTint="66"/>
      </w:tcPr>
    </w:tblStylePr>
  </w:style>
  <w:style w:type="table" w:styleId="GridTable5Dark-Accent6">
    <w:name w:val="Grid Table 5 Dark Accent 6"/>
    <w:basedOn w:val="TableNormal"/>
    <w:uiPriority w:val="50"/>
    <w:rsid w:val="004E68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8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90A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90A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90A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90A0" w:themeFill="accent6"/>
      </w:tcPr>
    </w:tblStylePr>
    <w:tblStylePr w:type="band1Vert">
      <w:tblPr/>
      <w:tcPr>
        <w:shd w:val="clear" w:color="auto" w:fill="D7D2D9" w:themeFill="accent6" w:themeFillTint="66"/>
      </w:tcPr>
    </w:tblStylePr>
    <w:tblStylePr w:type="band1Horz">
      <w:tblPr/>
      <w:tcPr>
        <w:shd w:val="clear" w:color="auto" w:fill="D7D2D9" w:themeFill="accent6" w:themeFillTint="66"/>
      </w:tcPr>
    </w:tblStylePr>
  </w:style>
  <w:style w:type="table" w:styleId="ListTable4-Accent6">
    <w:name w:val="List Table 4 Accent 6"/>
    <w:basedOn w:val="TableNormal"/>
    <w:uiPriority w:val="49"/>
    <w:rsid w:val="003A4B31"/>
    <w:pPr>
      <w:spacing w:after="0" w:line="240" w:lineRule="auto"/>
    </w:p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tcBorders>
        <w:shd w:val="clear" w:color="auto" w:fill="9D90A0" w:themeFill="accent6"/>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table" w:styleId="GridTable5Dark-Accent2">
    <w:name w:val="Grid Table 5 Dark Accent 2"/>
    <w:basedOn w:val="TableNormal"/>
    <w:uiPriority w:val="50"/>
    <w:rsid w:val="009E033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B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9DD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9DD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9DD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9DD1" w:themeFill="accent2"/>
      </w:tcPr>
    </w:tblStylePr>
    <w:tblStylePr w:type="band1Vert">
      <w:tblPr/>
      <w:tcPr>
        <w:shd w:val="clear" w:color="auto" w:fill="C0D7EC" w:themeFill="accent2" w:themeFillTint="66"/>
      </w:tcPr>
    </w:tblStylePr>
    <w:tblStylePr w:type="band1Horz">
      <w:tblPr/>
      <w:tcPr>
        <w:shd w:val="clear" w:color="auto" w:fill="C0D7EC" w:themeFill="accent2" w:themeFillTint="66"/>
      </w:tcPr>
    </w:tblStylePr>
  </w:style>
  <w:style w:type="table" w:styleId="GridTable2">
    <w:name w:val="Grid Table 2"/>
    <w:basedOn w:val="TableNormal"/>
    <w:uiPriority w:val="47"/>
    <w:rsid w:val="006F542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1C09CD"/>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
    <w:name w:val="List Table 1 Light"/>
    <w:basedOn w:val="TableNormal"/>
    <w:uiPriority w:val="46"/>
    <w:rsid w:val="002D68A5"/>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40411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Accent3">
    <w:name w:val="List Table 4 Accent 3"/>
    <w:basedOn w:val="TableNormal"/>
    <w:uiPriority w:val="49"/>
    <w:rsid w:val="00404110"/>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tcBorders>
        <w:shd w:val="clear" w:color="auto" w:fill="297FD5" w:themeFill="accent3"/>
      </w:tcPr>
    </w:tblStylePr>
    <w:tblStylePr w:type="lastRow">
      <w:rPr>
        <w:b/>
        <w:bCs/>
      </w:rPr>
      <w:tblPr/>
      <w:tcPr>
        <w:tcBorders>
          <w:top w:val="double" w:sz="4" w:space="0" w:color="7EB1E6" w:themeColor="accent3" w:themeTint="99"/>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285">
      <w:bodyDiv w:val="1"/>
      <w:marLeft w:val="0"/>
      <w:marRight w:val="0"/>
      <w:marTop w:val="0"/>
      <w:marBottom w:val="0"/>
      <w:divBdr>
        <w:top w:val="none" w:sz="0" w:space="0" w:color="auto"/>
        <w:left w:val="none" w:sz="0" w:space="0" w:color="auto"/>
        <w:bottom w:val="none" w:sz="0" w:space="0" w:color="auto"/>
        <w:right w:val="none" w:sz="0" w:space="0" w:color="auto"/>
      </w:divBdr>
    </w:div>
    <w:div w:id="3093870">
      <w:bodyDiv w:val="1"/>
      <w:marLeft w:val="0"/>
      <w:marRight w:val="0"/>
      <w:marTop w:val="0"/>
      <w:marBottom w:val="0"/>
      <w:divBdr>
        <w:top w:val="none" w:sz="0" w:space="0" w:color="auto"/>
        <w:left w:val="none" w:sz="0" w:space="0" w:color="auto"/>
        <w:bottom w:val="none" w:sz="0" w:space="0" w:color="auto"/>
        <w:right w:val="none" w:sz="0" w:space="0" w:color="auto"/>
      </w:divBdr>
    </w:div>
    <w:div w:id="4210976">
      <w:bodyDiv w:val="1"/>
      <w:marLeft w:val="0"/>
      <w:marRight w:val="0"/>
      <w:marTop w:val="0"/>
      <w:marBottom w:val="0"/>
      <w:divBdr>
        <w:top w:val="none" w:sz="0" w:space="0" w:color="auto"/>
        <w:left w:val="none" w:sz="0" w:space="0" w:color="auto"/>
        <w:bottom w:val="none" w:sz="0" w:space="0" w:color="auto"/>
        <w:right w:val="none" w:sz="0" w:space="0" w:color="auto"/>
      </w:divBdr>
    </w:div>
    <w:div w:id="7104618">
      <w:bodyDiv w:val="1"/>
      <w:marLeft w:val="0"/>
      <w:marRight w:val="0"/>
      <w:marTop w:val="0"/>
      <w:marBottom w:val="0"/>
      <w:divBdr>
        <w:top w:val="none" w:sz="0" w:space="0" w:color="auto"/>
        <w:left w:val="none" w:sz="0" w:space="0" w:color="auto"/>
        <w:bottom w:val="none" w:sz="0" w:space="0" w:color="auto"/>
        <w:right w:val="none" w:sz="0" w:space="0" w:color="auto"/>
      </w:divBdr>
    </w:div>
    <w:div w:id="7296734">
      <w:bodyDiv w:val="1"/>
      <w:marLeft w:val="0"/>
      <w:marRight w:val="0"/>
      <w:marTop w:val="0"/>
      <w:marBottom w:val="0"/>
      <w:divBdr>
        <w:top w:val="none" w:sz="0" w:space="0" w:color="auto"/>
        <w:left w:val="none" w:sz="0" w:space="0" w:color="auto"/>
        <w:bottom w:val="none" w:sz="0" w:space="0" w:color="auto"/>
        <w:right w:val="none" w:sz="0" w:space="0" w:color="auto"/>
      </w:divBdr>
    </w:div>
    <w:div w:id="7489126">
      <w:bodyDiv w:val="1"/>
      <w:marLeft w:val="0"/>
      <w:marRight w:val="0"/>
      <w:marTop w:val="0"/>
      <w:marBottom w:val="0"/>
      <w:divBdr>
        <w:top w:val="none" w:sz="0" w:space="0" w:color="auto"/>
        <w:left w:val="none" w:sz="0" w:space="0" w:color="auto"/>
        <w:bottom w:val="none" w:sz="0" w:space="0" w:color="auto"/>
        <w:right w:val="none" w:sz="0" w:space="0" w:color="auto"/>
      </w:divBdr>
    </w:div>
    <w:div w:id="14502399">
      <w:bodyDiv w:val="1"/>
      <w:marLeft w:val="0"/>
      <w:marRight w:val="0"/>
      <w:marTop w:val="0"/>
      <w:marBottom w:val="0"/>
      <w:divBdr>
        <w:top w:val="none" w:sz="0" w:space="0" w:color="auto"/>
        <w:left w:val="none" w:sz="0" w:space="0" w:color="auto"/>
        <w:bottom w:val="none" w:sz="0" w:space="0" w:color="auto"/>
        <w:right w:val="none" w:sz="0" w:space="0" w:color="auto"/>
      </w:divBdr>
    </w:div>
    <w:div w:id="15667000">
      <w:bodyDiv w:val="1"/>
      <w:marLeft w:val="0"/>
      <w:marRight w:val="0"/>
      <w:marTop w:val="0"/>
      <w:marBottom w:val="0"/>
      <w:divBdr>
        <w:top w:val="none" w:sz="0" w:space="0" w:color="auto"/>
        <w:left w:val="none" w:sz="0" w:space="0" w:color="auto"/>
        <w:bottom w:val="none" w:sz="0" w:space="0" w:color="auto"/>
        <w:right w:val="none" w:sz="0" w:space="0" w:color="auto"/>
      </w:divBdr>
    </w:div>
    <w:div w:id="16154604">
      <w:bodyDiv w:val="1"/>
      <w:marLeft w:val="0"/>
      <w:marRight w:val="0"/>
      <w:marTop w:val="0"/>
      <w:marBottom w:val="0"/>
      <w:divBdr>
        <w:top w:val="none" w:sz="0" w:space="0" w:color="auto"/>
        <w:left w:val="none" w:sz="0" w:space="0" w:color="auto"/>
        <w:bottom w:val="none" w:sz="0" w:space="0" w:color="auto"/>
        <w:right w:val="none" w:sz="0" w:space="0" w:color="auto"/>
      </w:divBdr>
    </w:div>
    <w:div w:id="17514345">
      <w:bodyDiv w:val="1"/>
      <w:marLeft w:val="0"/>
      <w:marRight w:val="0"/>
      <w:marTop w:val="0"/>
      <w:marBottom w:val="0"/>
      <w:divBdr>
        <w:top w:val="none" w:sz="0" w:space="0" w:color="auto"/>
        <w:left w:val="none" w:sz="0" w:space="0" w:color="auto"/>
        <w:bottom w:val="none" w:sz="0" w:space="0" w:color="auto"/>
        <w:right w:val="none" w:sz="0" w:space="0" w:color="auto"/>
      </w:divBdr>
    </w:div>
    <w:div w:id="18509965">
      <w:bodyDiv w:val="1"/>
      <w:marLeft w:val="0"/>
      <w:marRight w:val="0"/>
      <w:marTop w:val="0"/>
      <w:marBottom w:val="0"/>
      <w:divBdr>
        <w:top w:val="none" w:sz="0" w:space="0" w:color="auto"/>
        <w:left w:val="none" w:sz="0" w:space="0" w:color="auto"/>
        <w:bottom w:val="none" w:sz="0" w:space="0" w:color="auto"/>
        <w:right w:val="none" w:sz="0" w:space="0" w:color="auto"/>
      </w:divBdr>
    </w:div>
    <w:div w:id="18819029">
      <w:bodyDiv w:val="1"/>
      <w:marLeft w:val="0"/>
      <w:marRight w:val="0"/>
      <w:marTop w:val="0"/>
      <w:marBottom w:val="0"/>
      <w:divBdr>
        <w:top w:val="none" w:sz="0" w:space="0" w:color="auto"/>
        <w:left w:val="none" w:sz="0" w:space="0" w:color="auto"/>
        <w:bottom w:val="none" w:sz="0" w:space="0" w:color="auto"/>
        <w:right w:val="none" w:sz="0" w:space="0" w:color="auto"/>
      </w:divBdr>
    </w:div>
    <w:div w:id="18898206">
      <w:bodyDiv w:val="1"/>
      <w:marLeft w:val="0"/>
      <w:marRight w:val="0"/>
      <w:marTop w:val="0"/>
      <w:marBottom w:val="0"/>
      <w:divBdr>
        <w:top w:val="none" w:sz="0" w:space="0" w:color="auto"/>
        <w:left w:val="none" w:sz="0" w:space="0" w:color="auto"/>
        <w:bottom w:val="none" w:sz="0" w:space="0" w:color="auto"/>
        <w:right w:val="none" w:sz="0" w:space="0" w:color="auto"/>
      </w:divBdr>
    </w:div>
    <w:div w:id="21369394">
      <w:bodyDiv w:val="1"/>
      <w:marLeft w:val="0"/>
      <w:marRight w:val="0"/>
      <w:marTop w:val="0"/>
      <w:marBottom w:val="0"/>
      <w:divBdr>
        <w:top w:val="none" w:sz="0" w:space="0" w:color="auto"/>
        <w:left w:val="none" w:sz="0" w:space="0" w:color="auto"/>
        <w:bottom w:val="none" w:sz="0" w:space="0" w:color="auto"/>
        <w:right w:val="none" w:sz="0" w:space="0" w:color="auto"/>
      </w:divBdr>
    </w:div>
    <w:div w:id="25063849">
      <w:bodyDiv w:val="1"/>
      <w:marLeft w:val="0"/>
      <w:marRight w:val="0"/>
      <w:marTop w:val="0"/>
      <w:marBottom w:val="0"/>
      <w:divBdr>
        <w:top w:val="none" w:sz="0" w:space="0" w:color="auto"/>
        <w:left w:val="none" w:sz="0" w:space="0" w:color="auto"/>
        <w:bottom w:val="none" w:sz="0" w:space="0" w:color="auto"/>
        <w:right w:val="none" w:sz="0" w:space="0" w:color="auto"/>
      </w:divBdr>
    </w:div>
    <w:div w:id="26028741">
      <w:bodyDiv w:val="1"/>
      <w:marLeft w:val="0"/>
      <w:marRight w:val="0"/>
      <w:marTop w:val="0"/>
      <w:marBottom w:val="0"/>
      <w:divBdr>
        <w:top w:val="none" w:sz="0" w:space="0" w:color="auto"/>
        <w:left w:val="none" w:sz="0" w:space="0" w:color="auto"/>
        <w:bottom w:val="none" w:sz="0" w:space="0" w:color="auto"/>
        <w:right w:val="none" w:sz="0" w:space="0" w:color="auto"/>
      </w:divBdr>
    </w:div>
    <w:div w:id="27801373">
      <w:bodyDiv w:val="1"/>
      <w:marLeft w:val="0"/>
      <w:marRight w:val="0"/>
      <w:marTop w:val="0"/>
      <w:marBottom w:val="0"/>
      <w:divBdr>
        <w:top w:val="none" w:sz="0" w:space="0" w:color="auto"/>
        <w:left w:val="none" w:sz="0" w:space="0" w:color="auto"/>
        <w:bottom w:val="none" w:sz="0" w:space="0" w:color="auto"/>
        <w:right w:val="none" w:sz="0" w:space="0" w:color="auto"/>
      </w:divBdr>
    </w:div>
    <w:div w:id="34425918">
      <w:bodyDiv w:val="1"/>
      <w:marLeft w:val="0"/>
      <w:marRight w:val="0"/>
      <w:marTop w:val="0"/>
      <w:marBottom w:val="0"/>
      <w:divBdr>
        <w:top w:val="none" w:sz="0" w:space="0" w:color="auto"/>
        <w:left w:val="none" w:sz="0" w:space="0" w:color="auto"/>
        <w:bottom w:val="none" w:sz="0" w:space="0" w:color="auto"/>
        <w:right w:val="none" w:sz="0" w:space="0" w:color="auto"/>
      </w:divBdr>
    </w:div>
    <w:div w:id="35087739">
      <w:bodyDiv w:val="1"/>
      <w:marLeft w:val="0"/>
      <w:marRight w:val="0"/>
      <w:marTop w:val="0"/>
      <w:marBottom w:val="0"/>
      <w:divBdr>
        <w:top w:val="none" w:sz="0" w:space="0" w:color="auto"/>
        <w:left w:val="none" w:sz="0" w:space="0" w:color="auto"/>
        <w:bottom w:val="none" w:sz="0" w:space="0" w:color="auto"/>
        <w:right w:val="none" w:sz="0" w:space="0" w:color="auto"/>
      </w:divBdr>
    </w:div>
    <w:div w:id="36860470">
      <w:bodyDiv w:val="1"/>
      <w:marLeft w:val="0"/>
      <w:marRight w:val="0"/>
      <w:marTop w:val="0"/>
      <w:marBottom w:val="0"/>
      <w:divBdr>
        <w:top w:val="none" w:sz="0" w:space="0" w:color="auto"/>
        <w:left w:val="none" w:sz="0" w:space="0" w:color="auto"/>
        <w:bottom w:val="none" w:sz="0" w:space="0" w:color="auto"/>
        <w:right w:val="none" w:sz="0" w:space="0" w:color="auto"/>
      </w:divBdr>
    </w:div>
    <w:div w:id="38017115">
      <w:bodyDiv w:val="1"/>
      <w:marLeft w:val="0"/>
      <w:marRight w:val="0"/>
      <w:marTop w:val="0"/>
      <w:marBottom w:val="0"/>
      <w:divBdr>
        <w:top w:val="none" w:sz="0" w:space="0" w:color="auto"/>
        <w:left w:val="none" w:sz="0" w:space="0" w:color="auto"/>
        <w:bottom w:val="none" w:sz="0" w:space="0" w:color="auto"/>
        <w:right w:val="none" w:sz="0" w:space="0" w:color="auto"/>
      </w:divBdr>
    </w:div>
    <w:div w:id="38171814">
      <w:bodyDiv w:val="1"/>
      <w:marLeft w:val="0"/>
      <w:marRight w:val="0"/>
      <w:marTop w:val="0"/>
      <w:marBottom w:val="0"/>
      <w:divBdr>
        <w:top w:val="none" w:sz="0" w:space="0" w:color="auto"/>
        <w:left w:val="none" w:sz="0" w:space="0" w:color="auto"/>
        <w:bottom w:val="none" w:sz="0" w:space="0" w:color="auto"/>
        <w:right w:val="none" w:sz="0" w:space="0" w:color="auto"/>
      </w:divBdr>
    </w:div>
    <w:div w:id="38476003">
      <w:bodyDiv w:val="1"/>
      <w:marLeft w:val="0"/>
      <w:marRight w:val="0"/>
      <w:marTop w:val="0"/>
      <w:marBottom w:val="0"/>
      <w:divBdr>
        <w:top w:val="none" w:sz="0" w:space="0" w:color="auto"/>
        <w:left w:val="none" w:sz="0" w:space="0" w:color="auto"/>
        <w:bottom w:val="none" w:sz="0" w:space="0" w:color="auto"/>
        <w:right w:val="none" w:sz="0" w:space="0" w:color="auto"/>
      </w:divBdr>
    </w:div>
    <w:div w:id="42683090">
      <w:bodyDiv w:val="1"/>
      <w:marLeft w:val="0"/>
      <w:marRight w:val="0"/>
      <w:marTop w:val="0"/>
      <w:marBottom w:val="0"/>
      <w:divBdr>
        <w:top w:val="none" w:sz="0" w:space="0" w:color="auto"/>
        <w:left w:val="none" w:sz="0" w:space="0" w:color="auto"/>
        <w:bottom w:val="none" w:sz="0" w:space="0" w:color="auto"/>
        <w:right w:val="none" w:sz="0" w:space="0" w:color="auto"/>
      </w:divBdr>
    </w:div>
    <w:div w:id="46802180">
      <w:bodyDiv w:val="1"/>
      <w:marLeft w:val="0"/>
      <w:marRight w:val="0"/>
      <w:marTop w:val="0"/>
      <w:marBottom w:val="0"/>
      <w:divBdr>
        <w:top w:val="none" w:sz="0" w:space="0" w:color="auto"/>
        <w:left w:val="none" w:sz="0" w:space="0" w:color="auto"/>
        <w:bottom w:val="none" w:sz="0" w:space="0" w:color="auto"/>
        <w:right w:val="none" w:sz="0" w:space="0" w:color="auto"/>
      </w:divBdr>
    </w:div>
    <w:div w:id="47460103">
      <w:bodyDiv w:val="1"/>
      <w:marLeft w:val="0"/>
      <w:marRight w:val="0"/>
      <w:marTop w:val="0"/>
      <w:marBottom w:val="0"/>
      <w:divBdr>
        <w:top w:val="none" w:sz="0" w:space="0" w:color="auto"/>
        <w:left w:val="none" w:sz="0" w:space="0" w:color="auto"/>
        <w:bottom w:val="none" w:sz="0" w:space="0" w:color="auto"/>
        <w:right w:val="none" w:sz="0" w:space="0" w:color="auto"/>
      </w:divBdr>
    </w:div>
    <w:div w:id="48697104">
      <w:bodyDiv w:val="1"/>
      <w:marLeft w:val="0"/>
      <w:marRight w:val="0"/>
      <w:marTop w:val="0"/>
      <w:marBottom w:val="0"/>
      <w:divBdr>
        <w:top w:val="none" w:sz="0" w:space="0" w:color="auto"/>
        <w:left w:val="none" w:sz="0" w:space="0" w:color="auto"/>
        <w:bottom w:val="none" w:sz="0" w:space="0" w:color="auto"/>
        <w:right w:val="none" w:sz="0" w:space="0" w:color="auto"/>
      </w:divBdr>
    </w:div>
    <w:div w:id="49815114">
      <w:bodyDiv w:val="1"/>
      <w:marLeft w:val="0"/>
      <w:marRight w:val="0"/>
      <w:marTop w:val="0"/>
      <w:marBottom w:val="0"/>
      <w:divBdr>
        <w:top w:val="none" w:sz="0" w:space="0" w:color="auto"/>
        <w:left w:val="none" w:sz="0" w:space="0" w:color="auto"/>
        <w:bottom w:val="none" w:sz="0" w:space="0" w:color="auto"/>
        <w:right w:val="none" w:sz="0" w:space="0" w:color="auto"/>
      </w:divBdr>
    </w:div>
    <w:div w:id="50887920">
      <w:bodyDiv w:val="1"/>
      <w:marLeft w:val="0"/>
      <w:marRight w:val="0"/>
      <w:marTop w:val="0"/>
      <w:marBottom w:val="0"/>
      <w:divBdr>
        <w:top w:val="none" w:sz="0" w:space="0" w:color="auto"/>
        <w:left w:val="none" w:sz="0" w:space="0" w:color="auto"/>
        <w:bottom w:val="none" w:sz="0" w:space="0" w:color="auto"/>
        <w:right w:val="none" w:sz="0" w:space="0" w:color="auto"/>
      </w:divBdr>
    </w:div>
    <w:div w:id="51462590">
      <w:bodyDiv w:val="1"/>
      <w:marLeft w:val="0"/>
      <w:marRight w:val="0"/>
      <w:marTop w:val="0"/>
      <w:marBottom w:val="0"/>
      <w:divBdr>
        <w:top w:val="none" w:sz="0" w:space="0" w:color="auto"/>
        <w:left w:val="none" w:sz="0" w:space="0" w:color="auto"/>
        <w:bottom w:val="none" w:sz="0" w:space="0" w:color="auto"/>
        <w:right w:val="none" w:sz="0" w:space="0" w:color="auto"/>
      </w:divBdr>
    </w:div>
    <w:div w:id="53748542">
      <w:bodyDiv w:val="1"/>
      <w:marLeft w:val="0"/>
      <w:marRight w:val="0"/>
      <w:marTop w:val="0"/>
      <w:marBottom w:val="0"/>
      <w:divBdr>
        <w:top w:val="none" w:sz="0" w:space="0" w:color="auto"/>
        <w:left w:val="none" w:sz="0" w:space="0" w:color="auto"/>
        <w:bottom w:val="none" w:sz="0" w:space="0" w:color="auto"/>
        <w:right w:val="none" w:sz="0" w:space="0" w:color="auto"/>
      </w:divBdr>
    </w:div>
    <w:div w:id="56250104">
      <w:bodyDiv w:val="1"/>
      <w:marLeft w:val="0"/>
      <w:marRight w:val="0"/>
      <w:marTop w:val="0"/>
      <w:marBottom w:val="0"/>
      <w:divBdr>
        <w:top w:val="none" w:sz="0" w:space="0" w:color="auto"/>
        <w:left w:val="none" w:sz="0" w:space="0" w:color="auto"/>
        <w:bottom w:val="none" w:sz="0" w:space="0" w:color="auto"/>
        <w:right w:val="none" w:sz="0" w:space="0" w:color="auto"/>
      </w:divBdr>
    </w:div>
    <w:div w:id="57214222">
      <w:bodyDiv w:val="1"/>
      <w:marLeft w:val="0"/>
      <w:marRight w:val="0"/>
      <w:marTop w:val="0"/>
      <w:marBottom w:val="0"/>
      <w:divBdr>
        <w:top w:val="none" w:sz="0" w:space="0" w:color="auto"/>
        <w:left w:val="none" w:sz="0" w:space="0" w:color="auto"/>
        <w:bottom w:val="none" w:sz="0" w:space="0" w:color="auto"/>
        <w:right w:val="none" w:sz="0" w:space="0" w:color="auto"/>
      </w:divBdr>
    </w:div>
    <w:div w:id="57365113">
      <w:bodyDiv w:val="1"/>
      <w:marLeft w:val="0"/>
      <w:marRight w:val="0"/>
      <w:marTop w:val="0"/>
      <w:marBottom w:val="0"/>
      <w:divBdr>
        <w:top w:val="none" w:sz="0" w:space="0" w:color="auto"/>
        <w:left w:val="none" w:sz="0" w:space="0" w:color="auto"/>
        <w:bottom w:val="none" w:sz="0" w:space="0" w:color="auto"/>
        <w:right w:val="none" w:sz="0" w:space="0" w:color="auto"/>
      </w:divBdr>
    </w:div>
    <w:div w:id="57559979">
      <w:bodyDiv w:val="1"/>
      <w:marLeft w:val="0"/>
      <w:marRight w:val="0"/>
      <w:marTop w:val="0"/>
      <w:marBottom w:val="0"/>
      <w:divBdr>
        <w:top w:val="none" w:sz="0" w:space="0" w:color="auto"/>
        <w:left w:val="none" w:sz="0" w:space="0" w:color="auto"/>
        <w:bottom w:val="none" w:sz="0" w:space="0" w:color="auto"/>
        <w:right w:val="none" w:sz="0" w:space="0" w:color="auto"/>
      </w:divBdr>
    </w:div>
    <w:div w:id="58209996">
      <w:bodyDiv w:val="1"/>
      <w:marLeft w:val="0"/>
      <w:marRight w:val="0"/>
      <w:marTop w:val="0"/>
      <w:marBottom w:val="0"/>
      <w:divBdr>
        <w:top w:val="none" w:sz="0" w:space="0" w:color="auto"/>
        <w:left w:val="none" w:sz="0" w:space="0" w:color="auto"/>
        <w:bottom w:val="none" w:sz="0" w:space="0" w:color="auto"/>
        <w:right w:val="none" w:sz="0" w:space="0" w:color="auto"/>
      </w:divBdr>
    </w:div>
    <w:div w:id="58359669">
      <w:bodyDiv w:val="1"/>
      <w:marLeft w:val="0"/>
      <w:marRight w:val="0"/>
      <w:marTop w:val="0"/>
      <w:marBottom w:val="0"/>
      <w:divBdr>
        <w:top w:val="none" w:sz="0" w:space="0" w:color="auto"/>
        <w:left w:val="none" w:sz="0" w:space="0" w:color="auto"/>
        <w:bottom w:val="none" w:sz="0" w:space="0" w:color="auto"/>
        <w:right w:val="none" w:sz="0" w:space="0" w:color="auto"/>
      </w:divBdr>
    </w:div>
    <w:div w:id="58939457">
      <w:bodyDiv w:val="1"/>
      <w:marLeft w:val="0"/>
      <w:marRight w:val="0"/>
      <w:marTop w:val="0"/>
      <w:marBottom w:val="0"/>
      <w:divBdr>
        <w:top w:val="none" w:sz="0" w:space="0" w:color="auto"/>
        <w:left w:val="none" w:sz="0" w:space="0" w:color="auto"/>
        <w:bottom w:val="none" w:sz="0" w:space="0" w:color="auto"/>
        <w:right w:val="none" w:sz="0" w:space="0" w:color="auto"/>
      </w:divBdr>
    </w:div>
    <w:div w:id="60250901">
      <w:bodyDiv w:val="1"/>
      <w:marLeft w:val="0"/>
      <w:marRight w:val="0"/>
      <w:marTop w:val="0"/>
      <w:marBottom w:val="0"/>
      <w:divBdr>
        <w:top w:val="none" w:sz="0" w:space="0" w:color="auto"/>
        <w:left w:val="none" w:sz="0" w:space="0" w:color="auto"/>
        <w:bottom w:val="none" w:sz="0" w:space="0" w:color="auto"/>
        <w:right w:val="none" w:sz="0" w:space="0" w:color="auto"/>
      </w:divBdr>
    </w:div>
    <w:div w:id="61217999">
      <w:bodyDiv w:val="1"/>
      <w:marLeft w:val="0"/>
      <w:marRight w:val="0"/>
      <w:marTop w:val="0"/>
      <w:marBottom w:val="0"/>
      <w:divBdr>
        <w:top w:val="none" w:sz="0" w:space="0" w:color="auto"/>
        <w:left w:val="none" w:sz="0" w:space="0" w:color="auto"/>
        <w:bottom w:val="none" w:sz="0" w:space="0" w:color="auto"/>
        <w:right w:val="none" w:sz="0" w:space="0" w:color="auto"/>
      </w:divBdr>
    </w:div>
    <w:div w:id="61879782">
      <w:bodyDiv w:val="1"/>
      <w:marLeft w:val="0"/>
      <w:marRight w:val="0"/>
      <w:marTop w:val="0"/>
      <w:marBottom w:val="0"/>
      <w:divBdr>
        <w:top w:val="none" w:sz="0" w:space="0" w:color="auto"/>
        <w:left w:val="none" w:sz="0" w:space="0" w:color="auto"/>
        <w:bottom w:val="none" w:sz="0" w:space="0" w:color="auto"/>
        <w:right w:val="none" w:sz="0" w:space="0" w:color="auto"/>
      </w:divBdr>
    </w:div>
    <w:div w:id="62067009">
      <w:bodyDiv w:val="1"/>
      <w:marLeft w:val="0"/>
      <w:marRight w:val="0"/>
      <w:marTop w:val="0"/>
      <w:marBottom w:val="0"/>
      <w:divBdr>
        <w:top w:val="none" w:sz="0" w:space="0" w:color="auto"/>
        <w:left w:val="none" w:sz="0" w:space="0" w:color="auto"/>
        <w:bottom w:val="none" w:sz="0" w:space="0" w:color="auto"/>
        <w:right w:val="none" w:sz="0" w:space="0" w:color="auto"/>
      </w:divBdr>
    </w:div>
    <w:div w:id="62335382">
      <w:bodyDiv w:val="1"/>
      <w:marLeft w:val="0"/>
      <w:marRight w:val="0"/>
      <w:marTop w:val="0"/>
      <w:marBottom w:val="0"/>
      <w:divBdr>
        <w:top w:val="none" w:sz="0" w:space="0" w:color="auto"/>
        <w:left w:val="none" w:sz="0" w:space="0" w:color="auto"/>
        <w:bottom w:val="none" w:sz="0" w:space="0" w:color="auto"/>
        <w:right w:val="none" w:sz="0" w:space="0" w:color="auto"/>
      </w:divBdr>
    </w:div>
    <w:div w:id="64030462">
      <w:bodyDiv w:val="1"/>
      <w:marLeft w:val="0"/>
      <w:marRight w:val="0"/>
      <w:marTop w:val="0"/>
      <w:marBottom w:val="0"/>
      <w:divBdr>
        <w:top w:val="none" w:sz="0" w:space="0" w:color="auto"/>
        <w:left w:val="none" w:sz="0" w:space="0" w:color="auto"/>
        <w:bottom w:val="none" w:sz="0" w:space="0" w:color="auto"/>
        <w:right w:val="none" w:sz="0" w:space="0" w:color="auto"/>
      </w:divBdr>
    </w:div>
    <w:div w:id="66660391">
      <w:bodyDiv w:val="1"/>
      <w:marLeft w:val="0"/>
      <w:marRight w:val="0"/>
      <w:marTop w:val="0"/>
      <w:marBottom w:val="0"/>
      <w:divBdr>
        <w:top w:val="none" w:sz="0" w:space="0" w:color="auto"/>
        <w:left w:val="none" w:sz="0" w:space="0" w:color="auto"/>
        <w:bottom w:val="none" w:sz="0" w:space="0" w:color="auto"/>
        <w:right w:val="none" w:sz="0" w:space="0" w:color="auto"/>
      </w:divBdr>
    </w:div>
    <w:div w:id="67385592">
      <w:bodyDiv w:val="1"/>
      <w:marLeft w:val="0"/>
      <w:marRight w:val="0"/>
      <w:marTop w:val="0"/>
      <w:marBottom w:val="0"/>
      <w:divBdr>
        <w:top w:val="none" w:sz="0" w:space="0" w:color="auto"/>
        <w:left w:val="none" w:sz="0" w:space="0" w:color="auto"/>
        <w:bottom w:val="none" w:sz="0" w:space="0" w:color="auto"/>
        <w:right w:val="none" w:sz="0" w:space="0" w:color="auto"/>
      </w:divBdr>
    </w:div>
    <w:div w:id="69432015">
      <w:bodyDiv w:val="1"/>
      <w:marLeft w:val="0"/>
      <w:marRight w:val="0"/>
      <w:marTop w:val="0"/>
      <w:marBottom w:val="0"/>
      <w:divBdr>
        <w:top w:val="none" w:sz="0" w:space="0" w:color="auto"/>
        <w:left w:val="none" w:sz="0" w:space="0" w:color="auto"/>
        <w:bottom w:val="none" w:sz="0" w:space="0" w:color="auto"/>
        <w:right w:val="none" w:sz="0" w:space="0" w:color="auto"/>
      </w:divBdr>
    </w:div>
    <w:div w:id="70275288">
      <w:bodyDiv w:val="1"/>
      <w:marLeft w:val="0"/>
      <w:marRight w:val="0"/>
      <w:marTop w:val="0"/>
      <w:marBottom w:val="0"/>
      <w:divBdr>
        <w:top w:val="none" w:sz="0" w:space="0" w:color="auto"/>
        <w:left w:val="none" w:sz="0" w:space="0" w:color="auto"/>
        <w:bottom w:val="none" w:sz="0" w:space="0" w:color="auto"/>
        <w:right w:val="none" w:sz="0" w:space="0" w:color="auto"/>
      </w:divBdr>
    </w:div>
    <w:div w:id="70658903">
      <w:bodyDiv w:val="1"/>
      <w:marLeft w:val="0"/>
      <w:marRight w:val="0"/>
      <w:marTop w:val="0"/>
      <w:marBottom w:val="0"/>
      <w:divBdr>
        <w:top w:val="none" w:sz="0" w:space="0" w:color="auto"/>
        <w:left w:val="none" w:sz="0" w:space="0" w:color="auto"/>
        <w:bottom w:val="none" w:sz="0" w:space="0" w:color="auto"/>
        <w:right w:val="none" w:sz="0" w:space="0" w:color="auto"/>
      </w:divBdr>
    </w:div>
    <w:div w:id="71781936">
      <w:bodyDiv w:val="1"/>
      <w:marLeft w:val="0"/>
      <w:marRight w:val="0"/>
      <w:marTop w:val="0"/>
      <w:marBottom w:val="0"/>
      <w:divBdr>
        <w:top w:val="none" w:sz="0" w:space="0" w:color="auto"/>
        <w:left w:val="none" w:sz="0" w:space="0" w:color="auto"/>
        <w:bottom w:val="none" w:sz="0" w:space="0" w:color="auto"/>
        <w:right w:val="none" w:sz="0" w:space="0" w:color="auto"/>
      </w:divBdr>
    </w:div>
    <w:div w:id="73281623">
      <w:bodyDiv w:val="1"/>
      <w:marLeft w:val="0"/>
      <w:marRight w:val="0"/>
      <w:marTop w:val="0"/>
      <w:marBottom w:val="0"/>
      <w:divBdr>
        <w:top w:val="none" w:sz="0" w:space="0" w:color="auto"/>
        <w:left w:val="none" w:sz="0" w:space="0" w:color="auto"/>
        <w:bottom w:val="none" w:sz="0" w:space="0" w:color="auto"/>
        <w:right w:val="none" w:sz="0" w:space="0" w:color="auto"/>
      </w:divBdr>
    </w:div>
    <w:div w:id="74788948">
      <w:bodyDiv w:val="1"/>
      <w:marLeft w:val="0"/>
      <w:marRight w:val="0"/>
      <w:marTop w:val="0"/>
      <w:marBottom w:val="0"/>
      <w:divBdr>
        <w:top w:val="none" w:sz="0" w:space="0" w:color="auto"/>
        <w:left w:val="none" w:sz="0" w:space="0" w:color="auto"/>
        <w:bottom w:val="none" w:sz="0" w:space="0" w:color="auto"/>
        <w:right w:val="none" w:sz="0" w:space="0" w:color="auto"/>
      </w:divBdr>
    </w:div>
    <w:div w:id="77531775">
      <w:bodyDiv w:val="1"/>
      <w:marLeft w:val="0"/>
      <w:marRight w:val="0"/>
      <w:marTop w:val="0"/>
      <w:marBottom w:val="0"/>
      <w:divBdr>
        <w:top w:val="none" w:sz="0" w:space="0" w:color="auto"/>
        <w:left w:val="none" w:sz="0" w:space="0" w:color="auto"/>
        <w:bottom w:val="none" w:sz="0" w:space="0" w:color="auto"/>
        <w:right w:val="none" w:sz="0" w:space="0" w:color="auto"/>
      </w:divBdr>
    </w:div>
    <w:div w:id="78605978">
      <w:bodyDiv w:val="1"/>
      <w:marLeft w:val="0"/>
      <w:marRight w:val="0"/>
      <w:marTop w:val="0"/>
      <w:marBottom w:val="0"/>
      <w:divBdr>
        <w:top w:val="none" w:sz="0" w:space="0" w:color="auto"/>
        <w:left w:val="none" w:sz="0" w:space="0" w:color="auto"/>
        <w:bottom w:val="none" w:sz="0" w:space="0" w:color="auto"/>
        <w:right w:val="none" w:sz="0" w:space="0" w:color="auto"/>
      </w:divBdr>
    </w:div>
    <w:div w:id="80228223">
      <w:bodyDiv w:val="1"/>
      <w:marLeft w:val="0"/>
      <w:marRight w:val="0"/>
      <w:marTop w:val="0"/>
      <w:marBottom w:val="0"/>
      <w:divBdr>
        <w:top w:val="none" w:sz="0" w:space="0" w:color="auto"/>
        <w:left w:val="none" w:sz="0" w:space="0" w:color="auto"/>
        <w:bottom w:val="none" w:sz="0" w:space="0" w:color="auto"/>
        <w:right w:val="none" w:sz="0" w:space="0" w:color="auto"/>
      </w:divBdr>
    </w:div>
    <w:div w:id="82344124">
      <w:bodyDiv w:val="1"/>
      <w:marLeft w:val="0"/>
      <w:marRight w:val="0"/>
      <w:marTop w:val="0"/>
      <w:marBottom w:val="0"/>
      <w:divBdr>
        <w:top w:val="none" w:sz="0" w:space="0" w:color="auto"/>
        <w:left w:val="none" w:sz="0" w:space="0" w:color="auto"/>
        <w:bottom w:val="none" w:sz="0" w:space="0" w:color="auto"/>
        <w:right w:val="none" w:sz="0" w:space="0" w:color="auto"/>
      </w:divBdr>
    </w:div>
    <w:div w:id="83501921">
      <w:bodyDiv w:val="1"/>
      <w:marLeft w:val="0"/>
      <w:marRight w:val="0"/>
      <w:marTop w:val="0"/>
      <w:marBottom w:val="0"/>
      <w:divBdr>
        <w:top w:val="none" w:sz="0" w:space="0" w:color="auto"/>
        <w:left w:val="none" w:sz="0" w:space="0" w:color="auto"/>
        <w:bottom w:val="none" w:sz="0" w:space="0" w:color="auto"/>
        <w:right w:val="none" w:sz="0" w:space="0" w:color="auto"/>
      </w:divBdr>
    </w:div>
    <w:div w:id="85465739">
      <w:bodyDiv w:val="1"/>
      <w:marLeft w:val="0"/>
      <w:marRight w:val="0"/>
      <w:marTop w:val="0"/>
      <w:marBottom w:val="0"/>
      <w:divBdr>
        <w:top w:val="none" w:sz="0" w:space="0" w:color="auto"/>
        <w:left w:val="none" w:sz="0" w:space="0" w:color="auto"/>
        <w:bottom w:val="none" w:sz="0" w:space="0" w:color="auto"/>
        <w:right w:val="none" w:sz="0" w:space="0" w:color="auto"/>
      </w:divBdr>
    </w:div>
    <w:div w:id="86967030">
      <w:bodyDiv w:val="1"/>
      <w:marLeft w:val="0"/>
      <w:marRight w:val="0"/>
      <w:marTop w:val="0"/>
      <w:marBottom w:val="0"/>
      <w:divBdr>
        <w:top w:val="none" w:sz="0" w:space="0" w:color="auto"/>
        <w:left w:val="none" w:sz="0" w:space="0" w:color="auto"/>
        <w:bottom w:val="none" w:sz="0" w:space="0" w:color="auto"/>
        <w:right w:val="none" w:sz="0" w:space="0" w:color="auto"/>
      </w:divBdr>
    </w:div>
    <w:div w:id="88739863">
      <w:bodyDiv w:val="1"/>
      <w:marLeft w:val="0"/>
      <w:marRight w:val="0"/>
      <w:marTop w:val="0"/>
      <w:marBottom w:val="0"/>
      <w:divBdr>
        <w:top w:val="none" w:sz="0" w:space="0" w:color="auto"/>
        <w:left w:val="none" w:sz="0" w:space="0" w:color="auto"/>
        <w:bottom w:val="none" w:sz="0" w:space="0" w:color="auto"/>
        <w:right w:val="none" w:sz="0" w:space="0" w:color="auto"/>
      </w:divBdr>
    </w:div>
    <w:div w:id="89816232">
      <w:bodyDiv w:val="1"/>
      <w:marLeft w:val="0"/>
      <w:marRight w:val="0"/>
      <w:marTop w:val="0"/>
      <w:marBottom w:val="0"/>
      <w:divBdr>
        <w:top w:val="none" w:sz="0" w:space="0" w:color="auto"/>
        <w:left w:val="none" w:sz="0" w:space="0" w:color="auto"/>
        <w:bottom w:val="none" w:sz="0" w:space="0" w:color="auto"/>
        <w:right w:val="none" w:sz="0" w:space="0" w:color="auto"/>
      </w:divBdr>
    </w:div>
    <w:div w:id="90392549">
      <w:bodyDiv w:val="1"/>
      <w:marLeft w:val="0"/>
      <w:marRight w:val="0"/>
      <w:marTop w:val="0"/>
      <w:marBottom w:val="0"/>
      <w:divBdr>
        <w:top w:val="none" w:sz="0" w:space="0" w:color="auto"/>
        <w:left w:val="none" w:sz="0" w:space="0" w:color="auto"/>
        <w:bottom w:val="none" w:sz="0" w:space="0" w:color="auto"/>
        <w:right w:val="none" w:sz="0" w:space="0" w:color="auto"/>
      </w:divBdr>
    </w:div>
    <w:div w:id="90590106">
      <w:bodyDiv w:val="1"/>
      <w:marLeft w:val="0"/>
      <w:marRight w:val="0"/>
      <w:marTop w:val="0"/>
      <w:marBottom w:val="0"/>
      <w:divBdr>
        <w:top w:val="none" w:sz="0" w:space="0" w:color="auto"/>
        <w:left w:val="none" w:sz="0" w:space="0" w:color="auto"/>
        <w:bottom w:val="none" w:sz="0" w:space="0" w:color="auto"/>
        <w:right w:val="none" w:sz="0" w:space="0" w:color="auto"/>
      </w:divBdr>
    </w:div>
    <w:div w:id="92748191">
      <w:bodyDiv w:val="1"/>
      <w:marLeft w:val="0"/>
      <w:marRight w:val="0"/>
      <w:marTop w:val="0"/>
      <w:marBottom w:val="0"/>
      <w:divBdr>
        <w:top w:val="none" w:sz="0" w:space="0" w:color="auto"/>
        <w:left w:val="none" w:sz="0" w:space="0" w:color="auto"/>
        <w:bottom w:val="none" w:sz="0" w:space="0" w:color="auto"/>
        <w:right w:val="none" w:sz="0" w:space="0" w:color="auto"/>
      </w:divBdr>
    </w:div>
    <w:div w:id="93014196">
      <w:bodyDiv w:val="1"/>
      <w:marLeft w:val="0"/>
      <w:marRight w:val="0"/>
      <w:marTop w:val="0"/>
      <w:marBottom w:val="0"/>
      <w:divBdr>
        <w:top w:val="none" w:sz="0" w:space="0" w:color="auto"/>
        <w:left w:val="none" w:sz="0" w:space="0" w:color="auto"/>
        <w:bottom w:val="none" w:sz="0" w:space="0" w:color="auto"/>
        <w:right w:val="none" w:sz="0" w:space="0" w:color="auto"/>
      </w:divBdr>
    </w:div>
    <w:div w:id="93287888">
      <w:bodyDiv w:val="1"/>
      <w:marLeft w:val="0"/>
      <w:marRight w:val="0"/>
      <w:marTop w:val="0"/>
      <w:marBottom w:val="0"/>
      <w:divBdr>
        <w:top w:val="none" w:sz="0" w:space="0" w:color="auto"/>
        <w:left w:val="none" w:sz="0" w:space="0" w:color="auto"/>
        <w:bottom w:val="none" w:sz="0" w:space="0" w:color="auto"/>
        <w:right w:val="none" w:sz="0" w:space="0" w:color="auto"/>
      </w:divBdr>
    </w:div>
    <w:div w:id="96875022">
      <w:bodyDiv w:val="1"/>
      <w:marLeft w:val="0"/>
      <w:marRight w:val="0"/>
      <w:marTop w:val="0"/>
      <w:marBottom w:val="0"/>
      <w:divBdr>
        <w:top w:val="none" w:sz="0" w:space="0" w:color="auto"/>
        <w:left w:val="none" w:sz="0" w:space="0" w:color="auto"/>
        <w:bottom w:val="none" w:sz="0" w:space="0" w:color="auto"/>
        <w:right w:val="none" w:sz="0" w:space="0" w:color="auto"/>
      </w:divBdr>
    </w:div>
    <w:div w:id="98449166">
      <w:bodyDiv w:val="1"/>
      <w:marLeft w:val="0"/>
      <w:marRight w:val="0"/>
      <w:marTop w:val="0"/>
      <w:marBottom w:val="0"/>
      <w:divBdr>
        <w:top w:val="none" w:sz="0" w:space="0" w:color="auto"/>
        <w:left w:val="none" w:sz="0" w:space="0" w:color="auto"/>
        <w:bottom w:val="none" w:sz="0" w:space="0" w:color="auto"/>
        <w:right w:val="none" w:sz="0" w:space="0" w:color="auto"/>
      </w:divBdr>
    </w:div>
    <w:div w:id="98834809">
      <w:bodyDiv w:val="1"/>
      <w:marLeft w:val="0"/>
      <w:marRight w:val="0"/>
      <w:marTop w:val="0"/>
      <w:marBottom w:val="0"/>
      <w:divBdr>
        <w:top w:val="none" w:sz="0" w:space="0" w:color="auto"/>
        <w:left w:val="none" w:sz="0" w:space="0" w:color="auto"/>
        <w:bottom w:val="none" w:sz="0" w:space="0" w:color="auto"/>
        <w:right w:val="none" w:sz="0" w:space="0" w:color="auto"/>
      </w:divBdr>
    </w:div>
    <w:div w:id="100421402">
      <w:bodyDiv w:val="1"/>
      <w:marLeft w:val="0"/>
      <w:marRight w:val="0"/>
      <w:marTop w:val="0"/>
      <w:marBottom w:val="0"/>
      <w:divBdr>
        <w:top w:val="none" w:sz="0" w:space="0" w:color="auto"/>
        <w:left w:val="none" w:sz="0" w:space="0" w:color="auto"/>
        <w:bottom w:val="none" w:sz="0" w:space="0" w:color="auto"/>
        <w:right w:val="none" w:sz="0" w:space="0" w:color="auto"/>
      </w:divBdr>
    </w:div>
    <w:div w:id="102263766">
      <w:bodyDiv w:val="1"/>
      <w:marLeft w:val="0"/>
      <w:marRight w:val="0"/>
      <w:marTop w:val="0"/>
      <w:marBottom w:val="0"/>
      <w:divBdr>
        <w:top w:val="none" w:sz="0" w:space="0" w:color="auto"/>
        <w:left w:val="none" w:sz="0" w:space="0" w:color="auto"/>
        <w:bottom w:val="none" w:sz="0" w:space="0" w:color="auto"/>
        <w:right w:val="none" w:sz="0" w:space="0" w:color="auto"/>
      </w:divBdr>
    </w:div>
    <w:div w:id="103039477">
      <w:bodyDiv w:val="1"/>
      <w:marLeft w:val="0"/>
      <w:marRight w:val="0"/>
      <w:marTop w:val="0"/>
      <w:marBottom w:val="0"/>
      <w:divBdr>
        <w:top w:val="none" w:sz="0" w:space="0" w:color="auto"/>
        <w:left w:val="none" w:sz="0" w:space="0" w:color="auto"/>
        <w:bottom w:val="none" w:sz="0" w:space="0" w:color="auto"/>
        <w:right w:val="none" w:sz="0" w:space="0" w:color="auto"/>
      </w:divBdr>
    </w:div>
    <w:div w:id="104421134">
      <w:bodyDiv w:val="1"/>
      <w:marLeft w:val="0"/>
      <w:marRight w:val="0"/>
      <w:marTop w:val="0"/>
      <w:marBottom w:val="0"/>
      <w:divBdr>
        <w:top w:val="none" w:sz="0" w:space="0" w:color="auto"/>
        <w:left w:val="none" w:sz="0" w:space="0" w:color="auto"/>
        <w:bottom w:val="none" w:sz="0" w:space="0" w:color="auto"/>
        <w:right w:val="none" w:sz="0" w:space="0" w:color="auto"/>
      </w:divBdr>
    </w:div>
    <w:div w:id="105584682">
      <w:bodyDiv w:val="1"/>
      <w:marLeft w:val="0"/>
      <w:marRight w:val="0"/>
      <w:marTop w:val="0"/>
      <w:marBottom w:val="0"/>
      <w:divBdr>
        <w:top w:val="none" w:sz="0" w:space="0" w:color="auto"/>
        <w:left w:val="none" w:sz="0" w:space="0" w:color="auto"/>
        <w:bottom w:val="none" w:sz="0" w:space="0" w:color="auto"/>
        <w:right w:val="none" w:sz="0" w:space="0" w:color="auto"/>
      </w:divBdr>
    </w:div>
    <w:div w:id="109397284">
      <w:bodyDiv w:val="1"/>
      <w:marLeft w:val="0"/>
      <w:marRight w:val="0"/>
      <w:marTop w:val="0"/>
      <w:marBottom w:val="0"/>
      <w:divBdr>
        <w:top w:val="none" w:sz="0" w:space="0" w:color="auto"/>
        <w:left w:val="none" w:sz="0" w:space="0" w:color="auto"/>
        <w:bottom w:val="none" w:sz="0" w:space="0" w:color="auto"/>
        <w:right w:val="none" w:sz="0" w:space="0" w:color="auto"/>
      </w:divBdr>
    </w:div>
    <w:div w:id="110319141">
      <w:bodyDiv w:val="1"/>
      <w:marLeft w:val="0"/>
      <w:marRight w:val="0"/>
      <w:marTop w:val="0"/>
      <w:marBottom w:val="0"/>
      <w:divBdr>
        <w:top w:val="none" w:sz="0" w:space="0" w:color="auto"/>
        <w:left w:val="none" w:sz="0" w:space="0" w:color="auto"/>
        <w:bottom w:val="none" w:sz="0" w:space="0" w:color="auto"/>
        <w:right w:val="none" w:sz="0" w:space="0" w:color="auto"/>
      </w:divBdr>
    </w:div>
    <w:div w:id="110899605">
      <w:bodyDiv w:val="1"/>
      <w:marLeft w:val="0"/>
      <w:marRight w:val="0"/>
      <w:marTop w:val="0"/>
      <w:marBottom w:val="0"/>
      <w:divBdr>
        <w:top w:val="none" w:sz="0" w:space="0" w:color="auto"/>
        <w:left w:val="none" w:sz="0" w:space="0" w:color="auto"/>
        <w:bottom w:val="none" w:sz="0" w:space="0" w:color="auto"/>
        <w:right w:val="none" w:sz="0" w:space="0" w:color="auto"/>
      </w:divBdr>
    </w:div>
    <w:div w:id="111170786">
      <w:bodyDiv w:val="1"/>
      <w:marLeft w:val="0"/>
      <w:marRight w:val="0"/>
      <w:marTop w:val="0"/>
      <w:marBottom w:val="0"/>
      <w:divBdr>
        <w:top w:val="none" w:sz="0" w:space="0" w:color="auto"/>
        <w:left w:val="none" w:sz="0" w:space="0" w:color="auto"/>
        <w:bottom w:val="none" w:sz="0" w:space="0" w:color="auto"/>
        <w:right w:val="none" w:sz="0" w:space="0" w:color="auto"/>
      </w:divBdr>
    </w:div>
    <w:div w:id="113913256">
      <w:bodyDiv w:val="1"/>
      <w:marLeft w:val="0"/>
      <w:marRight w:val="0"/>
      <w:marTop w:val="0"/>
      <w:marBottom w:val="0"/>
      <w:divBdr>
        <w:top w:val="none" w:sz="0" w:space="0" w:color="auto"/>
        <w:left w:val="none" w:sz="0" w:space="0" w:color="auto"/>
        <w:bottom w:val="none" w:sz="0" w:space="0" w:color="auto"/>
        <w:right w:val="none" w:sz="0" w:space="0" w:color="auto"/>
      </w:divBdr>
    </w:div>
    <w:div w:id="115224049">
      <w:bodyDiv w:val="1"/>
      <w:marLeft w:val="0"/>
      <w:marRight w:val="0"/>
      <w:marTop w:val="0"/>
      <w:marBottom w:val="0"/>
      <w:divBdr>
        <w:top w:val="none" w:sz="0" w:space="0" w:color="auto"/>
        <w:left w:val="none" w:sz="0" w:space="0" w:color="auto"/>
        <w:bottom w:val="none" w:sz="0" w:space="0" w:color="auto"/>
        <w:right w:val="none" w:sz="0" w:space="0" w:color="auto"/>
      </w:divBdr>
    </w:div>
    <w:div w:id="115224746">
      <w:bodyDiv w:val="1"/>
      <w:marLeft w:val="0"/>
      <w:marRight w:val="0"/>
      <w:marTop w:val="0"/>
      <w:marBottom w:val="0"/>
      <w:divBdr>
        <w:top w:val="none" w:sz="0" w:space="0" w:color="auto"/>
        <w:left w:val="none" w:sz="0" w:space="0" w:color="auto"/>
        <w:bottom w:val="none" w:sz="0" w:space="0" w:color="auto"/>
        <w:right w:val="none" w:sz="0" w:space="0" w:color="auto"/>
      </w:divBdr>
    </w:div>
    <w:div w:id="115567383">
      <w:bodyDiv w:val="1"/>
      <w:marLeft w:val="0"/>
      <w:marRight w:val="0"/>
      <w:marTop w:val="0"/>
      <w:marBottom w:val="0"/>
      <w:divBdr>
        <w:top w:val="none" w:sz="0" w:space="0" w:color="auto"/>
        <w:left w:val="none" w:sz="0" w:space="0" w:color="auto"/>
        <w:bottom w:val="none" w:sz="0" w:space="0" w:color="auto"/>
        <w:right w:val="none" w:sz="0" w:space="0" w:color="auto"/>
      </w:divBdr>
    </w:div>
    <w:div w:id="117380748">
      <w:bodyDiv w:val="1"/>
      <w:marLeft w:val="0"/>
      <w:marRight w:val="0"/>
      <w:marTop w:val="0"/>
      <w:marBottom w:val="0"/>
      <w:divBdr>
        <w:top w:val="none" w:sz="0" w:space="0" w:color="auto"/>
        <w:left w:val="none" w:sz="0" w:space="0" w:color="auto"/>
        <w:bottom w:val="none" w:sz="0" w:space="0" w:color="auto"/>
        <w:right w:val="none" w:sz="0" w:space="0" w:color="auto"/>
      </w:divBdr>
    </w:div>
    <w:div w:id="118651479">
      <w:bodyDiv w:val="1"/>
      <w:marLeft w:val="0"/>
      <w:marRight w:val="0"/>
      <w:marTop w:val="0"/>
      <w:marBottom w:val="0"/>
      <w:divBdr>
        <w:top w:val="none" w:sz="0" w:space="0" w:color="auto"/>
        <w:left w:val="none" w:sz="0" w:space="0" w:color="auto"/>
        <w:bottom w:val="none" w:sz="0" w:space="0" w:color="auto"/>
        <w:right w:val="none" w:sz="0" w:space="0" w:color="auto"/>
      </w:divBdr>
    </w:div>
    <w:div w:id="120194071">
      <w:bodyDiv w:val="1"/>
      <w:marLeft w:val="0"/>
      <w:marRight w:val="0"/>
      <w:marTop w:val="0"/>
      <w:marBottom w:val="0"/>
      <w:divBdr>
        <w:top w:val="none" w:sz="0" w:space="0" w:color="auto"/>
        <w:left w:val="none" w:sz="0" w:space="0" w:color="auto"/>
        <w:bottom w:val="none" w:sz="0" w:space="0" w:color="auto"/>
        <w:right w:val="none" w:sz="0" w:space="0" w:color="auto"/>
      </w:divBdr>
    </w:div>
    <w:div w:id="120540825">
      <w:bodyDiv w:val="1"/>
      <w:marLeft w:val="0"/>
      <w:marRight w:val="0"/>
      <w:marTop w:val="0"/>
      <w:marBottom w:val="0"/>
      <w:divBdr>
        <w:top w:val="none" w:sz="0" w:space="0" w:color="auto"/>
        <w:left w:val="none" w:sz="0" w:space="0" w:color="auto"/>
        <w:bottom w:val="none" w:sz="0" w:space="0" w:color="auto"/>
        <w:right w:val="none" w:sz="0" w:space="0" w:color="auto"/>
      </w:divBdr>
    </w:div>
    <w:div w:id="122038995">
      <w:bodyDiv w:val="1"/>
      <w:marLeft w:val="0"/>
      <w:marRight w:val="0"/>
      <w:marTop w:val="0"/>
      <w:marBottom w:val="0"/>
      <w:divBdr>
        <w:top w:val="none" w:sz="0" w:space="0" w:color="auto"/>
        <w:left w:val="none" w:sz="0" w:space="0" w:color="auto"/>
        <w:bottom w:val="none" w:sz="0" w:space="0" w:color="auto"/>
        <w:right w:val="none" w:sz="0" w:space="0" w:color="auto"/>
      </w:divBdr>
    </w:div>
    <w:div w:id="125321542">
      <w:bodyDiv w:val="1"/>
      <w:marLeft w:val="0"/>
      <w:marRight w:val="0"/>
      <w:marTop w:val="0"/>
      <w:marBottom w:val="0"/>
      <w:divBdr>
        <w:top w:val="none" w:sz="0" w:space="0" w:color="auto"/>
        <w:left w:val="none" w:sz="0" w:space="0" w:color="auto"/>
        <w:bottom w:val="none" w:sz="0" w:space="0" w:color="auto"/>
        <w:right w:val="none" w:sz="0" w:space="0" w:color="auto"/>
      </w:divBdr>
    </w:div>
    <w:div w:id="125971143">
      <w:bodyDiv w:val="1"/>
      <w:marLeft w:val="0"/>
      <w:marRight w:val="0"/>
      <w:marTop w:val="0"/>
      <w:marBottom w:val="0"/>
      <w:divBdr>
        <w:top w:val="none" w:sz="0" w:space="0" w:color="auto"/>
        <w:left w:val="none" w:sz="0" w:space="0" w:color="auto"/>
        <w:bottom w:val="none" w:sz="0" w:space="0" w:color="auto"/>
        <w:right w:val="none" w:sz="0" w:space="0" w:color="auto"/>
      </w:divBdr>
    </w:div>
    <w:div w:id="126120045">
      <w:bodyDiv w:val="1"/>
      <w:marLeft w:val="0"/>
      <w:marRight w:val="0"/>
      <w:marTop w:val="0"/>
      <w:marBottom w:val="0"/>
      <w:divBdr>
        <w:top w:val="none" w:sz="0" w:space="0" w:color="auto"/>
        <w:left w:val="none" w:sz="0" w:space="0" w:color="auto"/>
        <w:bottom w:val="none" w:sz="0" w:space="0" w:color="auto"/>
        <w:right w:val="none" w:sz="0" w:space="0" w:color="auto"/>
      </w:divBdr>
    </w:div>
    <w:div w:id="127094609">
      <w:bodyDiv w:val="1"/>
      <w:marLeft w:val="0"/>
      <w:marRight w:val="0"/>
      <w:marTop w:val="0"/>
      <w:marBottom w:val="0"/>
      <w:divBdr>
        <w:top w:val="none" w:sz="0" w:space="0" w:color="auto"/>
        <w:left w:val="none" w:sz="0" w:space="0" w:color="auto"/>
        <w:bottom w:val="none" w:sz="0" w:space="0" w:color="auto"/>
        <w:right w:val="none" w:sz="0" w:space="0" w:color="auto"/>
      </w:divBdr>
    </w:div>
    <w:div w:id="128743092">
      <w:bodyDiv w:val="1"/>
      <w:marLeft w:val="0"/>
      <w:marRight w:val="0"/>
      <w:marTop w:val="0"/>
      <w:marBottom w:val="0"/>
      <w:divBdr>
        <w:top w:val="none" w:sz="0" w:space="0" w:color="auto"/>
        <w:left w:val="none" w:sz="0" w:space="0" w:color="auto"/>
        <w:bottom w:val="none" w:sz="0" w:space="0" w:color="auto"/>
        <w:right w:val="none" w:sz="0" w:space="0" w:color="auto"/>
      </w:divBdr>
    </w:div>
    <w:div w:id="130950697">
      <w:bodyDiv w:val="1"/>
      <w:marLeft w:val="0"/>
      <w:marRight w:val="0"/>
      <w:marTop w:val="0"/>
      <w:marBottom w:val="0"/>
      <w:divBdr>
        <w:top w:val="none" w:sz="0" w:space="0" w:color="auto"/>
        <w:left w:val="none" w:sz="0" w:space="0" w:color="auto"/>
        <w:bottom w:val="none" w:sz="0" w:space="0" w:color="auto"/>
        <w:right w:val="none" w:sz="0" w:space="0" w:color="auto"/>
      </w:divBdr>
    </w:div>
    <w:div w:id="131753419">
      <w:bodyDiv w:val="1"/>
      <w:marLeft w:val="0"/>
      <w:marRight w:val="0"/>
      <w:marTop w:val="0"/>
      <w:marBottom w:val="0"/>
      <w:divBdr>
        <w:top w:val="none" w:sz="0" w:space="0" w:color="auto"/>
        <w:left w:val="none" w:sz="0" w:space="0" w:color="auto"/>
        <w:bottom w:val="none" w:sz="0" w:space="0" w:color="auto"/>
        <w:right w:val="none" w:sz="0" w:space="0" w:color="auto"/>
      </w:divBdr>
    </w:div>
    <w:div w:id="131950561">
      <w:bodyDiv w:val="1"/>
      <w:marLeft w:val="0"/>
      <w:marRight w:val="0"/>
      <w:marTop w:val="0"/>
      <w:marBottom w:val="0"/>
      <w:divBdr>
        <w:top w:val="none" w:sz="0" w:space="0" w:color="auto"/>
        <w:left w:val="none" w:sz="0" w:space="0" w:color="auto"/>
        <w:bottom w:val="none" w:sz="0" w:space="0" w:color="auto"/>
        <w:right w:val="none" w:sz="0" w:space="0" w:color="auto"/>
      </w:divBdr>
    </w:div>
    <w:div w:id="134567353">
      <w:bodyDiv w:val="1"/>
      <w:marLeft w:val="0"/>
      <w:marRight w:val="0"/>
      <w:marTop w:val="0"/>
      <w:marBottom w:val="0"/>
      <w:divBdr>
        <w:top w:val="none" w:sz="0" w:space="0" w:color="auto"/>
        <w:left w:val="none" w:sz="0" w:space="0" w:color="auto"/>
        <w:bottom w:val="none" w:sz="0" w:space="0" w:color="auto"/>
        <w:right w:val="none" w:sz="0" w:space="0" w:color="auto"/>
      </w:divBdr>
    </w:div>
    <w:div w:id="135996005">
      <w:bodyDiv w:val="1"/>
      <w:marLeft w:val="0"/>
      <w:marRight w:val="0"/>
      <w:marTop w:val="0"/>
      <w:marBottom w:val="0"/>
      <w:divBdr>
        <w:top w:val="none" w:sz="0" w:space="0" w:color="auto"/>
        <w:left w:val="none" w:sz="0" w:space="0" w:color="auto"/>
        <w:bottom w:val="none" w:sz="0" w:space="0" w:color="auto"/>
        <w:right w:val="none" w:sz="0" w:space="0" w:color="auto"/>
      </w:divBdr>
    </w:div>
    <w:div w:id="138806481">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821415">
      <w:bodyDiv w:val="1"/>
      <w:marLeft w:val="0"/>
      <w:marRight w:val="0"/>
      <w:marTop w:val="0"/>
      <w:marBottom w:val="0"/>
      <w:divBdr>
        <w:top w:val="none" w:sz="0" w:space="0" w:color="auto"/>
        <w:left w:val="none" w:sz="0" w:space="0" w:color="auto"/>
        <w:bottom w:val="none" w:sz="0" w:space="0" w:color="auto"/>
        <w:right w:val="none" w:sz="0" w:space="0" w:color="auto"/>
      </w:divBdr>
    </w:div>
    <w:div w:id="150021832">
      <w:bodyDiv w:val="1"/>
      <w:marLeft w:val="0"/>
      <w:marRight w:val="0"/>
      <w:marTop w:val="0"/>
      <w:marBottom w:val="0"/>
      <w:divBdr>
        <w:top w:val="none" w:sz="0" w:space="0" w:color="auto"/>
        <w:left w:val="none" w:sz="0" w:space="0" w:color="auto"/>
        <w:bottom w:val="none" w:sz="0" w:space="0" w:color="auto"/>
        <w:right w:val="none" w:sz="0" w:space="0" w:color="auto"/>
      </w:divBdr>
    </w:div>
    <w:div w:id="152065887">
      <w:bodyDiv w:val="1"/>
      <w:marLeft w:val="0"/>
      <w:marRight w:val="0"/>
      <w:marTop w:val="0"/>
      <w:marBottom w:val="0"/>
      <w:divBdr>
        <w:top w:val="none" w:sz="0" w:space="0" w:color="auto"/>
        <w:left w:val="none" w:sz="0" w:space="0" w:color="auto"/>
        <w:bottom w:val="none" w:sz="0" w:space="0" w:color="auto"/>
        <w:right w:val="none" w:sz="0" w:space="0" w:color="auto"/>
      </w:divBdr>
    </w:div>
    <w:div w:id="154028860">
      <w:bodyDiv w:val="1"/>
      <w:marLeft w:val="0"/>
      <w:marRight w:val="0"/>
      <w:marTop w:val="0"/>
      <w:marBottom w:val="0"/>
      <w:divBdr>
        <w:top w:val="none" w:sz="0" w:space="0" w:color="auto"/>
        <w:left w:val="none" w:sz="0" w:space="0" w:color="auto"/>
        <w:bottom w:val="none" w:sz="0" w:space="0" w:color="auto"/>
        <w:right w:val="none" w:sz="0" w:space="0" w:color="auto"/>
      </w:divBdr>
    </w:div>
    <w:div w:id="154683375">
      <w:bodyDiv w:val="1"/>
      <w:marLeft w:val="0"/>
      <w:marRight w:val="0"/>
      <w:marTop w:val="0"/>
      <w:marBottom w:val="0"/>
      <w:divBdr>
        <w:top w:val="none" w:sz="0" w:space="0" w:color="auto"/>
        <w:left w:val="none" w:sz="0" w:space="0" w:color="auto"/>
        <w:bottom w:val="none" w:sz="0" w:space="0" w:color="auto"/>
        <w:right w:val="none" w:sz="0" w:space="0" w:color="auto"/>
      </w:divBdr>
    </w:div>
    <w:div w:id="157232900">
      <w:bodyDiv w:val="1"/>
      <w:marLeft w:val="0"/>
      <w:marRight w:val="0"/>
      <w:marTop w:val="0"/>
      <w:marBottom w:val="0"/>
      <w:divBdr>
        <w:top w:val="none" w:sz="0" w:space="0" w:color="auto"/>
        <w:left w:val="none" w:sz="0" w:space="0" w:color="auto"/>
        <w:bottom w:val="none" w:sz="0" w:space="0" w:color="auto"/>
        <w:right w:val="none" w:sz="0" w:space="0" w:color="auto"/>
      </w:divBdr>
    </w:div>
    <w:div w:id="158035898">
      <w:bodyDiv w:val="1"/>
      <w:marLeft w:val="0"/>
      <w:marRight w:val="0"/>
      <w:marTop w:val="0"/>
      <w:marBottom w:val="0"/>
      <w:divBdr>
        <w:top w:val="none" w:sz="0" w:space="0" w:color="auto"/>
        <w:left w:val="none" w:sz="0" w:space="0" w:color="auto"/>
        <w:bottom w:val="none" w:sz="0" w:space="0" w:color="auto"/>
        <w:right w:val="none" w:sz="0" w:space="0" w:color="auto"/>
      </w:divBdr>
    </w:div>
    <w:div w:id="159273875">
      <w:bodyDiv w:val="1"/>
      <w:marLeft w:val="0"/>
      <w:marRight w:val="0"/>
      <w:marTop w:val="0"/>
      <w:marBottom w:val="0"/>
      <w:divBdr>
        <w:top w:val="none" w:sz="0" w:space="0" w:color="auto"/>
        <w:left w:val="none" w:sz="0" w:space="0" w:color="auto"/>
        <w:bottom w:val="none" w:sz="0" w:space="0" w:color="auto"/>
        <w:right w:val="none" w:sz="0" w:space="0" w:color="auto"/>
      </w:divBdr>
    </w:div>
    <w:div w:id="160123066">
      <w:bodyDiv w:val="1"/>
      <w:marLeft w:val="0"/>
      <w:marRight w:val="0"/>
      <w:marTop w:val="0"/>
      <w:marBottom w:val="0"/>
      <w:divBdr>
        <w:top w:val="none" w:sz="0" w:space="0" w:color="auto"/>
        <w:left w:val="none" w:sz="0" w:space="0" w:color="auto"/>
        <w:bottom w:val="none" w:sz="0" w:space="0" w:color="auto"/>
        <w:right w:val="none" w:sz="0" w:space="0" w:color="auto"/>
      </w:divBdr>
    </w:div>
    <w:div w:id="161286752">
      <w:bodyDiv w:val="1"/>
      <w:marLeft w:val="0"/>
      <w:marRight w:val="0"/>
      <w:marTop w:val="0"/>
      <w:marBottom w:val="0"/>
      <w:divBdr>
        <w:top w:val="none" w:sz="0" w:space="0" w:color="auto"/>
        <w:left w:val="none" w:sz="0" w:space="0" w:color="auto"/>
        <w:bottom w:val="none" w:sz="0" w:space="0" w:color="auto"/>
        <w:right w:val="none" w:sz="0" w:space="0" w:color="auto"/>
      </w:divBdr>
    </w:div>
    <w:div w:id="161892118">
      <w:bodyDiv w:val="1"/>
      <w:marLeft w:val="0"/>
      <w:marRight w:val="0"/>
      <w:marTop w:val="0"/>
      <w:marBottom w:val="0"/>
      <w:divBdr>
        <w:top w:val="none" w:sz="0" w:space="0" w:color="auto"/>
        <w:left w:val="none" w:sz="0" w:space="0" w:color="auto"/>
        <w:bottom w:val="none" w:sz="0" w:space="0" w:color="auto"/>
        <w:right w:val="none" w:sz="0" w:space="0" w:color="auto"/>
      </w:divBdr>
    </w:div>
    <w:div w:id="164561022">
      <w:bodyDiv w:val="1"/>
      <w:marLeft w:val="0"/>
      <w:marRight w:val="0"/>
      <w:marTop w:val="0"/>
      <w:marBottom w:val="0"/>
      <w:divBdr>
        <w:top w:val="none" w:sz="0" w:space="0" w:color="auto"/>
        <w:left w:val="none" w:sz="0" w:space="0" w:color="auto"/>
        <w:bottom w:val="none" w:sz="0" w:space="0" w:color="auto"/>
        <w:right w:val="none" w:sz="0" w:space="0" w:color="auto"/>
      </w:divBdr>
    </w:div>
    <w:div w:id="164905161">
      <w:bodyDiv w:val="1"/>
      <w:marLeft w:val="0"/>
      <w:marRight w:val="0"/>
      <w:marTop w:val="0"/>
      <w:marBottom w:val="0"/>
      <w:divBdr>
        <w:top w:val="none" w:sz="0" w:space="0" w:color="auto"/>
        <w:left w:val="none" w:sz="0" w:space="0" w:color="auto"/>
        <w:bottom w:val="none" w:sz="0" w:space="0" w:color="auto"/>
        <w:right w:val="none" w:sz="0" w:space="0" w:color="auto"/>
      </w:divBdr>
    </w:div>
    <w:div w:id="170032371">
      <w:bodyDiv w:val="1"/>
      <w:marLeft w:val="0"/>
      <w:marRight w:val="0"/>
      <w:marTop w:val="0"/>
      <w:marBottom w:val="0"/>
      <w:divBdr>
        <w:top w:val="none" w:sz="0" w:space="0" w:color="auto"/>
        <w:left w:val="none" w:sz="0" w:space="0" w:color="auto"/>
        <w:bottom w:val="none" w:sz="0" w:space="0" w:color="auto"/>
        <w:right w:val="none" w:sz="0" w:space="0" w:color="auto"/>
      </w:divBdr>
    </w:div>
    <w:div w:id="171534472">
      <w:bodyDiv w:val="1"/>
      <w:marLeft w:val="0"/>
      <w:marRight w:val="0"/>
      <w:marTop w:val="0"/>
      <w:marBottom w:val="0"/>
      <w:divBdr>
        <w:top w:val="none" w:sz="0" w:space="0" w:color="auto"/>
        <w:left w:val="none" w:sz="0" w:space="0" w:color="auto"/>
        <w:bottom w:val="none" w:sz="0" w:space="0" w:color="auto"/>
        <w:right w:val="none" w:sz="0" w:space="0" w:color="auto"/>
      </w:divBdr>
    </w:div>
    <w:div w:id="172232575">
      <w:bodyDiv w:val="1"/>
      <w:marLeft w:val="0"/>
      <w:marRight w:val="0"/>
      <w:marTop w:val="0"/>
      <w:marBottom w:val="0"/>
      <w:divBdr>
        <w:top w:val="none" w:sz="0" w:space="0" w:color="auto"/>
        <w:left w:val="none" w:sz="0" w:space="0" w:color="auto"/>
        <w:bottom w:val="none" w:sz="0" w:space="0" w:color="auto"/>
        <w:right w:val="none" w:sz="0" w:space="0" w:color="auto"/>
      </w:divBdr>
    </w:div>
    <w:div w:id="172457692">
      <w:bodyDiv w:val="1"/>
      <w:marLeft w:val="0"/>
      <w:marRight w:val="0"/>
      <w:marTop w:val="0"/>
      <w:marBottom w:val="0"/>
      <w:divBdr>
        <w:top w:val="none" w:sz="0" w:space="0" w:color="auto"/>
        <w:left w:val="none" w:sz="0" w:space="0" w:color="auto"/>
        <w:bottom w:val="none" w:sz="0" w:space="0" w:color="auto"/>
        <w:right w:val="none" w:sz="0" w:space="0" w:color="auto"/>
      </w:divBdr>
    </w:div>
    <w:div w:id="173422742">
      <w:bodyDiv w:val="1"/>
      <w:marLeft w:val="0"/>
      <w:marRight w:val="0"/>
      <w:marTop w:val="0"/>
      <w:marBottom w:val="0"/>
      <w:divBdr>
        <w:top w:val="none" w:sz="0" w:space="0" w:color="auto"/>
        <w:left w:val="none" w:sz="0" w:space="0" w:color="auto"/>
        <w:bottom w:val="none" w:sz="0" w:space="0" w:color="auto"/>
        <w:right w:val="none" w:sz="0" w:space="0" w:color="auto"/>
      </w:divBdr>
    </w:div>
    <w:div w:id="173809532">
      <w:bodyDiv w:val="1"/>
      <w:marLeft w:val="0"/>
      <w:marRight w:val="0"/>
      <w:marTop w:val="0"/>
      <w:marBottom w:val="0"/>
      <w:divBdr>
        <w:top w:val="none" w:sz="0" w:space="0" w:color="auto"/>
        <w:left w:val="none" w:sz="0" w:space="0" w:color="auto"/>
        <w:bottom w:val="none" w:sz="0" w:space="0" w:color="auto"/>
        <w:right w:val="none" w:sz="0" w:space="0" w:color="auto"/>
      </w:divBdr>
    </w:div>
    <w:div w:id="174996606">
      <w:bodyDiv w:val="1"/>
      <w:marLeft w:val="0"/>
      <w:marRight w:val="0"/>
      <w:marTop w:val="0"/>
      <w:marBottom w:val="0"/>
      <w:divBdr>
        <w:top w:val="none" w:sz="0" w:space="0" w:color="auto"/>
        <w:left w:val="none" w:sz="0" w:space="0" w:color="auto"/>
        <w:bottom w:val="none" w:sz="0" w:space="0" w:color="auto"/>
        <w:right w:val="none" w:sz="0" w:space="0" w:color="auto"/>
      </w:divBdr>
    </w:div>
    <w:div w:id="175921121">
      <w:bodyDiv w:val="1"/>
      <w:marLeft w:val="0"/>
      <w:marRight w:val="0"/>
      <w:marTop w:val="0"/>
      <w:marBottom w:val="0"/>
      <w:divBdr>
        <w:top w:val="none" w:sz="0" w:space="0" w:color="auto"/>
        <w:left w:val="none" w:sz="0" w:space="0" w:color="auto"/>
        <w:bottom w:val="none" w:sz="0" w:space="0" w:color="auto"/>
        <w:right w:val="none" w:sz="0" w:space="0" w:color="auto"/>
      </w:divBdr>
    </w:div>
    <w:div w:id="176584590">
      <w:bodyDiv w:val="1"/>
      <w:marLeft w:val="0"/>
      <w:marRight w:val="0"/>
      <w:marTop w:val="0"/>
      <w:marBottom w:val="0"/>
      <w:divBdr>
        <w:top w:val="none" w:sz="0" w:space="0" w:color="auto"/>
        <w:left w:val="none" w:sz="0" w:space="0" w:color="auto"/>
        <w:bottom w:val="none" w:sz="0" w:space="0" w:color="auto"/>
        <w:right w:val="none" w:sz="0" w:space="0" w:color="auto"/>
      </w:divBdr>
    </w:div>
    <w:div w:id="176889698">
      <w:bodyDiv w:val="1"/>
      <w:marLeft w:val="0"/>
      <w:marRight w:val="0"/>
      <w:marTop w:val="0"/>
      <w:marBottom w:val="0"/>
      <w:divBdr>
        <w:top w:val="none" w:sz="0" w:space="0" w:color="auto"/>
        <w:left w:val="none" w:sz="0" w:space="0" w:color="auto"/>
        <w:bottom w:val="none" w:sz="0" w:space="0" w:color="auto"/>
        <w:right w:val="none" w:sz="0" w:space="0" w:color="auto"/>
      </w:divBdr>
    </w:div>
    <w:div w:id="180171945">
      <w:bodyDiv w:val="1"/>
      <w:marLeft w:val="0"/>
      <w:marRight w:val="0"/>
      <w:marTop w:val="0"/>
      <w:marBottom w:val="0"/>
      <w:divBdr>
        <w:top w:val="none" w:sz="0" w:space="0" w:color="auto"/>
        <w:left w:val="none" w:sz="0" w:space="0" w:color="auto"/>
        <w:bottom w:val="none" w:sz="0" w:space="0" w:color="auto"/>
        <w:right w:val="none" w:sz="0" w:space="0" w:color="auto"/>
      </w:divBdr>
    </w:div>
    <w:div w:id="180245647">
      <w:bodyDiv w:val="1"/>
      <w:marLeft w:val="0"/>
      <w:marRight w:val="0"/>
      <w:marTop w:val="0"/>
      <w:marBottom w:val="0"/>
      <w:divBdr>
        <w:top w:val="none" w:sz="0" w:space="0" w:color="auto"/>
        <w:left w:val="none" w:sz="0" w:space="0" w:color="auto"/>
        <w:bottom w:val="none" w:sz="0" w:space="0" w:color="auto"/>
        <w:right w:val="none" w:sz="0" w:space="0" w:color="auto"/>
      </w:divBdr>
    </w:div>
    <w:div w:id="181212764">
      <w:bodyDiv w:val="1"/>
      <w:marLeft w:val="0"/>
      <w:marRight w:val="0"/>
      <w:marTop w:val="0"/>
      <w:marBottom w:val="0"/>
      <w:divBdr>
        <w:top w:val="none" w:sz="0" w:space="0" w:color="auto"/>
        <w:left w:val="none" w:sz="0" w:space="0" w:color="auto"/>
        <w:bottom w:val="none" w:sz="0" w:space="0" w:color="auto"/>
        <w:right w:val="none" w:sz="0" w:space="0" w:color="auto"/>
      </w:divBdr>
    </w:div>
    <w:div w:id="181625479">
      <w:bodyDiv w:val="1"/>
      <w:marLeft w:val="0"/>
      <w:marRight w:val="0"/>
      <w:marTop w:val="0"/>
      <w:marBottom w:val="0"/>
      <w:divBdr>
        <w:top w:val="none" w:sz="0" w:space="0" w:color="auto"/>
        <w:left w:val="none" w:sz="0" w:space="0" w:color="auto"/>
        <w:bottom w:val="none" w:sz="0" w:space="0" w:color="auto"/>
        <w:right w:val="none" w:sz="0" w:space="0" w:color="auto"/>
      </w:divBdr>
    </w:div>
    <w:div w:id="185288693">
      <w:bodyDiv w:val="1"/>
      <w:marLeft w:val="0"/>
      <w:marRight w:val="0"/>
      <w:marTop w:val="0"/>
      <w:marBottom w:val="0"/>
      <w:divBdr>
        <w:top w:val="none" w:sz="0" w:space="0" w:color="auto"/>
        <w:left w:val="none" w:sz="0" w:space="0" w:color="auto"/>
        <w:bottom w:val="none" w:sz="0" w:space="0" w:color="auto"/>
        <w:right w:val="none" w:sz="0" w:space="0" w:color="auto"/>
      </w:divBdr>
    </w:div>
    <w:div w:id="185409198">
      <w:bodyDiv w:val="1"/>
      <w:marLeft w:val="0"/>
      <w:marRight w:val="0"/>
      <w:marTop w:val="0"/>
      <w:marBottom w:val="0"/>
      <w:divBdr>
        <w:top w:val="none" w:sz="0" w:space="0" w:color="auto"/>
        <w:left w:val="none" w:sz="0" w:space="0" w:color="auto"/>
        <w:bottom w:val="none" w:sz="0" w:space="0" w:color="auto"/>
        <w:right w:val="none" w:sz="0" w:space="0" w:color="auto"/>
      </w:divBdr>
    </w:div>
    <w:div w:id="188223699">
      <w:bodyDiv w:val="1"/>
      <w:marLeft w:val="0"/>
      <w:marRight w:val="0"/>
      <w:marTop w:val="0"/>
      <w:marBottom w:val="0"/>
      <w:divBdr>
        <w:top w:val="none" w:sz="0" w:space="0" w:color="auto"/>
        <w:left w:val="none" w:sz="0" w:space="0" w:color="auto"/>
        <w:bottom w:val="none" w:sz="0" w:space="0" w:color="auto"/>
        <w:right w:val="none" w:sz="0" w:space="0" w:color="auto"/>
      </w:divBdr>
    </w:div>
    <w:div w:id="189299170">
      <w:bodyDiv w:val="1"/>
      <w:marLeft w:val="0"/>
      <w:marRight w:val="0"/>
      <w:marTop w:val="0"/>
      <w:marBottom w:val="0"/>
      <w:divBdr>
        <w:top w:val="none" w:sz="0" w:space="0" w:color="auto"/>
        <w:left w:val="none" w:sz="0" w:space="0" w:color="auto"/>
        <w:bottom w:val="none" w:sz="0" w:space="0" w:color="auto"/>
        <w:right w:val="none" w:sz="0" w:space="0" w:color="auto"/>
      </w:divBdr>
    </w:div>
    <w:div w:id="192614588">
      <w:bodyDiv w:val="1"/>
      <w:marLeft w:val="0"/>
      <w:marRight w:val="0"/>
      <w:marTop w:val="0"/>
      <w:marBottom w:val="0"/>
      <w:divBdr>
        <w:top w:val="none" w:sz="0" w:space="0" w:color="auto"/>
        <w:left w:val="none" w:sz="0" w:space="0" w:color="auto"/>
        <w:bottom w:val="none" w:sz="0" w:space="0" w:color="auto"/>
        <w:right w:val="none" w:sz="0" w:space="0" w:color="auto"/>
      </w:divBdr>
    </w:div>
    <w:div w:id="192694979">
      <w:bodyDiv w:val="1"/>
      <w:marLeft w:val="0"/>
      <w:marRight w:val="0"/>
      <w:marTop w:val="0"/>
      <w:marBottom w:val="0"/>
      <w:divBdr>
        <w:top w:val="none" w:sz="0" w:space="0" w:color="auto"/>
        <w:left w:val="none" w:sz="0" w:space="0" w:color="auto"/>
        <w:bottom w:val="none" w:sz="0" w:space="0" w:color="auto"/>
        <w:right w:val="none" w:sz="0" w:space="0" w:color="auto"/>
      </w:divBdr>
    </w:div>
    <w:div w:id="194462780">
      <w:bodyDiv w:val="1"/>
      <w:marLeft w:val="0"/>
      <w:marRight w:val="0"/>
      <w:marTop w:val="0"/>
      <w:marBottom w:val="0"/>
      <w:divBdr>
        <w:top w:val="none" w:sz="0" w:space="0" w:color="auto"/>
        <w:left w:val="none" w:sz="0" w:space="0" w:color="auto"/>
        <w:bottom w:val="none" w:sz="0" w:space="0" w:color="auto"/>
        <w:right w:val="none" w:sz="0" w:space="0" w:color="auto"/>
      </w:divBdr>
    </w:div>
    <w:div w:id="195971617">
      <w:bodyDiv w:val="1"/>
      <w:marLeft w:val="0"/>
      <w:marRight w:val="0"/>
      <w:marTop w:val="0"/>
      <w:marBottom w:val="0"/>
      <w:divBdr>
        <w:top w:val="none" w:sz="0" w:space="0" w:color="auto"/>
        <w:left w:val="none" w:sz="0" w:space="0" w:color="auto"/>
        <w:bottom w:val="none" w:sz="0" w:space="0" w:color="auto"/>
        <w:right w:val="none" w:sz="0" w:space="0" w:color="auto"/>
      </w:divBdr>
    </w:div>
    <w:div w:id="198785567">
      <w:bodyDiv w:val="1"/>
      <w:marLeft w:val="0"/>
      <w:marRight w:val="0"/>
      <w:marTop w:val="0"/>
      <w:marBottom w:val="0"/>
      <w:divBdr>
        <w:top w:val="none" w:sz="0" w:space="0" w:color="auto"/>
        <w:left w:val="none" w:sz="0" w:space="0" w:color="auto"/>
        <w:bottom w:val="none" w:sz="0" w:space="0" w:color="auto"/>
        <w:right w:val="none" w:sz="0" w:space="0" w:color="auto"/>
      </w:divBdr>
    </w:div>
    <w:div w:id="199559994">
      <w:bodyDiv w:val="1"/>
      <w:marLeft w:val="0"/>
      <w:marRight w:val="0"/>
      <w:marTop w:val="0"/>
      <w:marBottom w:val="0"/>
      <w:divBdr>
        <w:top w:val="none" w:sz="0" w:space="0" w:color="auto"/>
        <w:left w:val="none" w:sz="0" w:space="0" w:color="auto"/>
        <w:bottom w:val="none" w:sz="0" w:space="0" w:color="auto"/>
        <w:right w:val="none" w:sz="0" w:space="0" w:color="auto"/>
      </w:divBdr>
    </w:div>
    <w:div w:id="200485414">
      <w:bodyDiv w:val="1"/>
      <w:marLeft w:val="0"/>
      <w:marRight w:val="0"/>
      <w:marTop w:val="0"/>
      <w:marBottom w:val="0"/>
      <w:divBdr>
        <w:top w:val="none" w:sz="0" w:space="0" w:color="auto"/>
        <w:left w:val="none" w:sz="0" w:space="0" w:color="auto"/>
        <w:bottom w:val="none" w:sz="0" w:space="0" w:color="auto"/>
        <w:right w:val="none" w:sz="0" w:space="0" w:color="auto"/>
      </w:divBdr>
    </w:div>
    <w:div w:id="204294052">
      <w:bodyDiv w:val="1"/>
      <w:marLeft w:val="0"/>
      <w:marRight w:val="0"/>
      <w:marTop w:val="0"/>
      <w:marBottom w:val="0"/>
      <w:divBdr>
        <w:top w:val="none" w:sz="0" w:space="0" w:color="auto"/>
        <w:left w:val="none" w:sz="0" w:space="0" w:color="auto"/>
        <w:bottom w:val="none" w:sz="0" w:space="0" w:color="auto"/>
        <w:right w:val="none" w:sz="0" w:space="0" w:color="auto"/>
      </w:divBdr>
    </w:div>
    <w:div w:id="205412786">
      <w:bodyDiv w:val="1"/>
      <w:marLeft w:val="0"/>
      <w:marRight w:val="0"/>
      <w:marTop w:val="0"/>
      <w:marBottom w:val="0"/>
      <w:divBdr>
        <w:top w:val="none" w:sz="0" w:space="0" w:color="auto"/>
        <w:left w:val="none" w:sz="0" w:space="0" w:color="auto"/>
        <w:bottom w:val="none" w:sz="0" w:space="0" w:color="auto"/>
        <w:right w:val="none" w:sz="0" w:space="0" w:color="auto"/>
      </w:divBdr>
    </w:div>
    <w:div w:id="210002861">
      <w:bodyDiv w:val="1"/>
      <w:marLeft w:val="0"/>
      <w:marRight w:val="0"/>
      <w:marTop w:val="0"/>
      <w:marBottom w:val="0"/>
      <w:divBdr>
        <w:top w:val="none" w:sz="0" w:space="0" w:color="auto"/>
        <w:left w:val="none" w:sz="0" w:space="0" w:color="auto"/>
        <w:bottom w:val="none" w:sz="0" w:space="0" w:color="auto"/>
        <w:right w:val="none" w:sz="0" w:space="0" w:color="auto"/>
      </w:divBdr>
    </w:div>
    <w:div w:id="210239707">
      <w:bodyDiv w:val="1"/>
      <w:marLeft w:val="0"/>
      <w:marRight w:val="0"/>
      <w:marTop w:val="0"/>
      <w:marBottom w:val="0"/>
      <w:divBdr>
        <w:top w:val="none" w:sz="0" w:space="0" w:color="auto"/>
        <w:left w:val="none" w:sz="0" w:space="0" w:color="auto"/>
        <w:bottom w:val="none" w:sz="0" w:space="0" w:color="auto"/>
        <w:right w:val="none" w:sz="0" w:space="0" w:color="auto"/>
      </w:divBdr>
    </w:div>
    <w:div w:id="210580523">
      <w:bodyDiv w:val="1"/>
      <w:marLeft w:val="0"/>
      <w:marRight w:val="0"/>
      <w:marTop w:val="0"/>
      <w:marBottom w:val="0"/>
      <w:divBdr>
        <w:top w:val="none" w:sz="0" w:space="0" w:color="auto"/>
        <w:left w:val="none" w:sz="0" w:space="0" w:color="auto"/>
        <w:bottom w:val="none" w:sz="0" w:space="0" w:color="auto"/>
        <w:right w:val="none" w:sz="0" w:space="0" w:color="auto"/>
      </w:divBdr>
    </w:div>
    <w:div w:id="211310270">
      <w:bodyDiv w:val="1"/>
      <w:marLeft w:val="0"/>
      <w:marRight w:val="0"/>
      <w:marTop w:val="0"/>
      <w:marBottom w:val="0"/>
      <w:divBdr>
        <w:top w:val="none" w:sz="0" w:space="0" w:color="auto"/>
        <w:left w:val="none" w:sz="0" w:space="0" w:color="auto"/>
        <w:bottom w:val="none" w:sz="0" w:space="0" w:color="auto"/>
        <w:right w:val="none" w:sz="0" w:space="0" w:color="auto"/>
      </w:divBdr>
      <w:divsChild>
        <w:div w:id="1602184900">
          <w:marLeft w:val="547"/>
          <w:marRight w:val="0"/>
          <w:marTop w:val="0"/>
          <w:marBottom w:val="0"/>
          <w:divBdr>
            <w:top w:val="none" w:sz="0" w:space="0" w:color="auto"/>
            <w:left w:val="none" w:sz="0" w:space="0" w:color="auto"/>
            <w:bottom w:val="none" w:sz="0" w:space="0" w:color="auto"/>
            <w:right w:val="none" w:sz="0" w:space="0" w:color="auto"/>
          </w:divBdr>
        </w:div>
      </w:divsChild>
    </w:div>
    <w:div w:id="212892719">
      <w:bodyDiv w:val="1"/>
      <w:marLeft w:val="0"/>
      <w:marRight w:val="0"/>
      <w:marTop w:val="0"/>
      <w:marBottom w:val="0"/>
      <w:divBdr>
        <w:top w:val="none" w:sz="0" w:space="0" w:color="auto"/>
        <w:left w:val="none" w:sz="0" w:space="0" w:color="auto"/>
        <w:bottom w:val="none" w:sz="0" w:space="0" w:color="auto"/>
        <w:right w:val="none" w:sz="0" w:space="0" w:color="auto"/>
      </w:divBdr>
    </w:div>
    <w:div w:id="213545571">
      <w:bodyDiv w:val="1"/>
      <w:marLeft w:val="0"/>
      <w:marRight w:val="0"/>
      <w:marTop w:val="0"/>
      <w:marBottom w:val="0"/>
      <w:divBdr>
        <w:top w:val="none" w:sz="0" w:space="0" w:color="auto"/>
        <w:left w:val="none" w:sz="0" w:space="0" w:color="auto"/>
        <w:bottom w:val="none" w:sz="0" w:space="0" w:color="auto"/>
        <w:right w:val="none" w:sz="0" w:space="0" w:color="auto"/>
      </w:divBdr>
    </w:div>
    <w:div w:id="213661728">
      <w:bodyDiv w:val="1"/>
      <w:marLeft w:val="0"/>
      <w:marRight w:val="0"/>
      <w:marTop w:val="0"/>
      <w:marBottom w:val="0"/>
      <w:divBdr>
        <w:top w:val="none" w:sz="0" w:space="0" w:color="auto"/>
        <w:left w:val="none" w:sz="0" w:space="0" w:color="auto"/>
        <w:bottom w:val="none" w:sz="0" w:space="0" w:color="auto"/>
        <w:right w:val="none" w:sz="0" w:space="0" w:color="auto"/>
      </w:divBdr>
    </w:div>
    <w:div w:id="215360519">
      <w:bodyDiv w:val="1"/>
      <w:marLeft w:val="0"/>
      <w:marRight w:val="0"/>
      <w:marTop w:val="0"/>
      <w:marBottom w:val="0"/>
      <w:divBdr>
        <w:top w:val="none" w:sz="0" w:space="0" w:color="auto"/>
        <w:left w:val="none" w:sz="0" w:space="0" w:color="auto"/>
        <w:bottom w:val="none" w:sz="0" w:space="0" w:color="auto"/>
        <w:right w:val="none" w:sz="0" w:space="0" w:color="auto"/>
      </w:divBdr>
    </w:div>
    <w:div w:id="215818000">
      <w:bodyDiv w:val="1"/>
      <w:marLeft w:val="0"/>
      <w:marRight w:val="0"/>
      <w:marTop w:val="0"/>
      <w:marBottom w:val="0"/>
      <w:divBdr>
        <w:top w:val="none" w:sz="0" w:space="0" w:color="auto"/>
        <w:left w:val="none" w:sz="0" w:space="0" w:color="auto"/>
        <w:bottom w:val="none" w:sz="0" w:space="0" w:color="auto"/>
        <w:right w:val="none" w:sz="0" w:space="0" w:color="auto"/>
      </w:divBdr>
    </w:div>
    <w:div w:id="215821296">
      <w:bodyDiv w:val="1"/>
      <w:marLeft w:val="0"/>
      <w:marRight w:val="0"/>
      <w:marTop w:val="0"/>
      <w:marBottom w:val="0"/>
      <w:divBdr>
        <w:top w:val="none" w:sz="0" w:space="0" w:color="auto"/>
        <w:left w:val="none" w:sz="0" w:space="0" w:color="auto"/>
        <w:bottom w:val="none" w:sz="0" w:space="0" w:color="auto"/>
        <w:right w:val="none" w:sz="0" w:space="0" w:color="auto"/>
      </w:divBdr>
    </w:div>
    <w:div w:id="217327692">
      <w:bodyDiv w:val="1"/>
      <w:marLeft w:val="0"/>
      <w:marRight w:val="0"/>
      <w:marTop w:val="0"/>
      <w:marBottom w:val="0"/>
      <w:divBdr>
        <w:top w:val="none" w:sz="0" w:space="0" w:color="auto"/>
        <w:left w:val="none" w:sz="0" w:space="0" w:color="auto"/>
        <w:bottom w:val="none" w:sz="0" w:space="0" w:color="auto"/>
        <w:right w:val="none" w:sz="0" w:space="0" w:color="auto"/>
      </w:divBdr>
    </w:div>
    <w:div w:id="218714050">
      <w:bodyDiv w:val="1"/>
      <w:marLeft w:val="0"/>
      <w:marRight w:val="0"/>
      <w:marTop w:val="0"/>
      <w:marBottom w:val="0"/>
      <w:divBdr>
        <w:top w:val="none" w:sz="0" w:space="0" w:color="auto"/>
        <w:left w:val="none" w:sz="0" w:space="0" w:color="auto"/>
        <w:bottom w:val="none" w:sz="0" w:space="0" w:color="auto"/>
        <w:right w:val="none" w:sz="0" w:space="0" w:color="auto"/>
      </w:divBdr>
    </w:div>
    <w:div w:id="219437991">
      <w:bodyDiv w:val="1"/>
      <w:marLeft w:val="0"/>
      <w:marRight w:val="0"/>
      <w:marTop w:val="0"/>
      <w:marBottom w:val="0"/>
      <w:divBdr>
        <w:top w:val="none" w:sz="0" w:space="0" w:color="auto"/>
        <w:left w:val="none" w:sz="0" w:space="0" w:color="auto"/>
        <w:bottom w:val="none" w:sz="0" w:space="0" w:color="auto"/>
        <w:right w:val="none" w:sz="0" w:space="0" w:color="auto"/>
      </w:divBdr>
    </w:div>
    <w:div w:id="224802835">
      <w:bodyDiv w:val="1"/>
      <w:marLeft w:val="0"/>
      <w:marRight w:val="0"/>
      <w:marTop w:val="0"/>
      <w:marBottom w:val="0"/>
      <w:divBdr>
        <w:top w:val="none" w:sz="0" w:space="0" w:color="auto"/>
        <w:left w:val="none" w:sz="0" w:space="0" w:color="auto"/>
        <w:bottom w:val="none" w:sz="0" w:space="0" w:color="auto"/>
        <w:right w:val="none" w:sz="0" w:space="0" w:color="auto"/>
      </w:divBdr>
    </w:div>
    <w:div w:id="227035608">
      <w:bodyDiv w:val="1"/>
      <w:marLeft w:val="0"/>
      <w:marRight w:val="0"/>
      <w:marTop w:val="0"/>
      <w:marBottom w:val="0"/>
      <w:divBdr>
        <w:top w:val="none" w:sz="0" w:space="0" w:color="auto"/>
        <w:left w:val="none" w:sz="0" w:space="0" w:color="auto"/>
        <w:bottom w:val="none" w:sz="0" w:space="0" w:color="auto"/>
        <w:right w:val="none" w:sz="0" w:space="0" w:color="auto"/>
      </w:divBdr>
    </w:div>
    <w:div w:id="231939116">
      <w:bodyDiv w:val="1"/>
      <w:marLeft w:val="0"/>
      <w:marRight w:val="0"/>
      <w:marTop w:val="0"/>
      <w:marBottom w:val="0"/>
      <w:divBdr>
        <w:top w:val="none" w:sz="0" w:space="0" w:color="auto"/>
        <w:left w:val="none" w:sz="0" w:space="0" w:color="auto"/>
        <w:bottom w:val="none" w:sz="0" w:space="0" w:color="auto"/>
        <w:right w:val="none" w:sz="0" w:space="0" w:color="auto"/>
      </w:divBdr>
    </w:div>
    <w:div w:id="233199878">
      <w:bodyDiv w:val="1"/>
      <w:marLeft w:val="0"/>
      <w:marRight w:val="0"/>
      <w:marTop w:val="0"/>
      <w:marBottom w:val="0"/>
      <w:divBdr>
        <w:top w:val="none" w:sz="0" w:space="0" w:color="auto"/>
        <w:left w:val="none" w:sz="0" w:space="0" w:color="auto"/>
        <w:bottom w:val="none" w:sz="0" w:space="0" w:color="auto"/>
        <w:right w:val="none" w:sz="0" w:space="0" w:color="auto"/>
      </w:divBdr>
    </w:div>
    <w:div w:id="234320344">
      <w:bodyDiv w:val="1"/>
      <w:marLeft w:val="0"/>
      <w:marRight w:val="0"/>
      <w:marTop w:val="0"/>
      <w:marBottom w:val="0"/>
      <w:divBdr>
        <w:top w:val="none" w:sz="0" w:space="0" w:color="auto"/>
        <w:left w:val="none" w:sz="0" w:space="0" w:color="auto"/>
        <w:bottom w:val="none" w:sz="0" w:space="0" w:color="auto"/>
        <w:right w:val="none" w:sz="0" w:space="0" w:color="auto"/>
      </w:divBdr>
    </w:div>
    <w:div w:id="234559441">
      <w:bodyDiv w:val="1"/>
      <w:marLeft w:val="0"/>
      <w:marRight w:val="0"/>
      <w:marTop w:val="0"/>
      <w:marBottom w:val="0"/>
      <w:divBdr>
        <w:top w:val="none" w:sz="0" w:space="0" w:color="auto"/>
        <w:left w:val="none" w:sz="0" w:space="0" w:color="auto"/>
        <w:bottom w:val="none" w:sz="0" w:space="0" w:color="auto"/>
        <w:right w:val="none" w:sz="0" w:space="0" w:color="auto"/>
      </w:divBdr>
    </w:div>
    <w:div w:id="238642712">
      <w:bodyDiv w:val="1"/>
      <w:marLeft w:val="0"/>
      <w:marRight w:val="0"/>
      <w:marTop w:val="0"/>
      <w:marBottom w:val="0"/>
      <w:divBdr>
        <w:top w:val="none" w:sz="0" w:space="0" w:color="auto"/>
        <w:left w:val="none" w:sz="0" w:space="0" w:color="auto"/>
        <w:bottom w:val="none" w:sz="0" w:space="0" w:color="auto"/>
        <w:right w:val="none" w:sz="0" w:space="0" w:color="auto"/>
      </w:divBdr>
    </w:div>
    <w:div w:id="239489239">
      <w:bodyDiv w:val="1"/>
      <w:marLeft w:val="0"/>
      <w:marRight w:val="0"/>
      <w:marTop w:val="0"/>
      <w:marBottom w:val="0"/>
      <w:divBdr>
        <w:top w:val="none" w:sz="0" w:space="0" w:color="auto"/>
        <w:left w:val="none" w:sz="0" w:space="0" w:color="auto"/>
        <w:bottom w:val="none" w:sz="0" w:space="0" w:color="auto"/>
        <w:right w:val="none" w:sz="0" w:space="0" w:color="auto"/>
      </w:divBdr>
    </w:div>
    <w:div w:id="242565522">
      <w:bodyDiv w:val="1"/>
      <w:marLeft w:val="0"/>
      <w:marRight w:val="0"/>
      <w:marTop w:val="0"/>
      <w:marBottom w:val="0"/>
      <w:divBdr>
        <w:top w:val="none" w:sz="0" w:space="0" w:color="auto"/>
        <w:left w:val="none" w:sz="0" w:space="0" w:color="auto"/>
        <w:bottom w:val="none" w:sz="0" w:space="0" w:color="auto"/>
        <w:right w:val="none" w:sz="0" w:space="0" w:color="auto"/>
      </w:divBdr>
    </w:div>
    <w:div w:id="242767149">
      <w:bodyDiv w:val="1"/>
      <w:marLeft w:val="0"/>
      <w:marRight w:val="0"/>
      <w:marTop w:val="0"/>
      <w:marBottom w:val="0"/>
      <w:divBdr>
        <w:top w:val="none" w:sz="0" w:space="0" w:color="auto"/>
        <w:left w:val="none" w:sz="0" w:space="0" w:color="auto"/>
        <w:bottom w:val="none" w:sz="0" w:space="0" w:color="auto"/>
        <w:right w:val="none" w:sz="0" w:space="0" w:color="auto"/>
      </w:divBdr>
    </w:div>
    <w:div w:id="243925333">
      <w:bodyDiv w:val="1"/>
      <w:marLeft w:val="0"/>
      <w:marRight w:val="0"/>
      <w:marTop w:val="0"/>
      <w:marBottom w:val="0"/>
      <w:divBdr>
        <w:top w:val="none" w:sz="0" w:space="0" w:color="auto"/>
        <w:left w:val="none" w:sz="0" w:space="0" w:color="auto"/>
        <w:bottom w:val="none" w:sz="0" w:space="0" w:color="auto"/>
        <w:right w:val="none" w:sz="0" w:space="0" w:color="auto"/>
      </w:divBdr>
    </w:div>
    <w:div w:id="248467344">
      <w:bodyDiv w:val="1"/>
      <w:marLeft w:val="0"/>
      <w:marRight w:val="0"/>
      <w:marTop w:val="0"/>
      <w:marBottom w:val="0"/>
      <w:divBdr>
        <w:top w:val="none" w:sz="0" w:space="0" w:color="auto"/>
        <w:left w:val="none" w:sz="0" w:space="0" w:color="auto"/>
        <w:bottom w:val="none" w:sz="0" w:space="0" w:color="auto"/>
        <w:right w:val="none" w:sz="0" w:space="0" w:color="auto"/>
      </w:divBdr>
    </w:div>
    <w:div w:id="251553189">
      <w:bodyDiv w:val="1"/>
      <w:marLeft w:val="0"/>
      <w:marRight w:val="0"/>
      <w:marTop w:val="0"/>
      <w:marBottom w:val="0"/>
      <w:divBdr>
        <w:top w:val="none" w:sz="0" w:space="0" w:color="auto"/>
        <w:left w:val="none" w:sz="0" w:space="0" w:color="auto"/>
        <w:bottom w:val="none" w:sz="0" w:space="0" w:color="auto"/>
        <w:right w:val="none" w:sz="0" w:space="0" w:color="auto"/>
      </w:divBdr>
    </w:div>
    <w:div w:id="252514009">
      <w:bodyDiv w:val="1"/>
      <w:marLeft w:val="0"/>
      <w:marRight w:val="0"/>
      <w:marTop w:val="0"/>
      <w:marBottom w:val="0"/>
      <w:divBdr>
        <w:top w:val="none" w:sz="0" w:space="0" w:color="auto"/>
        <w:left w:val="none" w:sz="0" w:space="0" w:color="auto"/>
        <w:bottom w:val="none" w:sz="0" w:space="0" w:color="auto"/>
        <w:right w:val="none" w:sz="0" w:space="0" w:color="auto"/>
      </w:divBdr>
    </w:div>
    <w:div w:id="252591177">
      <w:bodyDiv w:val="1"/>
      <w:marLeft w:val="0"/>
      <w:marRight w:val="0"/>
      <w:marTop w:val="0"/>
      <w:marBottom w:val="0"/>
      <w:divBdr>
        <w:top w:val="none" w:sz="0" w:space="0" w:color="auto"/>
        <w:left w:val="none" w:sz="0" w:space="0" w:color="auto"/>
        <w:bottom w:val="none" w:sz="0" w:space="0" w:color="auto"/>
        <w:right w:val="none" w:sz="0" w:space="0" w:color="auto"/>
      </w:divBdr>
    </w:div>
    <w:div w:id="253904792">
      <w:bodyDiv w:val="1"/>
      <w:marLeft w:val="0"/>
      <w:marRight w:val="0"/>
      <w:marTop w:val="0"/>
      <w:marBottom w:val="0"/>
      <w:divBdr>
        <w:top w:val="none" w:sz="0" w:space="0" w:color="auto"/>
        <w:left w:val="none" w:sz="0" w:space="0" w:color="auto"/>
        <w:bottom w:val="none" w:sz="0" w:space="0" w:color="auto"/>
        <w:right w:val="none" w:sz="0" w:space="0" w:color="auto"/>
      </w:divBdr>
    </w:div>
    <w:div w:id="254293102">
      <w:bodyDiv w:val="1"/>
      <w:marLeft w:val="0"/>
      <w:marRight w:val="0"/>
      <w:marTop w:val="0"/>
      <w:marBottom w:val="0"/>
      <w:divBdr>
        <w:top w:val="none" w:sz="0" w:space="0" w:color="auto"/>
        <w:left w:val="none" w:sz="0" w:space="0" w:color="auto"/>
        <w:bottom w:val="none" w:sz="0" w:space="0" w:color="auto"/>
        <w:right w:val="none" w:sz="0" w:space="0" w:color="auto"/>
      </w:divBdr>
    </w:div>
    <w:div w:id="255133994">
      <w:bodyDiv w:val="1"/>
      <w:marLeft w:val="0"/>
      <w:marRight w:val="0"/>
      <w:marTop w:val="0"/>
      <w:marBottom w:val="0"/>
      <w:divBdr>
        <w:top w:val="none" w:sz="0" w:space="0" w:color="auto"/>
        <w:left w:val="none" w:sz="0" w:space="0" w:color="auto"/>
        <w:bottom w:val="none" w:sz="0" w:space="0" w:color="auto"/>
        <w:right w:val="none" w:sz="0" w:space="0" w:color="auto"/>
      </w:divBdr>
    </w:div>
    <w:div w:id="255208316">
      <w:bodyDiv w:val="1"/>
      <w:marLeft w:val="0"/>
      <w:marRight w:val="0"/>
      <w:marTop w:val="0"/>
      <w:marBottom w:val="0"/>
      <w:divBdr>
        <w:top w:val="none" w:sz="0" w:space="0" w:color="auto"/>
        <w:left w:val="none" w:sz="0" w:space="0" w:color="auto"/>
        <w:bottom w:val="none" w:sz="0" w:space="0" w:color="auto"/>
        <w:right w:val="none" w:sz="0" w:space="0" w:color="auto"/>
      </w:divBdr>
    </w:div>
    <w:div w:id="255795404">
      <w:bodyDiv w:val="1"/>
      <w:marLeft w:val="0"/>
      <w:marRight w:val="0"/>
      <w:marTop w:val="0"/>
      <w:marBottom w:val="0"/>
      <w:divBdr>
        <w:top w:val="none" w:sz="0" w:space="0" w:color="auto"/>
        <w:left w:val="none" w:sz="0" w:space="0" w:color="auto"/>
        <w:bottom w:val="none" w:sz="0" w:space="0" w:color="auto"/>
        <w:right w:val="none" w:sz="0" w:space="0" w:color="auto"/>
      </w:divBdr>
    </w:div>
    <w:div w:id="257833876">
      <w:bodyDiv w:val="1"/>
      <w:marLeft w:val="0"/>
      <w:marRight w:val="0"/>
      <w:marTop w:val="0"/>
      <w:marBottom w:val="0"/>
      <w:divBdr>
        <w:top w:val="none" w:sz="0" w:space="0" w:color="auto"/>
        <w:left w:val="none" w:sz="0" w:space="0" w:color="auto"/>
        <w:bottom w:val="none" w:sz="0" w:space="0" w:color="auto"/>
        <w:right w:val="none" w:sz="0" w:space="0" w:color="auto"/>
      </w:divBdr>
    </w:div>
    <w:div w:id="258952583">
      <w:bodyDiv w:val="1"/>
      <w:marLeft w:val="0"/>
      <w:marRight w:val="0"/>
      <w:marTop w:val="0"/>
      <w:marBottom w:val="0"/>
      <w:divBdr>
        <w:top w:val="none" w:sz="0" w:space="0" w:color="auto"/>
        <w:left w:val="none" w:sz="0" w:space="0" w:color="auto"/>
        <w:bottom w:val="none" w:sz="0" w:space="0" w:color="auto"/>
        <w:right w:val="none" w:sz="0" w:space="0" w:color="auto"/>
      </w:divBdr>
    </w:div>
    <w:div w:id="259529148">
      <w:bodyDiv w:val="1"/>
      <w:marLeft w:val="0"/>
      <w:marRight w:val="0"/>
      <w:marTop w:val="0"/>
      <w:marBottom w:val="0"/>
      <w:divBdr>
        <w:top w:val="none" w:sz="0" w:space="0" w:color="auto"/>
        <w:left w:val="none" w:sz="0" w:space="0" w:color="auto"/>
        <w:bottom w:val="none" w:sz="0" w:space="0" w:color="auto"/>
        <w:right w:val="none" w:sz="0" w:space="0" w:color="auto"/>
      </w:divBdr>
    </w:div>
    <w:div w:id="262417391">
      <w:bodyDiv w:val="1"/>
      <w:marLeft w:val="0"/>
      <w:marRight w:val="0"/>
      <w:marTop w:val="0"/>
      <w:marBottom w:val="0"/>
      <w:divBdr>
        <w:top w:val="none" w:sz="0" w:space="0" w:color="auto"/>
        <w:left w:val="none" w:sz="0" w:space="0" w:color="auto"/>
        <w:bottom w:val="none" w:sz="0" w:space="0" w:color="auto"/>
        <w:right w:val="none" w:sz="0" w:space="0" w:color="auto"/>
      </w:divBdr>
    </w:div>
    <w:div w:id="264508677">
      <w:bodyDiv w:val="1"/>
      <w:marLeft w:val="0"/>
      <w:marRight w:val="0"/>
      <w:marTop w:val="0"/>
      <w:marBottom w:val="0"/>
      <w:divBdr>
        <w:top w:val="none" w:sz="0" w:space="0" w:color="auto"/>
        <w:left w:val="none" w:sz="0" w:space="0" w:color="auto"/>
        <w:bottom w:val="none" w:sz="0" w:space="0" w:color="auto"/>
        <w:right w:val="none" w:sz="0" w:space="0" w:color="auto"/>
      </w:divBdr>
    </w:div>
    <w:div w:id="266550404">
      <w:bodyDiv w:val="1"/>
      <w:marLeft w:val="0"/>
      <w:marRight w:val="0"/>
      <w:marTop w:val="0"/>
      <w:marBottom w:val="0"/>
      <w:divBdr>
        <w:top w:val="none" w:sz="0" w:space="0" w:color="auto"/>
        <w:left w:val="none" w:sz="0" w:space="0" w:color="auto"/>
        <w:bottom w:val="none" w:sz="0" w:space="0" w:color="auto"/>
        <w:right w:val="none" w:sz="0" w:space="0" w:color="auto"/>
      </w:divBdr>
    </w:div>
    <w:div w:id="269168005">
      <w:bodyDiv w:val="1"/>
      <w:marLeft w:val="0"/>
      <w:marRight w:val="0"/>
      <w:marTop w:val="0"/>
      <w:marBottom w:val="0"/>
      <w:divBdr>
        <w:top w:val="none" w:sz="0" w:space="0" w:color="auto"/>
        <w:left w:val="none" w:sz="0" w:space="0" w:color="auto"/>
        <w:bottom w:val="none" w:sz="0" w:space="0" w:color="auto"/>
        <w:right w:val="none" w:sz="0" w:space="0" w:color="auto"/>
      </w:divBdr>
    </w:div>
    <w:div w:id="270283746">
      <w:bodyDiv w:val="1"/>
      <w:marLeft w:val="0"/>
      <w:marRight w:val="0"/>
      <w:marTop w:val="0"/>
      <w:marBottom w:val="0"/>
      <w:divBdr>
        <w:top w:val="none" w:sz="0" w:space="0" w:color="auto"/>
        <w:left w:val="none" w:sz="0" w:space="0" w:color="auto"/>
        <w:bottom w:val="none" w:sz="0" w:space="0" w:color="auto"/>
        <w:right w:val="none" w:sz="0" w:space="0" w:color="auto"/>
      </w:divBdr>
    </w:div>
    <w:div w:id="272127421">
      <w:bodyDiv w:val="1"/>
      <w:marLeft w:val="0"/>
      <w:marRight w:val="0"/>
      <w:marTop w:val="0"/>
      <w:marBottom w:val="0"/>
      <w:divBdr>
        <w:top w:val="none" w:sz="0" w:space="0" w:color="auto"/>
        <w:left w:val="none" w:sz="0" w:space="0" w:color="auto"/>
        <w:bottom w:val="none" w:sz="0" w:space="0" w:color="auto"/>
        <w:right w:val="none" w:sz="0" w:space="0" w:color="auto"/>
      </w:divBdr>
    </w:div>
    <w:div w:id="273023601">
      <w:bodyDiv w:val="1"/>
      <w:marLeft w:val="0"/>
      <w:marRight w:val="0"/>
      <w:marTop w:val="0"/>
      <w:marBottom w:val="0"/>
      <w:divBdr>
        <w:top w:val="none" w:sz="0" w:space="0" w:color="auto"/>
        <w:left w:val="none" w:sz="0" w:space="0" w:color="auto"/>
        <w:bottom w:val="none" w:sz="0" w:space="0" w:color="auto"/>
        <w:right w:val="none" w:sz="0" w:space="0" w:color="auto"/>
      </w:divBdr>
    </w:div>
    <w:div w:id="276185963">
      <w:bodyDiv w:val="1"/>
      <w:marLeft w:val="0"/>
      <w:marRight w:val="0"/>
      <w:marTop w:val="0"/>
      <w:marBottom w:val="0"/>
      <w:divBdr>
        <w:top w:val="none" w:sz="0" w:space="0" w:color="auto"/>
        <w:left w:val="none" w:sz="0" w:space="0" w:color="auto"/>
        <w:bottom w:val="none" w:sz="0" w:space="0" w:color="auto"/>
        <w:right w:val="none" w:sz="0" w:space="0" w:color="auto"/>
      </w:divBdr>
    </w:div>
    <w:div w:id="277762498">
      <w:bodyDiv w:val="1"/>
      <w:marLeft w:val="0"/>
      <w:marRight w:val="0"/>
      <w:marTop w:val="0"/>
      <w:marBottom w:val="0"/>
      <w:divBdr>
        <w:top w:val="none" w:sz="0" w:space="0" w:color="auto"/>
        <w:left w:val="none" w:sz="0" w:space="0" w:color="auto"/>
        <w:bottom w:val="none" w:sz="0" w:space="0" w:color="auto"/>
        <w:right w:val="none" w:sz="0" w:space="0" w:color="auto"/>
      </w:divBdr>
    </w:div>
    <w:div w:id="278731990">
      <w:bodyDiv w:val="1"/>
      <w:marLeft w:val="0"/>
      <w:marRight w:val="0"/>
      <w:marTop w:val="0"/>
      <w:marBottom w:val="0"/>
      <w:divBdr>
        <w:top w:val="none" w:sz="0" w:space="0" w:color="auto"/>
        <w:left w:val="none" w:sz="0" w:space="0" w:color="auto"/>
        <w:bottom w:val="none" w:sz="0" w:space="0" w:color="auto"/>
        <w:right w:val="none" w:sz="0" w:space="0" w:color="auto"/>
      </w:divBdr>
    </w:div>
    <w:div w:id="283197394">
      <w:bodyDiv w:val="1"/>
      <w:marLeft w:val="0"/>
      <w:marRight w:val="0"/>
      <w:marTop w:val="0"/>
      <w:marBottom w:val="0"/>
      <w:divBdr>
        <w:top w:val="none" w:sz="0" w:space="0" w:color="auto"/>
        <w:left w:val="none" w:sz="0" w:space="0" w:color="auto"/>
        <w:bottom w:val="none" w:sz="0" w:space="0" w:color="auto"/>
        <w:right w:val="none" w:sz="0" w:space="0" w:color="auto"/>
      </w:divBdr>
    </w:div>
    <w:div w:id="283344464">
      <w:bodyDiv w:val="1"/>
      <w:marLeft w:val="0"/>
      <w:marRight w:val="0"/>
      <w:marTop w:val="0"/>
      <w:marBottom w:val="0"/>
      <w:divBdr>
        <w:top w:val="none" w:sz="0" w:space="0" w:color="auto"/>
        <w:left w:val="none" w:sz="0" w:space="0" w:color="auto"/>
        <w:bottom w:val="none" w:sz="0" w:space="0" w:color="auto"/>
        <w:right w:val="none" w:sz="0" w:space="0" w:color="auto"/>
      </w:divBdr>
    </w:div>
    <w:div w:id="284704298">
      <w:bodyDiv w:val="1"/>
      <w:marLeft w:val="0"/>
      <w:marRight w:val="0"/>
      <w:marTop w:val="0"/>
      <w:marBottom w:val="0"/>
      <w:divBdr>
        <w:top w:val="none" w:sz="0" w:space="0" w:color="auto"/>
        <w:left w:val="none" w:sz="0" w:space="0" w:color="auto"/>
        <w:bottom w:val="none" w:sz="0" w:space="0" w:color="auto"/>
        <w:right w:val="none" w:sz="0" w:space="0" w:color="auto"/>
      </w:divBdr>
    </w:div>
    <w:div w:id="286861133">
      <w:bodyDiv w:val="1"/>
      <w:marLeft w:val="0"/>
      <w:marRight w:val="0"/>
      <w:marTop w:val="0"/>
      <w:marBottom w:val="0"/>
      <w:divBdr>
        <w:top w:val="none" w:sz="0" w:space="0" w:color="auto"/>
        <w:left w:val="none" w:sz="0" w:space="0" w:color="auto"/>
        <w:bottom w:val="none" w:sz="0" w:space="0" w:color="auto"/>
        <w:right w:val="none" w:sz="0" w:space="0" w:color="auto"/>
      </w:divBdr>
    </w:div>
    <w:div w:id="291986653">
      <w:bodyDiv w:val="1"/>
      <w:marLeft w:val="0"/>
      <w:marRight w:val="0"/>
      <w:marTop w:val="0"/>
      <w:marBottom w:val="0"/>
      <w:divBdr>
        <w:top w:val="none" w:sz="0" w:space="0" w:color="auto"/>
        <w:left w:val="none" w:sz="0" w:space="0" w:color="auto"/>
        <w:bottom w:val="none" w:sz="0" w:space="0" w:color="auto"/>
        <w:right w:val="none" w:sz="0" w:space="0" w:color="auto"/>
      </w:divBdr>
    </w:div>
    <w:div w:id="298803094">
      <w:bodyDiv w:val="1"/>
      <w:marLeft w:val="0"/>
      <w:marRight w:val="0"/>
      <w:marTop w:val="0"/>
      <w:marBottom w:val="0"/>
      <w:divBdr>
        <w:top w:val="none" w:sz="0" w:space="0" w:color="auto"/>
        <w:left w:val="none" w:sz="0" w:space="0" w:color="auto"/>
        <w:bottom w:val="none" w:sz="0" w:space="0" w:color="auto"/>
        <w:right w:val="none" w:sz="0" w:space="0" w:color="auto"/>
      </w:divBdr>
    </w:div>
    <w:div w:id="304550335">
      <w:bodyDiv w:val="1"/>
      <w:marLeft w:val="0"/>
      <w:marRight w:val="0"/>
      <w:marTop w:val="0"/>
      <w:marBottom w:val="0"/>
      <w:divBdr>
        <w:top w:val="none" w:sz="0" w:space="0" w:color="auto"/>
        <w:left w:val="none" w:sz="0" w:space="0" w:color="auto"/>
        <w:bottom w:val="none" w:sz="0" w:space="0" w:color="auto"/>
        <w:right w:val="none" w:sz="0" w:space="0" w:color="auto"/>
      </w:divBdr>
    </w:div>
    <w:div w:id="306014489">
      <w:bodyDiv w:val="1"/>
      <w:marLeft w:val="0"/>
      <w:marRight w:val="0"/>
      <w:marTop w:val="0"/>
      <w:marBottom w:val="0"/>
      <w:divBdr>
        <w:top w:val="none" w:sz="0" w:space="0" w:color="auto"/>
        <w:left w:val="none" w:sz="0" w:space="0" w:color="auto"/>
        <w:bottom w:val="none" w:sz="0" w:space="0" w:color="auto"/>
        <w:right w:val="none" w:sz="0" w:space="0" w:color="auto"/>
      </w:divBdr>
    </w:div>
    <w:div w:id="307370101">
      <w:bodyDiv w:val="1"/>
      <w:marLeft w:val="0"/>
      <w:marRight w:val="0"/>
      <w:marTop w:val="0"/>
      <w:marBottom w:val="0"/>
      <w:divBdr>
        <w:top w:val="none" w:sz="0" w:space="0" w:color="auto"/>
        <w:left w:val="none" w:sz="0" w:space="0" w:color="auto"/>
        <w:bottom w:val="none" w:sz="0" w:space="0" w:color="auto"/>
        <w:right w:val="none" w:sz="0" w:space="0" w:color="auto"/>
      </w:divBdr>
    </w:div>
    <w:div w:id="308248269">
      <w:bodyDiv w:val="1"/>
      <w:marLeft w:val="0"/>
      <w:marRight w:val="0"/>
      <w:marTop w:val="0"/>
      <w:marBottom w:val="0"/>
      <w:divBdr>
        <w:top w:val="none" w:sz="0" w:space="0" w:color="auto"/>
        <w:left w:val="none" w:sz="0" w:space="0" w:color="auto"/>
        <w:bottom w:val="none" w:sz="0" w:space="0" w:color="auto"/>
        <w:right w:val="none" w:sz="0" w:space="0" w:color="auto"/>
      </w:divBdr>
    </w:div>
    <w:div w:id="311256074">
      <w:bodyDiv w:val="1"/>
      <w:marLeft w:val="0"/>
      <w:marRight w:val="0"/>
      <w:marTop w:val="0"/>
      <w:marBottom w:val="0"/>
      <w:divBdr>
        <w:top w:val="none" w:sz="0" w:space="0" w:color="auto"/>
        <w:left w:val="none" w:sz="0" w:space="0" w:color="auto"/>
        <w:bottom w:val="none" w:sz="0" w:space="0" w:color="auto"/>
        <w:right w:val="none" w:sz="0" w:space="0" w:color="auto"/>
      </w:divBdr>
    </w:div>
    <w:div w:id="311760194">
      <w:bodyDiv w:val="1"/>
      <w:marLeft w:val="0"/>
      <w:marRight w:val="0"/>
      <w:marTop w:val="0"/>
      <w:marBottom w:val="0"/>
      <w:divBdr>
        <w:top w:val="none" w:sz="0" w:space="0" w:color="auto"/>
        <w:left w:val="none" w:sz="0" w:space="0" w:color="auto"/>
        <w:bottom w:val="none" w:sz="0" w:space="0" w:color="auto"/>
        <w:right w:val="none" w:sz="0" w:space="0" w:color="auto"/>
      </w:divBdr>
    </w:div>
    <w:div w:id="314720399">
      <w:bodyDiv w:val="1"/>
      <w:marLeft w:val="0"/>
      <w:marRight w:val="0"/>
      <w:marTop w:val="0"/>
      <w:marBottom w:val="0"/>
      <w:divBdr>
        <w:top w:val="none" w:sz="0" w:space="0" w:color="auto"/>
        <w:left w:val="none" w:sz="0" w:space="0" w:color="auto"/>
        <w:bottom w:val="none" w:sz="0" w:space="0" w:color="auto"/>
        <w:right w:val="none" w:sz="0" w:space="0" w:color="auto"/>
      </w:divBdr>
    </w:div>
    <w:div w:id="314798708">
      <w:bodyDiv w:val="1"/>
      <w:marLeft w:val="0"/>
      <w:marRight w:val="0"/>
      <w:marTop w:val="0"/>
      <w:marBottom w:val="0"/>
      <w:divBdr>
        <w:top w:val="none" w:sz="0" w:space="0" w:color="auto"/>
        <w:left w:val="none" w:sz="0" w:space="0" w:color="auto"/>
        <w:bottom w:val="none" w:sz="0" w:space="0" w:color="auto"/>
        <w:right w:val="none" w:sz="0" w:space="0" w:color="auto"/>
      </w:divBdr>
    </w:div>
    <w:div w:id="315230947">
      <w:bodyDiv w:val="1"/>
      <w:marLeft w:val="0"/>
      <w:marRight w:val="0"/>
      <w:marTop w:val="0"/>
      <w:marBottom w:val="0"/>
      <w:divBdr>
        <w:top w:val="none" w:sz="0" w:space="0" w:color="auto"/>
        <w:left w:val="none" w:sz="0" w:space="0" w:color="auto"/>
        <w:bottom w:val="none" w:sz="0" w:space="0" w:color="auto"/>
        <w:right w:val="none" w:sz="0" w:space="0" w:color="auto"/>
      </w:divBdr>
    </w:div>
    <w:div w:id="316149050">
      <w:bodyDiv w:val="1"/>
      <w:marLeft w:val="0"/>
      <w:marRight w:val="0"/>
      <w:marTop w:val="0"/>
      <w:marBottom w:val="0"/>
      <w:divBdr>
        <w:top w:val="none" w:sz="0" w:space="0" w:color="auto"/>
        <w:left w:val="none" w:sz="0" w:space="0" w:color="auto"/>
        <w:bottom w:val="none" w:sz="0" w:space="0" w:color="auto"/>
        <w:right w:val="none" w:sz="0" w:space="0" w:color="auto"/>
      </w:divBdr>
    </w:div>
    <w:div w:id="316153135">
      <w:bodyDiv w:val="1"/>
      <w:marLeft w:val="0"/>
      <w:marRight w:val="0"/>
      <w:marTop w:val="0"/>
      <w:marBottom w:val="0"/>
      <w:divBdr>
        <w:top w:val="none" w:sz="0" w:space="0" w:color="auto"/>
        <w:left w:val="none" w:sz="0" w:space="0" w:color="auto"/>
        <w:bottom w:val="none" w:sz="0" w:space="0" w:color="auto"/>
        <w:right w:val="none" w:sz="0" w:space="0" w:color="auto"/>
      </w:divBdr>
      <w:divsChild>
        <w:div w:id="1940796026">
          <w:marLeft w:val="547"/>
          <w:marRight w:val="0"/>
          <w:marTop w:val="0"/>
          <w:marBottom w:val="0"/>
          <w:divBdr>
            <w:top w:val="none" w:sz="0" w:space="0" w:color="auto"/>
            <w:left w:val="none" w:sz="0" w:space="0" w:color="auto"/>
            <w:bottom w:val="none" w:sz="0" w:space="0" w:color="auto"/>
            <w:right w:val="none" w:sz="0" w:space="0" w:color="auto"/>
          </w:divBdr>
        </w:div>
      </w:divsChild>
    </w:div>
    <w:div w:id="316501084">
      <w:bodyDiv w:val="1"/>
      <w:marLeft w:val="0"/>
      <w:marRight w:val="0"/>
      <w:marTop w:val="0"/>
      <w:marBottom w:val="0"/>
      <w:divBdr>
        <w:top w:val="none" w:sz="0" w:space="0" w:color="auto"/>
        <w:left w:val="none" w:sz="0" w:space="0" w:color="auto"/>
        <w:bottom w:val="none" w:sz="0" w:space="0" w:color="auto"/>
        <w:right w:val="none" w:sz="0" w:space="0" w:color="auto"/>
      </w:divBdr>
    </w:div>
    <w:div w:id="318577149">
      <w:bodyDiv w:val="1"/>
      <w:marLeft w:val="0"/>
      <w:marRight w:val="0"/>
      <w:marTop w:val="0"/>
      <w:marBottom w:val="0"/>
      <w:divBdr>
        <w:top w:val="none" w:sz="0" w:space="0" w:color="auto"/>
        <w:left w:val="none" w:sz="0" w:space="0" w:color="auto"/>
        <w:bottom w:val="none" w:sz="0" w:space="0" w:color="auto"/>
        <w:right w:val="none" w:sz="0" w:space="0" w:color="auto"/>
      </w:divBdr>
    </w:div>
    <w:div w:id="319434019">
      <w:bodyDiv w:val="1"/>
      <w:marLeft w:val="0"/>
      <w:marRight w:val="0"/>
      <w:marTop w:val="0"/>
      <w:marBottom w:val="0"/>
      <w:divBdr>
        <w:top w:val="none" w:sz="0" w:space="0" w:color="auto"/>
        <w:left w:val="none" w:sz="0" w:space="0" w:color="auto"/>
        <w:bottom w:val="none" w:sz="0" w:space="0" w:color="auto"/>
        <w:right w:val="none" w:sz="0" w:space="0" w:color="auto"/>
      </w:divBdr>
    </w:div>
    <w:div w:id="320892547">
      <w:bodyDiv w:val="1"/>
      <w:marLeft w:val="0"/>
      <w:marRight w:val="0"/>
      <w:marTop w:val="0"/>
      <w:marBottom w:val="0"/>
      <w:divBdr>
        <w:top w:val="none" w:sz="0" w:space="0" w:color="auto"/>
        <w:left w:val="none" w:sz="0" w:space="0" w:color="auto"/>
        <w:bottom w:val="none" w:sz="0" w:space="0" w:color="auto"/>
        <w:right w:val="none" w:sz="0" w:space="0" w:color="auto"/>
      </w:divBdr>
    </w:div>
    <w:div w:id="321809946">
      <w:bodyDiv w:val="1"/>
      <w:marLeft w:val="0"/>
      <w:marRight w:val="0"/>
      <w:marTop w:val="0"/>
      <w:marBottom w:val="0"/>
      <w:divBdr>
        <w:top w:val="none" w:sz="0" w:space="0" w:color="auto"/>
        <w:left w:val="none" w:sz="0" w:space="0" w:color="auto"/>
        <w:bottom w:val="none" w:sz="0" w:space="0" w:color="auto"/>
        <w:right w:val="none" w:sz="0" w:space="0" w:color="auto"/>
      </w:divBdr>
    </w:div>
    <w:div w:id="322247740">
      <w:bodyDiv w:val="1"/>
      <w:marLeft w:val="0"/>
      <w:marRight w:val="0"/>
      <w:marTop w:val="0"/>
      <w:marBottom w:val="0"/>
      <w:divBdr>
        <w:top w:val="none" w:sz="0" w:space="0" w:color="auto"/>
        <w:left w:val="none" w:sz="0" w:space="0" w:color="auto"/>
        <w:bottom w:val="none" w:sz="0" w:space="0" w:color="auto"/>
        <w:right w:val="none" w:sz="0" w:space="0" w:color="auto"/>
      </w:divBdr>
    </w:div>
    <w:div w:id="324627521">
      <w:bodyDiv w:val="1"/>
      <w:marLeft w:val="0"/>
      <w:marRight w:val="0"/>
      <w:marTop w:val="0"/>
      <w:marBottom w:val="0"/>
      <w:divBdr>
        <w:top w:val="none" w:sz="0" w:space="0" w:color="auto"/>
        <w:left w:val="none" w:sz="0" w:space="0" w:color="auto"/>
        <w:bottom w:val="none" w:sz="0" w:space="0" w:color="auto"/>
        <w:right w:val="none" w:sz="0" w:space="0" w:color="auto"/>
      </w:divBdr>
    </w:div>
    <w:div w:id="324748163">
      <w:bodyDiv w:val="1"/>
      <w:marLeft w:val="0"/>
      <w:marRight w:val="0"/>
      <w:marTop w:val="0"/>
      <w:marBottom w:val="0"/>
      <w:divBdr>
        <w:top w:val="none" w:sz="0" w:space="0" w:color="auto"/>
        <w:left w:val="none" w:sz="0" w:space="0" w:color="auto"/>
        <w:bottom w:val="none" w:sz="0" w:space="0" w:color="auto"/>
        <w:right w:val="none" w:sz="0" w:space="0" w:color="auto"/>
      </w:divBdr>
    </w:div>
    <w:div w:id="325059622">
      <w:bodyDiv w:val="1"/>
      <w:marLeft w:val="0"/>
      <w:marRight w:val="0"/>
      <w:marTop w:val="0"/>
      <w:marBottom w:val="0"/>
      <w:divBdr>
        <w:top w:val="none" w:sz="0" w:space="0" w:color="auto"/>
        <w:left w:val="none" w:sz="0" w:space="0" w:color="auto"/>
        <w:bottom w:val="none" w:sz="0" w:space="0" w:color="auto"/>
        <w:right w:val="none" w:sz="0" w:space="0" w:color="auto"/>
      </w:divBdr>
    </w:div>
    <w:div w:id="326790835">
      <w:bodyDiv w:val="1"/>
      <w:marLeft w:val="0"/>
      <w:marRight w:val="0"/>
      <w:marTop w:val="0"/>
      <w:marBottom w:val="0"/>
      <w:divBdr>
        <w:top w:val="none" w:sz="0" w:space="0" w:color="auto"/>
        <w:left w:val="none" w:sz="0" w:space="0" w:color="auto"/>
        <w:bottom w:val="none" w:sz="0" w:space="0" w:color="auto"/>
        <w:right w:val="none" w:sz="0" w:space="0" w:color="auto"/>
      </w:divBdr>
    </w:div>
    <w:div w:id="327365079">
      <w:bodyDiv w:val="1"/>
      <w:marLeft w:val="0"/>
      <w:marRight w:val="0"/>
      <w:marTop w:val="0"/>
      <w:marBottom w:val="0"/>
      <w:divBdr>
        <w:top w:val="none" w:sz="0" w:space="0" w:color="auto"/>
        <w:left w:val="none" w:sz="0" w:space="0" w:color="auto"/>
        <w:bottom w:val="none" w:sz="0" w:space="0" w:color="auto"/>
        <w:right w:val="none" w:sz="0" w:space="0" w:color="auto"/>
      </w:divBdr>
    </w:div>
    <w:div w:id="330836582">
      <w:bodyDiv w:val="1"/>
      <w:marLeft w:val="0"/>
      <w:marRight w:val="0"/>
      <w:marTop w:val="0"/>
      <w:marBottom w:val="0"/>
      <w:divBdr>
        <w:top w:val="none" w:sz="0" w:space="0" w:color="auto"/>
        <w:left w:val="none" w:sz="0" w:space="0" w:color="auto"/>
        <w:bottom w:val="none" w:sz="0" w:space="0" w:color="auto"/>
        <w:right w:val="none" w:sz="0" w:space="0" w:color="auto"/>
      </w:divBdr>
    </w:div>
    <w:div w:id="333529266">
      <w:bodyDiv w:val="1"/>
      <w:marLeft w:val="0"/>
      <w:marRight w:val="0"/>
      <w:marTop w:val="0"/>
      <w:marBottom w:val="0"/>
      <w:divBdr>
        <w:top w:val="none" w:sz="0" w:space="0" w:color="auto"/>
        <w:left w:val="none" w:sz="0" w:space="0" w:color="auto"/>
        <w:bottom w:val="none" w:sz="0" w:space="0" w:color="auto"/>
        <w:right w:val="none" w:sz="0" w:space="0" w:color="auto"/>
      </w:divBdr>
    </w:div>
    <w:div w:id="334067051">
      <w:bodyDiv w:val="1"/>
      <w:marLeft w:val="0"/>
      <w:marRight w:val="0"/>
      <w:marTop w:val="0"/>
      <w:marBottom w:val="0"/>
      <w:divBdr>
        <w:top w:val="none" w:sz="0" w:space="0" w:color="auto"/>
        <w:left w:val="none" w:sz="0" w:space="0" w:color="auto"/>
        <w:bottom w:val="none" w:sz="0" w:space="0" w:color="auto"/>
        <w:right w:val="none" w:sz="0" w:space="0" w:color="auto"/>
      </w:divBdr>
    </w:div>
    <w:div w:id="338241861">
      <w:bodyDiv w:val="1"/>
      <w:marLeft w:val="0"/>
      <w:marRight w:val="0"/>
      <w:marTop w:val="0"/>
      <w:marBottom w:val="0"/>
      <w:divBdr>
        <w:top w:val="none" w:sz="0" w:space="0" w:color="auto"/>
        <w:left w:val="none" w:sz="0" w:space="0" w:color="auto"/>
        <w:bottom w:val="none" w:sz="0" w:space="0" w:color="auto"/>
        <w:right w:val="none" w:sz="0" w:space="0" w:color="auto"/>
      </w:divBdr>
    </w:div>
    <w:div w:id="341904655">
      <w:bodyDiv w:val="1"/>
      <w:marLeft w:val="0"/>
      <w:marRight w:val="0"/>
      <w:marTop w:val="0"/>
      <w:marBottom w:val="0"/>
      <w:divBdr>
        <w:top w:val="none" w:sz="0" w:space="0" w:color="auto"/>
        <w:left w:val="none" w:sz="0" w:space="0" w:color="auto"/>
        <w:bottom w:val="none" w:sz="0" w:space="0" w:color="auto"/>
        <w:right w:val="none" w:sz="0" w:space="0" w:color="auto"/>
      </w:divBdr>
    </w:div>
    <w:div w:id="342048940">
      <w:bodyDiv w:val="1"/>
      <w:marLeft w:val="0"/>
      <w:marRight w:val="0"/>
      <w:marTop w:val="0"/>
      <w:marBottom w:val="0"/>
      <w:divBdr>
        <w:top w:val="none" w:sz="0" w:space="0" w:color="auto"/>
        <w:left w:val="none" w:sz="0" w:space="0" w:color="auto"/>
        <w:bottom w:val="none" w:sz="0" w:space="0" w:color="auto"/>
        <w:right w:val="none" w:sz="0" w:space="0" w:color="auto"/>
      </w:divBdr>
    </w:div>
    <w:div w:id="342754635">
      <w:bodyDiv w:val="1"/>
      <w:marLeft w:val="0"/>
      <w:marRight w:val="0"/>
      <w:marTop w:val="0"/>
      <w:marBottom w:val="0"/>
      <w:divBdr>
        <w:top w:val="none" w:sz="0" w:space="0" w:color="auto"/>
        <w:left w:val="none" w:sz="0" w:space="0" w:color="auto"/>
        <w:bottom w:val="none" w:sz="0" w:space="0" w:color="auto"/>
        <w:right w:val="none" w:sz="0" w:space="0" w:color="auto"/>
      </w:divBdr>
    </w:div>
    <w:div w:id="343090174">
      <w:bodyDiv w:val="1"/>
      <w:marLeft w:val="0"/>
      <w:marRight w:val="0"/>
      <w:marTop w:val="0"/>
      <w:marBottom w:val="0"/>
      <w:divBdr>
        <w:top w:val="none" w:sz="0" w:space="0" w:color="auto"/>
        <w:left w:val="none" w:sz="0" w:space="0" w:color="auto"/>
        <w:bottom w:val="none" w:sz="0" w:space="0" w:color="auto"/>
        <w:right w:val="none" w:sz="0" w:space="0" w:color="auto"/>
      </w:divBdr>
    </w:div>
    <w:div w:id="343633379">
      <w:bodyDiv w:val="1"/>
      <w:marLeft w:val="0"/>
      <w:marRight w:val="0"/>
      <w:marTop w:val="0"/>
      <w:marBottom w:val="0"/>
      <w:divBdr>
        <w:top w:val="none" w:sz="0" w:space="0" w:color="auto"/>
        <w:left w:val="none" w:sz="0" w:space="0" w:color="auto"/>
        <w:bottom w:val="none" w:sz="0" w:space="0" w:color="auto"/>
        <w:right w:val="none" w:sz="0" w:space="0" w:color="auto"/>
      </w:divBdr>
    </w:div>
    <w:div w:id="343941612">
      <w:bodyDiv w:val="1"/>
      <w:marLeft w:val="0"/>
      <w:marRight w:val="0"/>
      <w:marTop w:val="0"/>
      <w:marBottom w:val="0"/>
      <w:divBdr>
        <w:top w:val="none" w:sz="0" w:space="0" w:color="auto"/>
        <w:left w:val="none" w:sz="0" w:space="0" w:color="auto"/>
        <w:bottom w:val="none" w:sz="0" w:space="0" w:color="auto"/>
        <w:right w:val="none" w:sz="0" w:space="0" w:color="auto"/>
      </w:divBdr>
    </w:div>
    <w:div w:id="345789117">
      <w:bodyDiv w:val="1"/>
      <w:marLeft w:val="0"/>
      <w:marRight w:val="0"/>
      <w:marTop w:val="0"/>
      <w:marBottom w:val="0"/>
      <w:divBdr>
        <w:top w:val="none" w:sz="0" w:space="0" w:color="auto"/>
        <w:left w:val="none" w:sz="0" w:space="0" w:color="auto"/>
        <w:bottom w:val="none" w:sz="0" w:space="0" w:color="auto"/>
        <w:right w:val="none" w:sz="0" w:space="0" w:color="auto"/>
      </w:divBdr>
    </w:div>
    <w:div w:id="352154862">
      <w:bodyDiv w:val="1"/>
      <w:marLeft w:val="0"/>
      <w:marRight w:val="0"/>
      <w:marTop w:val="0"/>
      <w:marBottom w:val="0"/>
      <w:divBdr>
        <w:top w:val="none" w:sz="0" w:space="0" w:color="auto"/>
        <w:left w:val="none" w:sz="0" w:space="0" w:color="auto"/>
        <w:bottom w:val="none" w:sz="0" w:space="0" w:color="auto"/>
        <w:right w:val="none" w:sz="0" w:space="0" w:color="auto"/>
      </w:divBdr>
    </w:div>
    <w:div w:id="352535166">
      <w:bodyDiv w:val="1"/>
      <w:marLeft w:val="0"/>
      <w:marRight w:val="0"/>
      <w:marTop w:val="0"/>
      <w:marBottom w:val="0"/>
      <w:divBdr>
        <w:top w:val="none" w:sz="0" w:space="0" w:color="auto"/>
        <w:left w:val="none" w:sz="0" w:space="0" w:color="auto"/>
        <w:bottom w:val="none" w:sz="0" w:space="0" w:color="auto"/>
        <w:right w:val="none" w:sz="0" w:space="0" w:color="auto"/>
      </w:divBdr>
    </w:div>
    <w:div w:id="354381438">
      <w:bodyDiv w:val="1"/>
      <w:marLeft w:val="0"/>
      <w:marRight w:val="0"/>
      <w:marTop w:val="0"/>
      <w:marBottom w:val="0"/>
      <w:divBdr>
        <w:top w:val="none" w:sz="0" w:space="0" w:color="auto"/>
        <w:left w:val="none" w:sz="0" w:space="0" w:color="auto"/>
        <w:bottom w:val="none" w:sz="0" w:space="0" w:color="auto"/>
        <w:right w:val="none" w:sz="0" w:space="0" w:color="auto"/>
      </w:divBdr>
    </w:div>
    <w:div w:id="355229465">
      <w:bodyDiv w:val="1"/>
      <w:marLeft w:val="0"/>
      <w:marRight w:val="0"/>
      <w:marTop w:val="0"/>
      <w:marBottom w:val="0"/>
      <w:divBdr>
        <w:top w:val="none" w:sz="0" w:space="0" w:color="auto"/>
        <w:left w:val="none" w:sz="0" w:space="0" w:color="auto"/>
        <w:bottom w:val="none" w:sz="0" w:space="0" w:color="auto"/>
        <w:right w:val="none" w:sz="0" w:space="0" w:color="auto"/>
      </w:divBdr>
    </w:div>
    <w:div w:id="355618343">
      <w:bodyDiv w:val="1"/>
      <w:marLeft w:val="0"/>
      <w:marRight w:val="0"/>
      <w:marTop w:val="0"/>
      <w:marBottom w:val="0"/>
      <w:divBdr>
        <w:top w:val="none" w:sz="0" w:space="0" w:color="auto"/>
        <w:left w:val="none" w:sz="0" w:space="0" w:color="auto"/>
        <w:bottom w:val="none" w:sz="0" w:space="0" w:color="auto"/>
        <w:right w:val="none" w:sz="0" w:space="0" w:color="auto"/>
      </w:divBdr>
    </w:div>
    <w:div w:id="357851020">
      <w:bodyDiv w:val="1"/>
      <w:marLeft w:val="0"/>
      <w:marRight w:val="0"/>
      <w:marTop w:val="0"/>
      <w:marBottom w:val="0"/>
      <w:divBdr>
        <w:top w:val="none" w:sz="0" w:space="0" w:color="auto"/>
        <w:left w:val="none" w:sz="0" w:space="0" w:color="auto"/>
        <w:bottom w:val="none" w:sz="0" w:space="0" w:color="auto"/>
        <w:right w:val="none" w:sz="0" w:space="0" w:color="auto"/>
      </w:divBdr>
    </w:div>
    <w:div w:id="362218220">
      <w:bodyDiv w:val="1"/>
      <w:marLeft w:val="0"/>
      <w:marRight w:val="0"/>
      <w:marTop w:val="0"/>
      <w:marBottom w:val="0"/>
      <w:divBdr>
        <w:top w:val="none" w:sz="0" w:space="0" w:color="auto"/>
        <w:left w:val="none" w:sz="0" w:space="0" w:color="auto"/>
        <w:bottom w:val="none" w:sz="0" w:space="0" w:color="auto"/>
        <w:right w:val="none" w:sz="0" w:space="0" w:color="auto"/>
      </w:divBdr>
    </w:div>
    <w:div w:id="362630494">
      <w:bodyDiv w:val="1"/>
      <w:marLeft w:val="0"/>
      <w:marRight w:val="0"/>
      <w:marTop w:val="0"/>
      <w:marBottom w:val="0"/>
      <w:divBdr>
        <w:top w:val="none" w:sz="0" w:space="0" w:color="auto"/>
        <w:left w:val="none" w:sz="0" w:space="0" w:color="auto"/>
        <w:bottom w:val="none" w:sz="0" w:space="0" w:color="auto"/>
        <w:right w:val="none" w:sz="0" w:space="0" w:color="auto"/>
      </w:divBdr>
    </w:div>
    <w:div w:id="363292088">
      <w:bodyDiv w:val="1"/>
      <w:marLeft w:val="0"/>
      <w:marRight w:val="0"/>
      <w:marTop w:val="0"/>
      <w:marBottom w:val="0"/>
      <w:divBdr>
        <w:top w:val="none" w:sz="0" w:space="0" w:color="auto"/>
        <w:left w:val="none" w:sz="0" w:space="0" w:color="auto"/>
        <w:bottom w:val="none" w:sz="0" w:space="0" w:color="auto"/>
        <w:right w:val="none" w:sz="0" w:space="0" w:color="auto"/>
      </w:divBdr>
    </w:div>
    <w:div w:id="364066795">
      <w:bodyDiv w:val="1"/>
      <w:marLeft w:val="0"/>
      <w:marRight w:val="0"/>
      <w:marTop w:val="0"/>
      <w:marBottom w:val="0"/>
      <w:divBdr>
        <w:top w:val="none" w:sz="0" w:space="0" w:color="auto"/>
        <w:left w:val="none" w:sz="0" w:space="0" w:color="auto"/>
        <w:bottom w:val="none" w:sz="0" w:space="0" w:color="auto"/>
        <w:right w:val="none" w:sz="0" w:space="0" w:color="auto"/>
      </w:divBdr>
    </w:div>
    <w:div w:id="365912604">
      <w:bodyDiv w:val="1"/>
      <w:marLeft w:val="0"/>
      <w:marRight w:val="0"/>
      <w:marTop w:val="0"/>
      <w:marBottom w:val="0"/>
      <w:divBdr>
        <w:top w:val="none" w:sz="0" w:space="0" w:color="auto"/>
        <w:left w:val="none" w:sz="0" w:space="0" w:color="auto"/>
        <w:bottom w:val="none" w:sz="0" w:space="0" w:color="auto"/>
        <w:right w:val="none" w:sz="0" w:space="0" w:color="auto"/>
      </w:divBdr>
    </w:div>
    <w:div w:id="371854273">
      <w:bodyDiv w:val="1"/>
      <w:marLeft w:val="0"/>
      <w:marRight w:val="0"/>
      <w:marTop w:val="0"/>
      <w:marBottom w:val="0"/>
      <w:divBdr>
        <w:top w:val="none" w:sz="0" w:space="0" w:color="auto"/>
        <w:left w:val="none" w:sz="0" w:space="0" w:color="auto"/>
        <w:bottom w:val="none" w:sz="0" w:space="0" w:color="auto"/>
        <w:right w:val="none" w:sz="0" w:space="0" w:color="auto"/>
      </w:divBdr>
    </w:div>
    <w:div w:id="374811423">
      <w:bodyDiv w:val="1"/>
      <w:marLeft w:val="0"/>
      <w:marRight w:val="0"/>
      <w:marTop w:val="0"/>
      <w:marBottom w:val="0"/>
      <w:divBdr>
        <w:top w:val="none" w:sz="0" w:space="0" w:color="auto"/>
        <w:left w:val="none" w:sz="0" w:space="0" w:color="auto"/>
        <w:bottom w:val="none" w:sz="0" w:space="0" w:color="auto"/>
        <w:right w:val="none" w:sz="0" w:space="0" w:color="auto"/>
      </w:divBdr>
    </w:div>
    <w:div w:id="375810680">
      <w:bodyDiv w:val="1"/>
      <w:marLeft w:val="0"/>
      <w:marRight w:val="0"/>
      <w:marTop w:val="0"/>
      <w:marBottom w:val="0"/>
      <w:divBdr>
        <w:top w:val="none" w:sz="0" w:space="0" w:color="auto"/>
        <w:left w:val="none" w:sz="0" w:space="0" w:color="auto"/>
        <w:bottom w:val="none" w:sz="0" w:space="0" w:color="auto"/>
        <w:right w:val="none" w:sz="0" w:space="0" w:color="auto"/>
      </w:divBdr>
    </w:div>
    <w:div w:id="377045986">
      <w:bodyDiv w:val="1"/>
      <w:marLeft w:val="0"/>
      <w:marRight w:val="0"/>
      <w:marTop w:val="0"/>
      <w:marBottom w:val="0"/>
      <w:divBdr>
        <w:top w:val="none" w:sz="0" w:space="0" w:color="auto"/>
        <w:left w:val="none" w:sz="0" w:space="0" w:color="auto"/>
        <w:bottom w:val="none" w:sz="0" w:space="0" w:color="auto"/>
        <w:right w:val="none" w:sz="0" w:space="0" w:color="auto"/>
      </w:divBdr>
    </w:div>
    <w:div w:id="379019794">
      <w:bodyDiv w:val="1"/>
      <w:marLeft w:val="0"/>
      <w:marRight w:val="0"/>
      <w:marTop w:val="0"/>
      <w:marBottom w:val="0"/>
      <w:divBdr>
        <w:top w:val="none" w:sz="0" w:space="0" w:color="auto"/>
        <w:left w:val="none" w:sz="0" w:space="0" w:color="auto"/>
        <w:bottom w:val="none" w:sz="0" w:space="0" w:color="auto"/>
        <w:right w:val="none" w:sz="0" w:space="0" w:color="auto"/>
      </w:divBdr>
    </w:div>
    <w:div w:id="379062334">
      <w:bodyDiv w:val="1"/>
      <w:marLeft w:val="0"/>
      <w:marRight w:val="0"/>
      <w:marTop w:val="0"/>
      <w:marBottom w:val="0"/>
      <w:divBdr>
        <w:top w:val="none" w:sz="0" w:space="0" w:color="auto"/>
        <w:left w:val="none" w:sz="0" w:space="0" w:color="auto"/>
        <w:bottom w:val="none" w:sz="0" w:space="0" w:color="auto"/>
        <w:right w:val="none" w:sz="0" w:space="0" w:color="auto"/>
      </w:divBdr>
    </w:div>
    <w:div w:id="386995805">
      <w:bodyDiv w:val="1"/>
      <w:marLeft w:val="0"/>
      <w:marRight w:val="0"/>
      <w:marTop w:val="0"/>
      <w:marBottom w:val="0"/>
      <w:divBdr>
        <w:top w:val="none" w:sz="0" w:space="0" w:color="auto"/>
        <w:left w:val="none" w:sz="0" w:space="0" w:color="auto"/>
        <w:bottom w:val="none" w:sz="0" w:space="0" w:color="auto"/>
        <w:right w:val="none" w:sz="0" w:space="0" w:color="auto"/>
      </w:divBdr>
    </w:div>
    <w:div w:id="387536855">
      <w:bodyDiv w:val="1"/>
      <w:marLeft w:val="0"/>
      <w:marRight w:val="0"/>
      <w:marTop w:val="0"/>
      <w:marBottom w:val="0"/>
      <w:divBdr>
        <w:top w:val="none" w:sz="0" w:space="0" w:color="auto"/>
        <w:left w:val="none" w:sz="0" w:space="0" w:color="auto"/>
        <w:bottom w:val="none" w:sz="0" w:space="0" w:color="auto"/>
        <w:right w:val="none" w:sz="0" w:space="0" w:color="auto"/>
      </w:divBdr>
    </w:div>
    <w:div w:id="388237372">
      <w:bodyDiv w:val="1"/>
      <w:marLeft w:val="0"/>
      <w:marRight w:val="0"/>
      <w:marTop w:val="0"/>
      <w:marBottom w:val="0"/>
      <w:divBdr>
        <w:top w:val="none" w:sz="0" w:space="0" w:color="auto"/>
        <w:left w:val="none" w:sz="0" w:space="0" w:color="auto"/>
        <w:bottom w:val="none" w:sz="0" w:space="0" w:color="auto"/>
        <w:right w:val="none" w:sz="0" w:space="0" w:color="auto"/>
      </w:divBdr>
    </w:div>
    <w:div w:id="388724402">
      <w:bodyDiv w:val="1"/>
      <w:marLeft w:val="0"/>
      <w:marRight w:val="0"/>
      <w:marTop w:val="0"/>
      <w:marBottom w:val="0"/>
      <w:divBdr>
        <w:top w:val="none" w:sz="0" w:space="0" w:color="auto"/>
        <w:left w:val="none" w:sz="0" w:space="0" w:color="auto"/>
        <w:bottom w:val="none" w:sz="0" w:space="0" w:color="auto"/>
        <w:right w:val="none" w:sz="0" w:space="0" w:color="auto"/>
      </w:divBdr>
    </w:div>
    <w:div w:id="390422424">
      <w:bodyDiv w:val="1"/>
      <w:marLeft w:val="0"/>
      <w:marRight w:val="0"/>
      <w:marTop w:val="0"/>
      <w:marBottom w:val="0"/>
      <w:divBdr>
        <w:top w:val="none" w:sz="0" w:space="0" w:color="auto"/>
        <w:left w:val="none" w:sz="0" w:space="0" w:color="auto"/>
        <w:bottom w:val="none" w:sz="0" w:space="0" w:color="auto"/>
        <w:right w:val="none" w:sz="0" w:space="0" w:color="auto"/>
      </w:divBdr>
    </w:div>
    <w:div w:id="390813995">
      <w:bodyDiv w:val="1"/>
      <w:marLeft w:val="0"/>
      <w:marRight w:val="0"/>
      <w:marTop w:val="0"/>
      <w:marBottom w:val="0"/>
      <w:divBdr>
        <w:top w:val="none" w:sz="0" w:space="0" w:color="auto"/>
        <w:left w:val="none" w:sz="0" w:space="0" w:color="auto"/>
        <w:bottom w:val="none" w:sz="0" w:space="0" w:color="auto"/>
        <w:right w:val="none" w:sz="0" w:space="0" w:color="auto"/>
      </w:divBdr>
    </w:div>
    <w:div w:id="391855267">
      <w:bodyDiv w:val="1"/>
      <w:marLeft w:val="0"/>
      <w:marRight w:val="0"/>
      <w:marTop w:val="0"/>
      <w:marBottom w:val="0"/>
      <w:divBdr>
        <w:top w:val="none" w:sz="0" w:space="0" w:color="auto"/>
        <w:left w:val="none" w:sz="0" w:space="0" w:color="auto"/>
        <w:bottom w:val="none" w:sz="0" w:space="0" w:color="auto"/>
        <w:right w:val="none" w:sz="0" w:space="0" w:color="auto"/>
      </w:divBdr>
    </w:div>
    <w:div w:id="392239605">
      <w:bodyDiv w:val="1"/>
      <w:marLeft w:val="0"/>
      <w:marRight w:val="0"/>
      <w:marTop w:val="0"/>
      <w:marBottom w:val="0"/>
      <w:divBdr>
        <w:top w:val="none" w:sz="0" w:space="0" w:color="auto"/>
        <w:left w:val="none" w:sz="0" w:space="0" w:color="auto"/>
        <w:bottom w:val="none" w:sz="0" w:space="0" w:color="auto"/>
        <w:right w:val="none" w:sz="0" w:space="0" w:color="auto"/>
      </w:divBdr>
    </w:div>
    <w:div w:id="393086732">
      <w:bodyDiv w:val="1"/>
      <w:marLeft w:val="0"/>
      <w:marRight w:val="0"/>
      <w:marTop w:val="0"/>
      <w:marBottom w:val="0"/>
      <w:divBdr>
        <w:top w:val="none" w:sz="0" w:space="0" w:color="auto"/>
        <w:left w:val="none" w:sz="0" w:space="0" w:color="auto"/>
        <w:bottom w:val="none" w:sz="0" w:space="0" w:color="auto"/>
        <w:right w:val="none" w:sz="0" w:space="0" w:color="auto"/>
      </w:divBdr>
    </w:div>
    <w:div w:id="395444551">
      <w:bodyDiv w:val="1"/>
      <w:marLeft w:val="0"/>
      <w:marRight w:val="0"/>
      <w:marTop w:val="0"/>
      <w:marBottom w:val="0"/>
      <w:divBdr>
        <w:top w:val="none" w:sz="0" w:space="0" w:color="auto"/>
        <w:left w:val="none" w:sz="0" w:space="0" w:color="auto"/>
        <w:bottom w:val="none" w:sz="0" w:space="0" w:color="auto"/>
        <w:right w:val="none" w:sz="0" w:space="0" w:color="auto"/>
      </w:divBdr>
    </w:div>
    <w:div w:id="395904509">
      <w:bodyDiv w:val="1"/>
      <w:marLeft w:val="0"/>
      <w:marRight w:val="0"/>
      <w:marTop w:val="0"/>
      <w:marBottom w:val="0"/>
      <w:divBdr>
        <w:top w:val="none" w:sz="0" w:space="0" w:color="auto"/>
        <w:left w:val="none" w:sz="0" w:space="0" w:color="auto"/>
        <w:bottom w:val="none" w:sz="0" w:space="0" w:color="auto"/>
        <w:right w:val="none" w:sz="0" w:space="0" w:color="auto"/>
      </w:divBdr>
    </w:div>
    <w:div w:id="396243318">
      <w:bodyDiv w:val="1"/>
      <w:marLeft w:val="0"/>
      <w:marRight w:val="0"/>
      <w:marTop w:val="0"/>
      <w:marBottom w:val="0"/>
      <w:divBdr>
        <w:top w:val="none" w:sz="0" w:space="0" w:color="auto"/>
        <w:left w:val="none" w:sz="0" w:space="0" w:color="auto"/>
        <w:bottom w:val="none" w:sz="0" w:space="0" w:color="auto"/>
        <w:right w:val="none" w:sz="0" w:space="0" w:color="auto"/>
      </w:divBdr>
    </w:div>
    <w:div w:id="396441072">
      <w:bodyDiv w:val="1"/>
      <w:marLeft w:val="0"/>
      <w:marRight w:val="0"/>
      <w:marTop w:val="0"/>
      <w:marBottom w:val="0"/>
      <w:divBdr>
        <w:top w:val="none" w:sz="0" w:space="0" w:color="auto"/>
        <w:left w:val="none" w:sz="0" w:space="0" w:color="auto"/>
        <w:bottom w:val="none" w:sz="0" w:space="0" w:color="auto"/>
        <w:right w:val="none" w:sz="0" w:space="0" w:color="auto"/>
      </w:divBdr>
    </w:div>
    <w:div w:id="396629780">
      <w:bodyDiv w:val="1"/>
      <w:marLeft w:val="0"/>
      <w:marRight w:val="0"/>
      <w:marTop w:val="0"/>
      <w:marBottom w:val="0"/>
      <w:divBdr>
        <w:top w:val="none" w:sz="0" w:space="0" w:color="auto"/>
        <w:left w:val="none" w:sz="0" w:space="0" w:color="auto"/>
        <w:bottom w:val="none" w:sz="0" w:space="0" w:color="auto"/>
        <w:right w:val="none" w:sz="0" w:space="0" w:color="auto"/>
      </w:divBdr>
    </w:div>
    <w:div w:id="397287016">
      <w:bodyDiv w:val="1"/>
      <w:marLeft w:val="0"/>
      <w:marRight w:val="0"/>
      <w:marTop w:val="0"/>
      <w:marBottom w:val="0"/>
      <w:divBdr>
        <w:top w:val="none" w:sz="0" w:space="0" w:color="auto"/>
        <w:left w:val="none" w:sz="0" w:space="0" w:color="auto"/>
        <w:bottom w:val="none" w:sz="0" w:space="0" w:color="auto"/>
        <w:right w:val="none" w:sz="0" w:space="0" w:color="auto"/>
      </w:divBdr>
    </w:div>
    <w:div w:id="401755156">
      <w:bodyDiv w:val="1"/>
      <w:marLeft w:val="0"/>
      <w:marRight w:val="0"/>
      <w:marTop w:val="0"/>
      <w:marBottom w:val="0"/>
      <w:divBdr>
        <w:top w:val="none" w:sz="0" w:space="0" w:color="auto"/>
        <w:left w:val="none" w:sz="0" w:space="0" w:color="auto"/>
        <w:bottom w:val="none" w:sz="0" w:space="0" w:color="auto"/>
        <w:right w:val="none" w:sz="0" w:space="0" w:color="auto"/>
      </w:divBdr>
    </w:div>
    <w:div w:id="405882626">
      <w:bodyDiv w:val="1"/>
      <w:marLeft w:val="0"/>
      <w:marRight w:val="0"/>
      <w:marTop w:val="0"/>
      <w:marBottom w:val="0"/>
      <w:divBdr>
        <w:top w:val="none" w:sz="0" w:space="0" w:color="auto"/>
        <w:left w:val="none" w:sz="0" w:space="0" w:color="auto"/>
        <w:bottom w:val="none" w:sz="0" w:space="0" w:color="auto"/>
        <w:right w:val="none" w:sz="0" w:space="0" w:color="auto"/>
      </w:divBdr>
    </w:div>
    <w:div w:id="405961918">
      <w:bodyDiv w:val="1"/>
      <w:marLeft w:val="0"/>
      <w:marRight w:val="0"/>
      <w:marTop w:val="0"/>
      <w:marBottom w:val="0"/>
      <w:divBdr>
        <w:top w:val="none" w:sz="0" w:space="0" w:color="auto"/>
        <w:left w:val="none" w:sz="0" w:space="0" w:color="auto"/>
        <w:bottom w:val="none" w:sz="0" w:space="0" w:color="auto"/>
        <w:right w:val="none" w:sz="0" w:space="0" w:color="auto"/>
      </w:divBdr>
    </w:div>
    <w:div w:id="407504618">
      <w:bodyDiv w:val="1"/>
      <w:marLeft w:val="0"/>
      <w:marRight w:val="0"/>
      <w:marTop w:val="0"/>
      <w:marBottom w:val="0"/>
      <w:divBdr>
        <w:top w:val="none" w:sz="0" w:space="0" w:color="auto"/>
        <w:left w:val="none" w:sz="0" w:space="0" w:color="auto"/>
        <w:bottom w:val="none" w:sz="0" w:space="0" w:color="auto"/>
        <w:right w:val="none" w:sz="0" w:space="0" w:color="auto"/>
      </w:divBdr>
    </w:div>
    <w:div w:id="409810742">
      <w:bodyDiv w:val="1"/>
      <w:marLeft w:val="0"/>
      <w:marRight w:val="0"/>
      <w:marTop w:val="0"/>
      <w:marBottom w:val="0"/>
      <w:divBdr>
        <w:top w:val="none" w:sz="0" w:space="0" w:color="auto"/>
        <w:left w:val="none" w:sz="0" w:space="0" w:color="auto"/>
        <w:bottom w:val="none" w:sz="0" w:space="0" w:color="auto"/>
        <w:right w:val="none" w:sz="0" w:space="0" w:color="auto"/>
      </w:divBdr>
    </w:div>
    <w:div w:id="412316283">
      <w:bodyDiv w:val="1"/>
      <w:marLeft w:val="0"/>
      <w:marRight w:val="0"/>
      <w:marTop w:val="0"/>
      <w:marBottom w:val="0"/>
      <w:divBdr>
        <w:top w:val="none" w:sz="0" w:space="0" w:color="auto"/>
        <w:left w:val="none" w:sz="0" w:space="0" w:color="auto"/>
        <w:bottom w:val="none" w:sz="0" w:space="0" w:color="auto"/>
        <w:right w:val="none" w:sz="0" w:space="0" w:color="auto"/>
      </w:divBdr>
    </w:div>
    <w:div w:id="412899337">
      <w:bodyDiv w:val="1"/>
      <w:marLeft w:val="0"/>
      <w:marRight w:val="0"/>
      <w:marTop w:val="0"/>
      <w:marBottom w:val="0"/>
      <w:divBdr>
        <w:top w:val="none" w:sz="0" w:space="0" w:color="auto"/>
        <w:left w:val="none" w:sz="0" w:space="0" w:color="auto"/>
        <w:bottom w:val="none" w:sz="0" w:space="0" w:color="auto"/>
        <w:right w:val="none" w:sz="0" w:space="0" w:color="auto"/>
      </w:divBdr>
    </w:div>
    <w:div w:id="415174939">
      <w:bodyDiv w:val="1"/>
      <w:marLeft w:val="0"/>
      <w:marRight w:val="0"/>
      <w:marTop w:val="0"/>
      <w:marBottom w:val="0"/>
      <w:divBdr>
        <w:top w:val="none" w:sz="0" w:space="0" w:color="auto"/>
        <w:left w:val="none" w:sz="0" w:space="0" w:color="auto"/>
        <w:bottom w:val="none" w:sz="0" w:space="0" w:color="auto"/>
        <w:right w:val="none" w:sz="0" w:space="0" w:color="auto"/>
      </w:divBdr>
    </w:div>
    <w:div w:id="416250710">
      <w:bodyDiv w:val="1"/>
      <w:marLeft w:val="0"/>
      <w:marRight w:val="0"/>
      <w:marTop w:val="0"/>
      <w:marBottom w:val="0"/>
      <w:divBdr>
        <w:top w:val="none" w:sz="0" w:space="0" w:color="auto"/>
        <w:left w:val="none" w:sz="0" w:space="0" w:color="auto"/>
        <w:bottom w:val="none" w:sz="0" w:space="0" w:color="auto"/>
        <w:right w:val="none" w:sz="0" w:space="0" w:color="auto"/>
      </w:divBdr>
    </w:div>
    <w:div w:id="416445682">
      <w:bodyDiv w:val="1"/>
      <w:marLeft w:val="0"/>
      <w:marRight w:val="0"/>
      <w:marTop w:val="0"/>
      <w:marBottom w:val="0"/>
      <w:divBdr>
        <w:top w:val="none" w:sz="0" w:space="0" w:color="auto"/>
        <w:left w:val="none" w:sz="0" w:space="0" w:color="auto"/>
        <w:bottom w:val="none" w:sz="0" w:space="0" w:color="auto"/>
        <w:right w:val="none" w:sz="0" w:space="0" w:color="auto"/>
      </w:divBdr>
    </w:div>
    <w:div w:id="417872703">
      <w:bodyDiv w:val="1"/>
      <w:marLeft w:val="0"/>
      <w:marRight w:val="0"/>
      <w:marTop w:val="0"/>
      <w:marBottom w:val="0"/>
      <w:divBdr>
        <w:top w:val="none" w:sz="0" w:space="0" w:color="auto"/>
        <w:left w:val="none" w:sz="0" w:space="0" w:color="auto"/>
        <w:bottom w:val="none" w:sz="0" w:space="0" w:color="auto"/>
        <w:right w:val="none" w:sz="0" w:space="0" w:color="auto"/>
      </w:divBdr>
    </w:div>
    <w:div w:id="418676085">
      <w:bodyDiv w:val="1"/>
      <w:marLeft w:val="0"/>
      <w:marRight w:val="0"/>
      <w:marTop w:val="0"/>
      <w:marBottom w:val="0"/>
      <w:divBdr>
        <w:top w:val="none" w:sz="0" w:space="0" w:color="auto"/>
        <w:left w:val="none" w:sz="0" w:space="0" w:color="auto"/>
        <w:bottom w:val="none" w:sz="0" w:space="0" w:color="auto"/>
        <w:right w:val="none" w:sz="0" w:space="0" w:color="auto"/>
      </w:divBdr>
    </w:div>
    <w:div w:id="421267145">
      <w:bodyDiv w:val="1"/>
      <w:marLeft w:val="0"/>
      <w:marRight w:val="0"/>
      <w:marTop w:val="0"/>
      <w:marBottom w:val="0"/>
      <w:divBdr>
        <w:top w:val="none" w:sz="0" w:space="0" w:color="auto"/>
        <w:left w:val="none" w:sz="0" w:space="0" w:color="auto"/>
        <w:bottom w:val="none" w:sz="0" w:space="0" w:color="auto"/>
        <w:right w:val="none" w:sz="0" w:space="0" w:color="auto"/>
      </w:divBdr>
    </w:div>
    <w:div w:id="423577296">
      <w:bodyDiv w:val="1"/>
      <w:marLeft w:val="0"/>
      <w:marRight w:val="0"/>
      <w:marTop w:val="0"/>
      <w:marBottom w:val="0"/>
      <w:divBdr>
        <w:top w:val="none" w:sz="0" w:space="0" w:color="auto"/>
        <w:left w:val="none" w:sz="0" w:space="0" w:color="auto"/>
        <w:bottom w:val="none" w:sz="0" w:space="0" w:color="auto"/>
        <w:right w:val="none" w:sz="0" w:space="0" w:color="auto"/>
      </w:divBdr>
    </w:div>
    <w:div w:id="424114165">
      <w:bodyDiv w:val="1"/>
      <w:marLeft w:val="0"/>
      <w:marRight w:val="0"/>
      <w:marTop w:val="0"/>
      <w:marBottom w:val="0"/>
      <w:divBdr>
        <w:top w:val="none" w:sz="0" w:space="0" w:color="auto"/>
        <w:left w:val="none" w:sz="0" w:space="0" w:color="auto"/>
        <w:bottom w:val="none" w:sz="0" w:space="0" w:color="auto"/>
        <w:right w:val="none" w:sz="0" w:space="0" w:color="auto"/>
      </w:divBdr>
    </w:div>
    <w:div w:id="424805858">
      <w:bodyDiv w:val="1"/>
      <w:marLeft w:val="0"/>
      <w:marRight w:val="0"/>
      <w:marTop w:val="0"/>
      <w:marBottom w:val="0"/>
      <w:divBdr>
        <w:top w:val="none" w:sz="0" w:space="0" w:color="auto"/>
        <w:left w:val="none" w:sz="0" w:space="0" w:color="auto"/>
        <w:bottom w:val="none" w:sz="0" w:space="0" w:color="auto"/>
        <w:right w:val="none" w:sz="0" w:space="0" w:color="auto"/>
      </w:divBdr>
    </w:div>
    <w:div w:id="427232590">
      <w:bodyDiv w:val="1"/>
      <w:marLeft w:val="0"/>
      <w:marRight w:val="0"/>
      <w:marTop w:val="0"/>
      <w:marBottom w:val="0"/>
      <w:divBdr>
        <w:top w:val="none" w:sz="0" w:space="0" w:color="auto"/>
        <w:left w:val="none" w:sz="0" w:space="0" w:color="auto"/>
        <w:bottom w:val="none" w:sz="0" w:space="0" w:color="auto"/>
        <w:right w:val="none" w:sz="0" w:space="0" w:color="auto"/>
      </w:divBdr>
    </w:div>
    <w:div w:id="427889331">
      <w:bodyDiv w:val="1"/>
      <w:marLeft w:val="0"/>
      <w:marRight w:val="0"/>
      <w:marTop w:val="0"/>
      <w:marBottom w:val="0"/>
      <w:divBdr>
        <w:top w:val="none" w:sz="0" w:space="0" w:color="auto"/>
        <w:left w:val="none" w:sz="0" w:space="0" w:color="auto"/>
        <w:bottom w:val="none" w:sz="0" w:space="0" w:color="auto"/>
        <w:right w:val="none" w:sz="0" w:space="0" w:color="auto"/>
      </w:divBdr>
    </w:div>
    <w:div w:id="430779377">
      <w:bodyDiv w:val="1"/>
      <w:marLeft w:val="0"/>
      <w:marRight w:val="0"/>
      <w:marTop w:val="0"/>
      <w:marBottom w:val="0"/>
      <w:divBdr>
        <w:top w:val="none" w:sz="0" w:space="0" w:color="auto"/>
        <w:left w:val="none" w:sz="0" w:space="0" w:color="auto"/>
        <w:bottom w:val="none" w:sz="0" w:space="0" w:color="auto"/>
        <w:right w:val="none" w:sz="0" w:space="0" w:color="auto"/>
      </w:divBdr>
    </w:div>
    <w:div w:id="432827094">
      <w:bodyDiv w:val="1"/>
      <w:marLeft w:val="0"/>
      <w:marRight w:val="0"/>
      <w:marTop w:val="0"/>
      <w:marBottom w:val="0"/>
      <w:divBdr>
        <w:top w:val="none" w:sz="0" w:space="0" w:color="auto"/>
        <w:left w:val="none" w:sz="0" w:space="0" w:color="auto"/>
        <w:bottom w:val="none" w:sz="0" w:space="0" w:color="auto"/>
        <w:right w:val="none" w:sz="0" w:space="0" w:color="auto"/>
      </w:divBdr>
    </w:div>
    <w:div w:id="435756369">
      <w:bodyDiv w:val="1"/>
      <w:marLeft w:val="0"/>
      <w:marRight w:val="0"/>
      <w:marTop w:val="0"/>
      <w:marBottom w:val="0"/>
      <w:divBdr>
        <w:top w:val="none" w:sz="0" w:space="0" w:color="auto"/>
        <w:left w:val="none" w:sz="0" w:space="0" w:color="auto"/>
        <w:bottom w:val="none" w:sz="0" w:space="0" w:color="auto"/>
        <w:right w:val="none" w:sz="0" w:space="0" w:color="auto"/>
      </w:divBdr>
    </w:div>
    <w:div w:id="437874227">
      <w:bodyDiv w:val="1"/>
      <w:marLeft w:val="0"/>
      <w:marRight w:val="0"/>
      <w:marTop w:val="0"/>
      <w:marBottom w:val="0"/>
      <w:divBdr>
        <w:top w:val="none" w:sz="0" w:space="0" w:color="auto"/>
        <w:left w:val="none" w:sz="0" w:space="0" w:color="auto"/>
        <w:bottom w:val="none" w:sz="0" w:space="0" w:color="auto"/>
        <w:right w:val="none" w:sz="0" w:space="0" w:color="auto"/>
      </w:divBdr>
    </w:div>
    <w:div w:id="444420626">
      <w:bodyDiv w:val="1"/>
      <w:marLeft w:val="0"/>
      <w:marRight w:val="0"/>
      <w:marTop w:val="0"/>
      <w:marBottom w:val="0"/>
      <w:divBdr>
        <w:top w:val="none" w:sz="0" w:space="0" w:color="auto"/>
        <w:left w:val="none" w:sz="0" w:space="0" w:color="auto"/>
        <w:bottom w:val="none" w:sz="0" w:space="0" w:color="auto"/>
        <w:right w:val="none" w:sz="0" w:space="0" w:color="auto"/>
      </w:divBdr>
    </w:div>
    <w:div w:id="446199188">
      <w:bodyDiv w:val="1"/>
      <w:marLeft w:val="0"/>
      <w:marRight w:val="0"/>
      <w:marTop w:val="0"/>
      <w:marBottom w:val="0"/>
      <w:divBdr>
        <w:top w:val="none" w:sz="0" w:space="0" w:color="auto"/>
        <w:left w:val="none" w:sz="0" w:space="0" w:color="auto"/>
        <w:bottom w:val="none" w:sz="0" w:space="0" w:color="auto"/>
        <w:right w:val="none" w:sz="0" w:space="0" w:color="auto"/>
      </w:divBdr>
    </w:div>
    <w:div w:id="452679171">
      <w:bodyDiv w:val="1"/>
      <w:marLeft w:val="0"/>
      <w:marRight w:val="0"/>
      <w:marTop w:val="0"/>
      <w:marBottom w:val="0"/>
      <w:divBdr>
        <w:top w:val="none" w:sz="0" w:space="0" w:color="auto"/>
        <w:left w:val="none" w:sz="0" w:space="0" w:color="auto"/>
        <w:bottom w:val="none" w:sz="0" w:space="0" w:color="auto"/>
        <w:right w:val="none" w:sz="0" w:space="0" w:color="auto"/>
      </w:divBdr>
    </w:div>
    <w:div w:id="453403437">
      <w:bodyDiv w:val="1"/>
      <w:marLeft w:val="0"/>
      <w:marRight w:val="0"/>
      <w:marTop w:val="0"/>
      <w:marBottom w:val="0"/>
      <w:divBdr>
        <w:top w:val="none" w:sz="0" w:space="0" w:color="auto"/>
        <w:left w:val="none" w:sz="0" w:space="0" w:color="auto"/>
        <w:bottom w:val="none" w:sz="0" w:space="0" w:color="auto"/>
        <w:right w:val="none" w:sz="0" w:space="0" w:color="auto"/>
      </w:divBdr>
    </w:div>
    <w:div w:id="453719588">
      <w:bodyDiv w:val="1"/>
      <w:marLeft w:val="0"/>
      <w:marRight w:val="0"/>
      <w:marTop w:val="0"/>
      <w:marBottom w:val="0"/>
      <w:divBdr>
        <w:top w:val="none" w:sz="0" w:space="0" w:color="auto"/>
        <w:left w:val="none" w:sz="0" w:space="0" w:color="auto"/>
        <w:bottom w:val="none" w:sz="0" w:space="0" w:color="auto"/>
        <w:right w:val="none" w:sz="0" w:space="0" w:color="auto"/>
      </w:divBdr>
    </w:div>
    <w:div w:id="455829303">
      <w:bodyDiv w:val="1"/>
      <w:marLeft w:val="0"/>
      <w:marRight w:val="0"/>
      <w:marTop w:val="0"/>
      <w:marBottom w:val="0"/>
      <w:divBdr>
        <w:top w:val="none" w:sz="0" w:space="0" w:color="auto"/>
        <w:left w:val="none" w:sz="0" w:space="0" w:color="auto"/>
        <w:bottom w:val="none" w:sz="0" w:space="0" w:color="auto"/>
        <w:right w:val="none" w:sz="0" w:space="0" w:color="auto"/>
      </w:divBdr>
    </w:div>
    <w:div w:id="457191189">
      <w:bodyDiv w:val="1"/>
      <w:marLeft w:val="0"/>
      <w:marRight w:val="0"/>
      <w:marTop w:val="0"/>
      <w:marBottom w:val="0"/>
      <w:divBdr>
        <w:top w:val="none" w:sz="0" w:space="0" w:color="auto"/>
        <w:left w:val="none" w:sz="0" w:space="0" w:color="auto"/>
        <w:bottom w:val="none" w:sz="0" w:space="0" w:color="auto"/>
        <w:right w:val="none" w:sz="0" w:space="0" w:color="auto"/>
      </w:divBdr>
    </w:div>
    <w:div w:id="458690267">
      <w:bodyDiv w:val="1"/>
      <w:marLeft w:val="0"/>
      <w:marRight w:val="0"/>
      <w:marTop w:val="0"/>
      <w:marBottom w:val="0"/>
      <w:divBdr>
        <w:top w:val="none" w:sz="0" w:space="0" w:color="auto"/>
        <w:left w:val="none" w:sz="0" w:space="0" w:color="auto"/>
        <w:bottom w:val="none" w:sz="0" w:space="0" w:color="auto"/>
        <w:right w:val="none" w:sz="0" w:space="0" w:color="auto"/>
      </w:divBdr>
    </w:div>
    <w:div w:id="459736702">
      <w:bodyDiv w:val="1"/>
      <w:marLeft w:val="0"/>
      <w:marRight w:val="0"/>
      <w:marTop w:val="0"/>
      <w:marBottom w:val="0"/>
      <w:divBdr>
        <w:top w:val="none" w:sz="0" w:space="0" w:color="auto"/>
        <w:left w:val="none" w:sz="0" w:space="0" w:color="auto"/>
        <w:bottom w:val="none" w:sz="0" w:space="0" w:color="auto"/>
        <w:right w:val="none" w:sz="0" w:space="0" w:color="auto"/>
      </w:divBdr>
    </w:div>
    <w:div w:id="459959293">
      <w:bodyDiv w:val="1"/>
      <w:marLeft w:val="0"/>
      <w:marRight w:val="0"/>
      <w:marTop w:val="0"/>
      <w:marBottom w:val="0"/>
      <w:divBdr>
        <w:top w:val="none" w:sz="0" w:space="0" w:color="auto"/>
        <w:left w:val="none" w:sz="0" w:space="0" w:color="auto"/>
        <w:bottom w:val="none" w:sz="0" w:space="0" w:color="auto"/>
        <w:right w:val="none" w:sz="0" w:space="0" w:color="auto"/>
      </w:divBdr>
    </w:div>
    <w:div w:id="460538689">
      <w:bodyDiv w:val="1"/>
      <w:marLeft w:val="0"/>
      <w:marRight w:val="0"/>
      <w:marTop w:val="0"/>
      <w:marBottom w:val="0"/>
      <w:divBdr>
        <w:top w:val="none" w:sz="0" w:space="0" w:color="auto"/>
        <w:left w:val="none" w:sz="0" w:space="0" w:color="auto"/>
        <w:bottom w:val="none" w:sz="0" w:space="0" w:color="auto"/>
        <w:right w:val="none" w:sz="0" w:space="0" w:color="auto"/>
      </w:divBdr>
    </w:div>
    <w:div w:id="468128801">
      <w:bodyDiv w:val="1"/>
      <w:marLeft w:val="0"/>
      <w:marRight w:val="0"/>
      <w:marTop w:val="0"/>
      <w:marBottom w:val="0"/>
      <w:divBdr>
        <w:top w:val="none" w:sz="0" w:space="0" w:color="auto"/>
        <w:left w:val="none" w:sz="0" w:space="0" w:color="auto"/>
        <w:bottom w:val="none" w:sz="0" w:space="0" w:color="auto"/>
        <w:right w:val="none" w:sz="0" w:space="0" w:color="auto"/>
      </w:divBdr>
    </w:div>
    <w:div w:id="469860251">
      <w:bodyDiv w:val="1"/>
      <w:marLeft w:val="0"/>
      <w:marRight w:val="0"/>
      <w:marTop w:val="0"/>
      <w:marBottom w:val="0"/>
      <w:divBdr>
        <w:top w:val="none" w:sz="0" w:space="0" w:color="auto"/>
        <w:left w:val="none" w:sz="0" w:space="0" w:color="auto"/>
        <w:bottom w:val="none" w:sz="0" w:space="0" w:color="auto"/>
        <w:right w:val="none" w:sz="0" w:space="0" w:color="auto"/>
      </w:divBdr>
    </w:div>
    <w:div w:id="471289135">
      <w:bodyDiv w:val="1"/>
      <w:marLeft w:val="0"/>
      <w:marRight w:val="0"/>
      <w:marTop w:val="0"/>
      <w:marBottom w:val="0"/>
      <w:divBdr>
        <w:top w:val="none" w:sz="0" w:space="0" w:color="auto"/>
        <w:left w:val="none" w:sz="0" w:space="0" w:color="auto"/>
        <w:bottom w:val="none" w:sz="0" w:space="0" w:color="auto"/>
        <w:right w:val="none" w:sz="0" w:space="0" w:color="auto"/>
      </w:divBdr>
    </w:div>
    <w:div w:id="473304054">
      <w:bodyDiv w:val="1"/>
      <w:marLeft w:val="0"/>
      <w:marRight w:val="0"/>
      <w:marTop w:val="0"/>
      <w:marBottom w:val="0"/>
      <w:divBdr>
        <w:top w:val="none" w:sz="0" w:space="0" w:color="auto"/>
        <w:left w:val="none" w:sz="0" w:space="0" w:color="auto"/>
        <w:bottom w:val="none" w:sz="0" w:space="0" w:color="auto"/>
        <w:right w:val="none" w:sz="0" w:space="0" w:color="auto"/>
      </w:divBdr>
    </w:div>
    <w:div w:id="473832081">
      <w:bodyDiv w:val="1"/>
      <w:marLeft w:val="0"/>
      <w:marRight w:val="0"/>
      <w:marTop w:val="0"/>
      <w:marBottom w:val="0"/>
      <w:divBdr>
        <w:top w:val="none" w:sz="0" w:space="0" w:color="auto"/>
        <w:left w:val="none" w:sz="0" w:space="0" w:color="auto"/>
        <w:bottom w:val="none" w:sz="0" w:space="0" w:color="auto"/>
        <w:right w:val="none" w:sz="0" w:space="0" w:color="auto"/>
      </w:divBdr>
    </w:div>
    <w:div w:id="477067338">
      <w:bodyDiv w:val="1"/>
      <w:marLeft w:val="0"/>
      <w:marRight w:val="0"/>
      <w:marTop w:val="0"/>
      <w:marBottom w:val="0"/>
      <w:divBdr>
        <w:top w:val="none" w:sz="0" w:space="0" w:color="auto"/>
        <w:left w:val="none" w:sz="0" w:space="0" w:color="auto"/>
        <w:bottom w:val="none" w:sz="0" w:space="0" w:color="auto"/>
        <w:right w:val="none" w:sz="0" w:space="0" w:color="auto"/>
      </w:divBdr>
    </w:div>
    <w:div w:id="477651101">
      <w:bodyDiv w:val="1"/>
      <w:marLeft w:val="0"/>
      <w:marRight w:val="0"/>
      <w:marTop w:val="0"/>
      <w:marBottom w:val="0"/>
      <w:divBdr>
        <w:top w:val="none" w:sz="0" w:space="0" w:color="auto"/>
        <w:left w:val="none" w:sz="0" w:space="0" w:color="auto"/>
        <w:bottom w:val="none" w:sz="0" w:space="0" w:color="auto"/>
        <w:right w:val="none" w:sz="0" w:space="0" w:color="auto"/>
      </w:divBdr>
    </w:div>
    <w:div w:id="478883054">
      <w:bodyDiv w:val="1"/>
      <w:marLeft w:val="0"/>
      <w:marRight w:val="0"/>
      <w:marTop w:val="0"/>
      <w:marBottom w:val="0"/>
      <w:divBdr>
        <w:top w:val="none" w:sz="0" w:space="0" w:color="auto"/>
        <w:left w:val="none" w:sz="0" w:space="0" w:color="auto"/>
        <w:bottom w:val="none" w:sz="0" w:space="0" w:color="auto"/>
        <w:right w:val="none" w:sz="0" w:space="0" w:color="auto"/>
      </w:divBdr>
    </w:div>
    <w:div w:id="479462561">
      <w:bodyDiv w:val="1"/>
      <w:marLeft w:val="0"/>
      <w:marRight w:val="0"/>
      <w:marTop w:val="0"/>
      <w:marBottom w:val="0"/>
      <w:divBdr>
        <w:top w:val="none" w:sz="0" w:space="0" w:color="auto"/>
        <w:left w:val="none" w:sz="0" w:space="0" w:color="auto"/>
        <w:bottom w:val="none" w:sz="0" w:space="0" w:color="auto"/>
        <w:right w:val="none" w:sz="0" w:space="0" w:color="auto"/>
      </w:divBdr>
    </w:div>
    <w:div w:id="479732719">
      <w:bodyDiv w:val="1"/>
      <w:marLeft w:val="0"/>
      <w:marRight w:val="0"/>
      <w:marTop w:val="0"/>
      <w:marBottom w:val="0"/>
      <w:divBdr>
        <w:top w:val="none" w:sz="0" w:space="0" w:color="auto"/>
        <w:left w:val="none" w:sz="0" w:space="0" w:color="auto"/>
        <w:bottom w:val="none" w:sz="0" w:space="0" w:color="auto"/>
        <w:right w:val="none" w:sz="0" w:space="0" w:color="auto"/>
      </w:divBdr>
    </w:div>
    <w:div w:id="479854739">
      <w:bodyDiv w:val="1"/>
      <w:marLeft w:val="0"/>
      <w:marRight w:val="0"/>
      <w:marTop w:val="0"/>
      <w:marBottom w:val="0"/>
      <w:divBdr>
        <w:top w:val="none" w:sz="0" w:space="0" w:color="auto"/>
        <w:left w:val="none" w:sz="0" w:space="0" w:color="auto"/>
        <w:bottom w:val="none" w:sz="0" w:space="0" w:color="auto"/>
        <w:right w:val="none" w:sz="0" w:space="0" w:color="auto"/>
      </w:divBdr>
    </w:div>
    <w:div w:id="480972229">
      <w:bodyDiv w:val="1"/>
      <w:marLeft w:val="0"/>
      <w:marRight w:val="0"/>
      <w:marTop w:val="0"/>
      <w:marBottom w:val="0"/>
      <w:divBdr>
        <w:top w:val="none" w:sz="0" w:space="0" w:color="auto"/>
        <w:left w:val="none" w:sz="0" w:space="0" w:color="auto"/>
        <w:bottom w:val="none" w:sz="0" w:space="0" w:color="auto"/>
        <w:right w:val="none" w:sz="0" w:space="0" w:color="auto"/>
      </w:divBdr>
    </w:div>
    <w:div w:id="484051193">
      <w:bodyDiv w:val="1"/>
      <w:marLeft w:val="0"/>
      <w:marRight w:val="0"/>
      <w:marTop w:val="0"/>
      <w:marBottom w:val="0"/>
      <w:divBdr>
        <w:top w:val="none" w:sz="0" w:space="0" w:color="auto"/>
        <w:left w:val="none" w:sz="0" w:space="0" w:color="auto"/>
        <w:bottom w:val="none" w:sz="0" w:space="0" w:color="auto"/>
        <w:right w:val="none" w:sz="0" w:space="0" w:color="auto"/>
      </w:divBdr>
    </w:div>
    <w:div w:id="484250344">
      <w:bodyDiv w:val="1"/>
      <w:marLeft w:val="0"/>
      <w:marRight w:val="0"/>
      <w:marTop w:val="0"/>
      <w:marBottom w:val="0"/>
      <w:divBdr>
        <w:top w:val="none" w:sz="0" w:space="0" w:color="auto"/>
        <w:left w:val="none" w:sz="0" w:space="0" w:color="auto"/>
        <w:bottom w:val="none" w:sz="0" w:space="0" w:color="auto"/>
        <w:right w:val="none" w:sz="0" w:space="0" w:color="auto"/>
      </w:divBdr>
    </w:div>
    <w:div w:id="487091408">
      <w:bodyDiv w:val="1"/>
      <w:marLeft w:val="0"/>
      <w:marRight w:val="0"/>
      <w:marTop w:val="0"/>
      <w:marBottom w:val="0"/>
      <w:divBdr>
        <w:top w:val="none" w:sz="0" w:space="0" w:color="auto"/>
        <w:left w:val="none" w:sz="0" w:space="0" w:color="auto"/>
        <w:bottom w:val="none" w:sz="0" w:space="0" w:color="auto"/>
        <w:right w:val="none" w:sz="0" w:space="0" w:color="auto"/>
      </w:divBdr>
    </w:div>
    <w:div w:id="487288191">
      <w:bodyDiv w:val="1"/>
      <w:marLeft w:val="0"/>
      <w:marRight w:val="0"/>
      <w:marTop w:val="0"/>
      <w:marBottom w:val="0"/>
      <w:divBdr>
        <w:top w:val="none" w:sz="0" w:space="0" w:color="auto"/>
        <w:left w:val="none" w:sz="0" w:space="0" w:color="auto"/>
        <w:bottom w:val="none" w:sz="0" w:space="0" w:color="auto"/>
        <w:right w:val="none" w:sz="0" w:space="0" w:color="auto"/>
      </w:divBdr>
    </w:div>
    <w:div w:id="488446269">
      <w:bodyDiv w:val="1"/>
      <w:marLeft w:val="0"/>
      <w:marRight w:val="0"/>
      <w:marTop w:val="0"/>
      <w:marBottom w:val="0"/>
      <w:divBdr>
        <w:top w:val="none" w:sz="0" w:space="0" w:color="auto"/>
        <w:left w:val="none" w:sz="0" w:space="0" w:color="auto"/>
        <w:bottom w:val="none" w:sz="0" w:space="0" w:color="auto"/>
        <w:right w:val="none" w:sz="0" w:space="0" w:color="auto"/>
      </w:divBdr>
    </w:div>
    <w:div w:id="488716681">
      <w:bodyDiv w:val="1"/>
      <w:marLeft w:val="0"/>
      <w:marRight w:val="0"/>
      <w:marTop w:val="0"/>
      <w:marBottom w:val="0"/>
      <w:divBdr>
        <w:top w:val="none" w:sz="0" w:space="0" w:color="auto"/>
        <w:left w:val="none" w:sz="0" w:space="0" w:color="auto"/>
        <w:bottom w:val="none" w:sz="0" w:space="0" w:color="auto"/>
        <w:right w:val="none" w:sz="0" w:space="0" w:color="auto"/>
      </w:divBdr>
    </w:div>
    <w:div w:id="489828997">
      <w:bodyDiv w:val="1"/>
      <w:marLeft w:val="0"/>
      <w:marRight w:val="0"/>
      <w:marTop w:val="0"/>
      <w:marBottom w:val="0"/>
      <w:divBdr>
        <w:top w:val="none" w:sz="0" w:space="0" w:color="auto"/>
        <w:left w:val="none" w:sz="0" w:space="0" w:color="auto"/>
        <w:bottom w:val="none" w:sz="0" w:space="0" w:color="auto"/>
        <w:right w:val="none" w:sz="0" w:space="0" w:color="auto"/>
      </w:divBdr>
    </w:div>
    <w:div w:id="490677242">
      <w:bodyDiv w:val="1"/>
      <w:marLeft w:val="0"/>
      <w:marRight w:val="0"/>
      <w:marTop w:val="0"/>
      <w:marBottom w:val="0"/>
      <w:divBdr>
        <w:top w:val="none" w:sz="0" w:space="0" w:color="auto"/>
        <w:left w:val="none" w:sz="0" w:space="0" w:color="auto"/>
        <w:bottom w:val="none" w:sz="0" w:space="0" w:color="auto"/>
        <w:right w:val="none" w:sz="0" w:space="0" w:color="auto"/>
      </w:divBdr>
    </w:div>
    <w:div w:id="491140063">
      <w:bodyDiv w:val="1"/>
      <w:marLeft w:val="0"/>
      <w:marRight w:val="0"/>
      <w:marTop w:val="0"/>
      <w:marBottom w:val="0"/>
      <w:divBdr>
        <w:top w:val="none" w:sz="0" w:space="0" w:color="auto"/>
        <w:left w:val="none" w:sz="0" w:space="0" w:color="auto"/>
        <w:bottom w:val="none" w:sz="0" w:space="0" w:color="auto"/>
        <w:right w:val="none" w:sz="0" w:space="0" w:color="auto"/>
      </w:divBdr>
    </w:div>
    <w:div w:id="492113924">
      <w:bodyDiv w:val="1"/>
      <w:marLeft w:val="0"/>
      <w:marRight w:val="0"/>
      <w:marTop w:val="0"/>
      <w:marBottom w:val="0"/>
      <w:divBdr>
        <w:top w:val="none" w:sz="0" w:space="0" w:color="auto"/>
        <w:left w:val="none" w:sz="0" w:space="0" w:color="auto"/>
        <w:bottom w:val="none" w:sz="0" w:space="0" w:color="auto"/>
        <w:right w:val="none" w:sz="0" w:space="0" w:color="auto"/>
      </w:divBdr>
    </w:div>
    <w:div w:id="492373175">
      <w:bodyDiv w:val="1"/>
      <w:marLeft w:val="0"/>
      <w:marRight w:val="0"/>
      <w:marTop w:val="0"/>
      <w:marBottom w:val="0"/>
      <w:divBdr>
        <w:top w:val="none" w:sz="0" w:space="0" w:color="auto"/>
        <w:left w:val="none" w:sz="0" w:space="0" w:color="auto"/>
        <w:bottom w:val="none" w:sz="0" w:space="0" w:color="auto"/>
        <w:right w:val="none" w:sz="0" w:space="0" w:color="auto"/>
      </w:divBdr>
    </w:div>
    <w:div w:id="492724020">
      <w:bodyDiv w:val="1"/>
      <w:marLeft w:val="0"/>
      <w:marRight w:val="0"/>
      <w:marTop w:val="0"/>
      <w:marBottom w:val="0"/>
      <w:divBdr>
        <w:top w:val="none" w:sz="0" w:space="0" w:color="auto"/>
        <w:left w:val="none" w:sz="0" w:space="0" w:color="auto"/>
        <w:bottom w:val="none" w:sz="0" w:space="0" w:color="auto"/>
        <w:right w:val="none" w:sz="0" w:space="0" w:color="auto"/>
      </w:divBdr>
    </w:div>
    <w:div w:id="493186370">
      <w:bodyDiv w:val="1"/>
      <w:marLeft w:val="0"/>
      <w:marRight w:val="0"/>
      <w:marTop w:val="0"/>
      <w:marBottom w:val="0"/>
      <w:divBdr>
        <w:top w:val="none" w:sz="0" w:space="0" w:color="auto"/>
        <w:left w:val="none" w:sz="0" w:space="0" w:color="auto"/>
        <w:bottom w:val="none" w:sz="0" w:space="0" w:color="auto"/>
        <w:right w:val="none" w:sz="0" w:space="0" w:color="auto"/>
      </w:divBdr>
    </w:div>
    <w:div w:id="494227833">
      <w:bodyDiv w:val="1"/>
      <w:marLeft w:val="0"/>
      <w:marRight w:val="0"/>
      <w:marTop w:val="0"/>
      <w:marBottom w:val="0"/>
      <w:divBdr>
        <w:top w:val="none" w:sz="0" w:space="0" w:color="auto"/>
        <w:left w:val="none" w:sz="0" w:space="0" w:color="auto"/>
        <w:bottom w:val="none" w:sz="0" w:space="0" w:color="auto"/>
        <w:right w:val="none" w:sz="0" w:space="0" w:color="auto"/>
      </w:divBdr>
    </w:div>
    <w:div w:id="496194034">
      <w:bodyDiv w:val="1"/>
      <w:marLeft w:val="0"/>
      <w:marRight w:val="0"/>
      <w:marTop w:val="0"/>
      <w:marBottom w:val="0"/>
      <w:divBdr>
        <w:top w:val="none" w:sz="0" w:space="0" w:color="auto"/>
        <w:left w:val="none" w:sz="0" w:space="0" w:color="auto"/>
        <w:bottom w:val="none" w:sz="0" w:space="0" w:color="auto"/>
        <w:right w:val="none" w:sz="0" w:space="0" w:color="auto"/>
      </w:divBdr>
    </w:div>
    <w:div w:id="497309199">
      <w:bodyDiv w:val="1"/>
      <w:marLeft w:val="0"/>
      <w:marRight w:val="0"/>
      <w:marTop w:val="0"/>
      <w:marBottom w:val="0"/>
      <w:divBdr>
        <w:top w:val="none" w:sz="0" w:space="0" w:color="auto"/>
        <w:left w:val="none" w:sz="0" w:space="0" w:color="auto"/>
        <w:bottom w:val="none" w:sz="0" w:space="0" w:color="auto"/>
        <w:right w:val="none" w:sz="0" w:space="0" w:color="auto"/>
      </w:divBdr>
    </w:div>
    <w:div w:id="497618133">
      <w:bodyDiv w:val="1"/>
      <w:marLeft w:val="0"/>
      <w:marRight w:val="0"/>
      <w:marTop w:val="0"/>
      <w:marBottom w:val="0"/>
      <w:divBdr>
        <w:top w:val="none" w:sz="0" w:space="0" w:color="auto"/>
        <w:left w:val="none" w:sz="0" w:space="0" w:color="auto"/>
        <w:bottom w:val="none" w:sz="0" w:space="0" w:color="auto"/>
        <w:right w:val="none" w:sz="0" w:space="0" w:color="auto"/>
      </w:divBdr>
    </w:div>
    <w:div w:id="498467874">
      <w:bodyDiv w:val="1"/>
      <w:marLeft w:val="0"/>
      <w:marRight w:val="0"/>
      <w:marTop w:val="0"/>
      <w:marBottom w:val="0"/>
      <w:divBdr>
        <w:top w:val="none" w:sz="0" w:space="0" w:color="auto"/>
        <w:left w:val="none" w:sz="0" w:space="0" w:color="auto"/>
        <w:bottom w:val="none" w:sz="0" w:space="0" w:color="auto"/>
        <w:right w:val="none" w:sz="0" w:space="0" w:color="auto"/>
      </w:divBdr>
    </w:div>
    <w:div w:id="499126304">
      <w:bodyDiv w:val="1"/>
      <w:marLeft w:val="0"/>
      <w:marRight w:val="0"/>
      <w:marTop w:val="0"/>
      <w:marBottom w:val="0"/>
      <w:divBdr>
        <w:top w:val="none" w:sz="0" w:space="0" w:color="auto"/>
        <w:left w:val="none" w:sz="0" w:space="0" w:color="auto"/>
        <w:bottom w:val="none" w:sz="0" w:space="0" w:color="auto"/>
        <w:right w:val="none" w:sz="0" w:space="0" w:color="auto"/>
      </w:divBdr>
    </w:div>
    <w:div w:id="500513300">
      <w:bodyDiv w:val="1"/>
      <w:marLeft w:val="0"/>
      <w:marRight w:val="0"/>
      <w:marTop w:val="0"/>
      <w:marBottom w:val="0"/>
      <w:divBdr>
        <w:top w:val="none" w:sz="0" w:space="0" w:color="auto"/>
        <w:left w:val="none" w:sz="0" w:space="0" w:color="auto"/>
        <w:bottom w:val="none" w:sz="0" w:space="0" w:color="auto"/>
        <w:right w:val="none" w:sz="0" w:space="0" w:color="auto"/>
      </w:divBdr>
    </w:div>
    <w:div w:id="501162765">
      <w:bodyDiv w:val="1"/>
      <w:marLeft w:val="0"/>
      <w:marRight w:val="0"/>
      <w:marTop w:val="0"/>
      <w:marBottom w:val="0"/>
      <w:divBdr>
        <w:top w:val="none" w:sz="0" w:space="0" w:color="auto"/>
        <w:left w:val="none" w:sz="0" w:space="0" w:color="auto"/>
        <w:bottom w:val="none" w:sz="0" w:space="0" w:color="auto"/>
        <w:right w:val="none" w:sz="0" w:space="0" w:color="auto"/>
      </w:divBdr>
    </w:div>
    <w:div w:id="501359115">
      <w:bodyDiv w:val="1"/>
      <w:marLeft w:val="0"/>
      <w:marRight w:val="0"/>
      <w:marTop w:val="0"/>
      <w:marBottom w:val="0"/>
      <w:divBdr>
        <w:top w:val="none" w:sz="0" w:space="0" w:color="auto"/>
        <w:left w:val="none" w:sz="0" w:space="0" w:color="auto"/>
        <w:bottom w:val="none" w:sz="0" w:space="0" w:color="auto"/>
        <w:right w:val="none" w:sz="0" w:space="0" w:color="auto"/>
      </w:divBdr>
    </w:div>
    <w:div w:id="503086281">
      <w:bodyDiv w:val="1"/>
      <w:marLeft w:val="0"/>
      <w:marRight w:val="0"/>
      <w:marTop w:val="0"/>
      <w:marBottom w:val="0"/>
      <w:divBdr>
        <w:top w:val="none" w:sz="0" w:space="0" w:color="auto"/>
        <w:left w:val="none" w:sz="0" w:space="0" w:color="auto"/>
        <w:bottom w:val="none" w:sz="0" w:space="0" w:color="auto"/>
        <w:right w:val="none" w:sz="0" w:space="0" w:color="auto"/>
      </w:divBdr>
    </w:div>
    <w:div w:id="505940827">
      <w:bodyDiv w:val="1"/>
      <w:marLeft w:val="0"/>
      <w:marRight w:val="0"/>
      <w:marTop w:val="0"/>
      <w:marBottom w:val="0"/>
      <w:divBdr>
        <w:top w:val="none" w:sz="0" w:space="0" w:color="auto"/>
        <w:left w:val="none" w:sz="0" w:space="0" w:color="auto"/>
        <w:bottom w:val="none" w:sz="0" w:space="0" w:color="auto"/>
        <w:right w:val="none" w:sz="0" w:space="0" w:color="auto"/>
      </w:divBdr>
    </w:div>
    <w:div w:id="506217463">
      <w:bodyDiv w:val="1"/>
      <w:marLeft w:val="0"/>
      <w:marRight w:val="0"/>
      <w:marTop w:val="0"/>
      <w:marBottom w:val="0"/>
      <w:divBdr>
        <w:top w:val="none" w:sz="0" w:space="0" w:color="auto"/>
        <w:left w:val="none" w:sz="0" w:space="0" w:color="auto"/>
        <w:bottom w:val="none" w:sz="0" w:space="0" w:color="auto"/>
        <w:right w:val="none" w:sz="0" w:space="0" w:color="auto"/>
      </w:divBdr>
    </w:div>
    <w:div w:id="506674655">
      <w:bodyDiv w:val="1"/>
      <w:marLeft w:val="0"/>
      <w:marRight w:val="0"/>
      <w:marTop w:val="0"/>
      <w:marBottom w:val="0"/>
      <w:divBdr>
        <w:top w:val="none" w:sz="0" w:space="0" w:color="auto"/>
        <w:left w:val="none" w:sz="0" w:space="0" w:color="auto"/>
        <w:bottom w:val="none" w:sz="0" w:space="0" w:color="auto"/>
        <w:right w:val="none" w:sz="0" w:space="0" w:color="auto"/>
      </w:divBdr>
    </w:div>
    <w:div w:id="507133962">
      <w:bodyDiv w:val="1"/>
      <w:marLeft w:val="0"/>
      <w:marRight w:val="0"/>
      <w:marTop w:val="0"/>
      <w:marBottom w:val="0"/>
      <w:divBdr>
        <w:top w:val="none" w:sz="0" w:space="0" w:color="auto"/>
        <w:left w:val="none" w:sz="0" w:space="0" w:color="auto"/>
        <w:bottom w:val="none" w:sz="0" w:space="0" w:color="auto"/>
        <w:right w:val="none" w:sz="0" w:space="0" w:color="auto"/>
      </w:divBdr>
    </w:div>
    <w:div w:id="508301622">
      <w:bodyDiv w:val="1"/>
      <w:marLeft w:val="0"/>
      <w:marRight w:val="0"/>
      <w:marTop w:val="0"/>
      <w:marBottom w:val="0"/>
      <w:divBdr>
        <w:top w:val="none" w:sz="0" w:space="0" w:color="auto"/>
        <w:left w:val="none" w:sz="0" w:space="0" w:color="auto"/>
        <w:bottom w:val="none" w:sz="0" w:space="0" w:color="auto"/>
        <w:right w:val="none" w:sz="0" w:space="0" w:color="auto"/>
      </w:divBdr>
    </w:div>
    <w:div w:id="510411729">
      <w:bodyDiv w:val="1"/>
      <w:marLeft w:val="0"/>
      <w:marRight w:val="0"/>
      <w:marTop w:val="0"/>
      <w:marBottom w:val="0"/>
      <w:divBdr>
        <w:top w:val="none" w:sz="0" w:space="0" w:color="auto"/>
        <w:left w:val="none" w:sz="0" w:space="0" w:color="auto"/>
        <w:bottom w:val="none" w:sz="0" w:space="0" w:color="auto"/>
        <w:right w:val="none" w:sz="0" w:space="0" w:color="auto"/>
      </w:divBdr>
    </w:div>
    <w:div w:id="511068970">
      <w:bodyDiv w:val="1"/>
      <w:marLeft w:val="0"/>
      <w:marRight w:val="0"/>
      <w:marTop w:val="0"/>
      <w:marBottom w:val="0"/>
      <w:divBdr>
        <w:top w:val="none" w:sz="0" w:space="0" w:color="auto"/>
        <w:left w:val="none" w:sz="0" w:space="0" w:color="auto"/>
        <w:bottom w:val="none" w:sz="0" w:space="0" w:color="auto"/>
        <w:right w:val="none" w:sz="0" w:space="0" w:color="auto"/>
      </w:divBdr>
    </w:div>
    <w:div w:id="511378443">
      <w:bodyDiv w:val="1"/>
      <w:marLeft w:val="0"/>
      <w:marRight w:val="0"/>
      <w:marTop w:val="0"/>
      <w:marBottom w:val="0"/>
      <w:divBdr>
        <w:top w:val="none" w:sz="0" w:space="0" w:color="auto"/>
        <w:left w:val="none" w:sz="0" w:space="0" w:color="auto"/>
        <w:bottom w:val="none" w:sz="0" w:space="0" w:color="auto"/>
        <w:right w:val="none" w:sz="0" w:space="0" w:color="auto"/>
      </w:divBdr>
    </w:div>
    <w:div w:id="511535699">
      <w:bodyDiv w:val="1"/>
      <w:marLeft w:val="0"/>
      <w:marRight w:val="0"/>
      <w:marTop w:val="0"/>
      <w:marBottom w:val="0"/>
      <w:divBdr>
        <w:top w:val="none" w:sz="0" w:space="0" w:color="auto"/>
        <w:left w:val="none" w:sz="0" w:space="0" w:color="auto"/>
        <w:bottom w:val="none" w:sz="0" w:space="0" w:color="auto"/>
        <w:right w:val="none" w:sz="0" w:space="0" w:color="auto"/>
      </w:divBdr>
    </w:div>
    <w:div w:id="512917063">
      <w:bodyDiv w:val="1"/>
      <w:marLeft w:val="0"/>
      <w:marRight w:val="0"/>
      <w:marTop w:val="0"/>
      <w:marBottom w:val="0"/>
      <w:divBdr>
        <w:top w:val="none" w:sz="0" w:space="0" w:color="auto"/>
        <w:left w:val="none" w:sz="0" w:space="0" w:color="auto"/>
        <w:bottom w:val="none" w:sz="0" w:space="0" w:color="auto"/>
        <w:right w:val="none" w:sz="0" w:space="0" w:color="auto"/>
      </w:divBdr>
    </w:div>
    <w:div w:id="513496535">
      <w:bodyDiv w:val="1"/>
      <w:marLeft w:val="0"/>
      <w:marRight w:val="0"/>
      <w:marTop w:val="0"/>
      <w:marBottom w:val="0"/>
      <w:divBdr>
        <w:top w:val="none" w:sz="0" w:space="0" w:color="auto"/>
        <w:left w:val="none" w:sz="0" w:space="0" w:color="auto"/>
        <w:bottom w:val="none" w:sz="0" w:space="0" w:color="auto"/>
        <w:right w:val="none" w:sz="0" w:space="0" w:color="auto"/>
      </w:divBdr>
    </w:div>
    <w:div w:id="513881758">
      <w:bodyDiv w:val="1"/>
      <w:marLeft w:val="0"/>
      <w:marRight w:val="0"/>
      <w:marTop w:val="0"/>
      <w:marBottom w:val="0"/>
      <w:divBdr>
        <w:top w:val="none" w:sz="0" w:space="0" w:color="auto"/>
        <w:left w:val="none" w:sz="0" w:space="0" w:color="auto"/>
        <w:bottom w:val="none" w:sz="0" w:space="0" w:color="auto"/>
        <w:right w:val="none" w:sz="0" w:space="0" w:color="auto"/>
      </w:divBdr>
    </w:div>
    <w:div w:id="514657360">
      <w:bodyDiv w:val="1"/>
      <w:marLeft w:val="0"/>
      <w:marRight w:val="0"/>
      <w:marTop w:val="0"/>
      <w:marBottom w:val="0"/>
      <w:divBdr>
        <w:top w:val="none" w:sz="0" w:space="0" w:color="auto"/>
        <w:left w:val="none" w:sz="0" w:space="0" w:color="auto"/>
        <w:bottom w:val="none" w:sz="0" w:space="0" w:color="auto"/>
        <w:right w:val="none" w:sz="0" w:space="0" w:color="auto"/>
      </w:divBdr>
    </w:div>
    <w:div w:id="514810012">
      <w:bodyDiv w:val="1"/>
      <w:marLeft w:val="0"/>
      <w:marRight w:val="0"/>
      <w:marTop w:val="0"/>
      <w:marBottom w:val="0"/>
      <w:divBdr>
        <w:top w:val="none" w:sz="0" w:space="0" w:color="auto"/>
        <w:left w:val="none" w:sz="0" w:space="0" w:color="auto"/>
        <w:bottom w:val="none" w:sz="0" w:space="0" w:color="auto"/>
        <w:right w:val="none" w:sz="0" w:space="0" w:color="auto"/>
      </w:divBdr>
    </w:div>
    <w:div w:id="515733528">
      <w:bodyDiv w:val="1"/>
      <w:marLeft w:val="0"/>
      <w:marRight w:val="0"/>
      <w:marTop w:val="0"/>
      <w:marBottom w:val="0"/>
      <w:divBdr>
        <w:top w:val="none" w:sz="0" w:space="0" w:color="auto"/>
        <w:left w:val="none" w:sz="0" w:space="0" w:color="auto"/>
        <w:bottom w:val="none" w:sz="0" w:space="0" w:color="auto"/>
        <w:right w:val="none" w:sz="0" w:space="0" w:color="auto"/>
      </w:divBdr>
    </w:div>
    <w:div w:id="517084765">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9272750">
      <w:bodyDiv w:val="1"/>
      <w:marLeft w:val="0"/>
      <w:marRight w:val="0"/>
      <w:marTop w:val="0"/>
      <w:marBottom w:val="0"/>
      <w:divBdr>
        <w:top w:val="none" w:sz="0" w:space="0" w:color="auto"/>
        <w:left w:val="none" w:sz="0" w:space="0" w:color="auto"/>
        <w:bottom w:val="none" w:sz="0" w:space="0" w:color="auto"/>
        <w:right w:val="none" w:sz="0" w:space="0" w:color="auto"/>
      </w:divBdr>
    </w:div>
    <w:div w:id="520749626">
      <w:bodyDiv w:val="1"/>
      <w:marLeft w:val="0"/>
      <w:marRight w:val="0"/>
      <w:marTop w:val="0"/>
      <w:marBottom w:val="0"/>
      <w:divBdr>
        <w:top w:val="none" w:sz="0" w:space="0" w:color="auto"/>
        <w:left w:val="none" w:sz="0" w:space="0" w:color="auto"/>
        <w:bottom w:val="none" w:sz="0" w:space="0" w:color="auto"/>
        <w:right w:val="none" w:sz="0" w:space="0" w:color="auto"/>
      </w:divBdr>
    </w:div>
    <w:div w:id="521742781">
      <w:bodyDiv w:val="1"/>
      <w:marLeft w:val="0"/>
      <w:marRight w:val="0"/>
      <w:marTop w:val="0"/>
      <w:marBottom w:val="0"/>
      <w:divBdr>
        <w:top w:val="none" w:sz="0" w:space="0" w:color="auto"/>
        <w:left w:val="none" w:sz="0" w:space="0" w:color="auto"/>
        <w:bottom w:val="none" w:sz="0" w:space="0" w:color="auto"/>
        <w:right w:val="none" w:sz="0" w:space="0" w:color="auto"/>
      </w:divBdr>
    </w:div>
    <w:div w:id="523250376">
      <w:bodyDiv w:val="1"/>
      <w:marLeft w:val="0"/>
      <w:marRight w:val="0"/>
      <w:marTop w:val="0"/>
      <w:marBottom w:val="0"/>
      <w:divBdr>
        <w:top w:val="none" w:sz="0" w:space="0" w:color="auto"/>
        <w:left w:val="none" w:sz="0" w:space="0" w:color="auto"/>
        <w:bottom w:val="none" w:sz="0" w:space="0" w:color="auto"/>
        <w:right w:val="none" w:sz="0" w:space="0" w:color="auto"/>
      </w:divBdr>
    </w:div>
    <w:div w:id="524096773">
      <w:bodyDiv w:val="1"/>
      <w:marLeft w:val="0"/>
      <w:marRight w:val="0"/>
      <w:marTop w:val="0"/>
      <w:marBottom w:val="0"/>
      <w:divBdr>
        <w:top w:val="none" w:sz="0" w:space="0" w:color="auto"/>
        <w:left w:val="none" w:sz="0" w:space="0" w:color="auto"/>
        <w:bottom w:val="none" w:sz="0" w:space="0" w:color="auto"/>
        <w:right w:val="none" w:sz="0" w:space="0" w:color="auto"/>
      </w:divBdr>
    </w:div>
    <w:div w:id="525141982">
      <w:bodyDiv w:val="1"/>
      <w:marLeft w:val="0"/>
      <w:marRight w:val="0"/>
      <w:marTop w:val="0"/>
      <w:marBottom w:val="0"/>
      <w:divBdr>
        <w:top w:val="none" w:sz="0" w:space="0" w:color="auto"/>
        <w:left w:val="none" w:sz="0" w:space="0" w:color="auto"/>
        <w:bottom w:val="none" w:sz="0" w:space="0" w:color="auto"/>
        <w:right w:val="none" w:sz="0" w:space="0" w:color="auto"/>
      </w:divBdr>
    </w:div>
    <w:div w:id="525296357">
      <w:bodyDiv w:val="1"/>
      <w:marLeft w:val="0"/>
      <w:marRight w:val="0"/>
      <w:marTop w:val="0"/>
      <w:marBottom w:val="0"/>
      <w:divBdr>
        <w:top w:val="none" w:sz="0" w:space="0" w:color="auto"/>
        <w:left w:val="none" w:sz="0" w:space="0" w:color="auto"/>
        <w:bottom w:val="none" w:sz="0" w:space="0" w:color="auto"/>
        <w:right w:val="none" w:sz="0" w:space="0" w:color="auto"/>
      </w:divBdr>
    </w:div>
    <w:div w:id="526724981">
      <w:bodyDiv w:val="1"/>
      <w:marLeft w:val="0"/>
      <w:marRight w:val="0"/>
      <w:marTop w:val="0"/>
      <w:marBottom w:val="0"/>
      <w:divBdr>
        <w:top w:val="none" w:sz="0" w:space="0" w:color="auto"/>
        <w:left w:val="none" w:sz="0" w:space="0" w:color="auto"/>
        <w:bottom w:val="none" w:sz="0" w:space="0" w:color="auto"/>
        <w:right w:val="none" w:sz="0" w:space="0" w:color="auto"/>
      </w:divBdr>
    </w:div>
    <w:div w:id="529563031">
      <w:bodyDiv w:val="1"/>
      <w:marLeft w:val="0"/>
      <w:marRight w:val="0"/>
      <w:marTop w:val="0"/>
      <w:marBottom w:val="0"/>
      <w:divBdr>
        <w:top w:val="none" w:sz="0" w:space="0" w:color="auto"/>
        <w:left w:val="none" w:sz="0" w:space="0" w:color="auto"/>
        <w:bottom w:val="none" w:sz="0" w:space="0" w:color="auto"/>
        <w:right w:val="none" w:sz="0" w:space="0" w:color="auto"/>
      </w:divBdr>
    </w:div>
    <w:div w:id="529611283">
      <w:bodyDiv w:val="1"/>
      <w:marLeft w:val="0"/>
      <w:marRight w:val="0"/>
      <w:marTop w:val="0"/>
      <w:marBottom w:val="0"/>
      <w:divBdr>
        <w:top w:val="none" w:sz="0" w:space="0" w:color="auto"/>
        <w:left w:val="none" w:sz="0" w:space="0" w:color="auto"/>
        <w:bottom w:val="none" w:sz="0" w:space="0" w:color="auto"/>
        <w:right w:val="none" w:sz="0" w:space="0" w:color="auto"/>
      </w:divBdr>
    </w:div>
    <w:div w:id="531498705">
      <w:bodyDiv w:val="1"/>
      <w:marLeft w:val="0"/>
      <w:marRight w:val="0"/>
      <w:marTop w:val="0"/>
      <w:marBottom w:val="0"/>
      <w:divBdr>
        <w:top w:val="none" w:sz="0" w:space="0" w:color="auto"/>
        <w:left w:val="none" w:sz="0" w:space="0" w:color="auto"/>
        <w:bottom w:val="none" w:sz="0" w:space="0" w:color="auto"/>
        <w:right w:val="none" w:sz="0" w:space="0" w:color="auto"/>
      </w:divBdr>
    </w:div>
    <w:div w:id="534854985">
      <w:bodyDiv w:val="1"/>
      <w:marLeft w:val="0"/>
      <w:marRight w:val="0"/>
      <w:marTop w:val="0"/>
      <w:marBottom w:val="0"/>
      <w:divBdr>
        <w:top w:val="none" w:sz="0" w:space="0" w:color="auto"/>
        <w:left w:val="none" w:sz="0" w:space="0" w:color="auto"/>
        <w:bottom w:val="none" w:sz="0" w:space="0" w:color="auto"/>
        <w:right w:val="none" w:sz="0" w:space="0" w:color="auto"/>
      </w:divBdr>
    </w:div>
    <w:div w:id="535507088">
      <w:bodyDiv w:val="1"/>
      <w:marLeft w:val="0"/>
      <w:marRight w:val="0"/>
      <w:marTop w:val="0"/>
      <w:marBottom w:val="0"/>
      <w:divBdr>
        <w:top w:val="none" w:sz="0" w:space="0" w:color="auto"/>
        <w:left w:val="none" w:sz="0" w:space="0" w:color="auto"/>
        <w:bottom w:val="none" w:sz="0" w:space="0" w:color="auto"/>
        <w:right w:val="none" w:sz="0" w:space="0" w:color="auto"/>
      </w:divBdr>
    </w:div>
    <w:div w:id="535581773">
      <w:bodyDiv w:val="1"/>
      <w:marLeft w:val="0"/>
      <w:marRight w:val="0"/>
      <w:marTop w:val="0"/>
      <w:marBottom w:val="0"/>
      <w:divBdr>
        <w:top w:val="none" w:sz="0" w:space="0" w:color="auto"/>
        <w:left w:val="none" w:sz="0" w:space="0" w:color="auto"/>
        <w:bottom w:val="none" w:sz="0" w:space="0" w:color="auto"/>
        <w:right w:val="none" w:sz="0" w:space="0" w:color="auto"/>
      </w:divBdr>
    </w:div>
    <w:div w:id="538857848">
      <w:bodyDiv w:val="1"/>
      <w:marLeft w:val="0"/>
      <w:marRight w:val="0"/>
      <w:marTop w:val="0"/>
      <w:marBottom w:val="0"/>
      <w:divBdr>
        <w:top w:val="none" w:sz="0" w:space="0" w:color="auto"/>
        <w:left w:val="none" w:sz="0" w:space="0" w:color="auto"/>
        <w:bottom w:val="none" w:sz="0" w:space="0" w:color="auto"/>
        <w:right w:val="none" w:sz="0" w:space="0" w:color="auto"/>
      </w:divBdr>
    </w:div>
    <w:div w:id="538859997">
      <w:bodyDiv w:val="1"/>
      <w:marLeft w:val="0"/>
      <w:marRight w:val="0"/>
      <w:marTop w:val="0"/>
      <w:marBottom w:val="0"/>
      <w:divBdr>
        <w:top w:val="none" w:sz="0" w:space="0" w:color="auto"/>
        <w:left w:val="none" w:sz="0" w:space="0" w:color="auto"/>
        <w:bottom w:val="none" w:sz="0" w:space="0" w:color="auto"/>
        <w:right w:val="none" w:sz="0" w:space="0" w:color="auto"/>
      </w:divBdr>
    </w:div>
    <w:div w:id="538976499">
      <w:bodyDiv w:val="1"/>
      <w:marLeft w:val="0"/>
      <w:marRight w:val="0"/>
      <w:marTop w:val="0"/>
      <w:marBottom w:val="0"/>
      <w:divBdr>
        <w:top w:val="none" w:sz="0" w:space="0" w:color="auto"/>
        <w:left w:val="none" w:sz="0" w:space="0" w:color="auto"/>
        <w:bottom w:val="none" w:sz="0" w:space="0" w:color="auto"/>
        <w:right w:val="none" w:sz="0" w:space="0" w:color="auto"/>
      </w:divBdr>
    </w:div>
    <w:div w:id="541017386">
      <w:bodyDiv w:val="1"/>
      <w:marLeft w:val="0"/>
      <w:marRight w:val="0"/>
      <w:marTop w:val="0"/>
      <w:marBottom w:val="0"/>
      <w:divBdr>
        <w:top w:val="none" w:sz="0" w:space="0" w:color="auto"/>
        <w:left w:val="none" w:sz="0" w:space="0" w:color="auto"/>
        <w:bottom w:val="none" w:sz="0" w:space="0" w:color="auto"/>
        <w:right w:val="none" w:sz="0" w:space="0" w:color="auto"/>
      </w:divBdr>
    </w:div>
    <w:div w:id="541096789">
      <w:bodyDiv w:val="1"/>
      <w:marLeft w:val="0"/>
      <w:marRight w:val="0"/>
      <w:marTop w:val="0"/>
      <w:marBottom w:val="0"/>
      <w:divBdr>
        <w:top w:val="none" w:sz="0" w:space="0" w:color="auto"/>
        <w:left w:val="none" w:sz="0" w:space="0" w:color="auto"/>
        <w:bottom w:val="none" w:sz="0" w:space="0" w:color="auto"/>
        <w:right w:val="none" w:sz="0" w:space="0" w:color="auto"/>
      </w:divBdr>
    </w:div>
    <w:div w:id="542594320">
      <w:bodyDiv w:val="1"/>
      <w:marLeft w:val="0"/>
      <w:marRight w:val="0"/>
      <w:marTop w:val="0"/>
      <w:marBottom w:val="0"/>
      <w:divBdr>
        <w:top w:val="none" w:sz="0" w:space="0" w:color="auto"/>
        <w:left w:val="none" w:sz="0" w:space="0" w:color="auto"/>
        <w:bottom w:val="none" w:sz="0" w:space="0" w:color="auto"/>
        <w:right w:val="none" w:sz="0" w:space="0" w:color="auto"/>
      </w:divBdr>
    </w:div>
    <w:div w:id="542861509">
      <w:bodyDiv w:val="1"/>
      <w:marLeft w:val="0"/>
      <w:marRight w:val="0"/>
      <w:marTop w:val="0"/>
      <w:marBottom w:val="0"/>
      <w:divBdr>
        <w:top w:val="none" w:sz="0" w:space="0" w:color="auto"/>
        <w:left w:val="none" w:sz="0" w:space="0" w:color="auto"/>
        <w:bottom w:val="none" w:sz="0" w:space="0" w:color="auto"/>
        <w:right w:val="none" w:sz="0" w:space="0" w:color="auto"/>
      </w:divBdr>
    </w:div>
    <w:div w:id="543561757">
      <w:bodyDiv w:val="1"/>
      <w:marLeft w:val="0"/>
      <w:marRight w:val="0"/>
      <w:marTop w:val="0"/>
      <w:marBottom w:val="0"/>
      <w:divBdr>
        <w:top w:val="none" w:sz="0" w:space="0" w:color="auto"/>
        <w:left w:val="none" w:sz="0" w:space="0" w:color="auto"/>
        <w:bottom w:val="none" w:sz="0" w:space="0" w:color="auto"/>
        <w:right w:val="none" w:sz="0" w:space="0" w:color="auto"/>
      </w:divBdr>
    </w:div>
    <w:div w:id="546527017">
      <w:bodyDiv w:val="1"/>
      <w:marLeft w:val="0"/>
      <w:marRight w:val="0"/>
      <w:marTop w:val="0"/>
      <w:marBottom w:val="0"/>
      <w:divBdr>
        <w:top w:val="none" w:sz="0" w:space="0" w:color="auto"/>
        <w:left w:val="none" w:sz="0" w:space="0" w:color="auto"/>
        <w:bottom w:val="none" w:sz="0" w:space="0" w:color="auto"/>
        <w:right w:val="none" w:sz="0" w:space="0" w:color="auto"/>
      </w:divBdr>
    </w:div>
    <w:div w:id="547843426">
      <w:bodyDiv w:val="1"/>
      <w:marLeft w:val="0"/>
      <w:marRight w:val="0"/>
      <w:marTop w:val="0"/>
      <w:marBottom w:val="0"/>
      <w:divBdr>
        <w:top w:val="none" w:sz="0" w:space="0" w:color="auto"/>
        <w:left w:val="none" w:sz="0" w:space="0" w:color="auto"/>
        <w:bottom w:val="none" w:sz="0" w:space="0" w:color="auto"/>
        <w:right w:val="none" w:sz="0" w:space="0" w:color="auto"/>
      </w:divBdr>
    </w:div>
    <w:div w:id="548568281">
      <w:bodyDiv w:val="1"/>
      <w:marLeft w:val="0"/>
      <w:marRight w:val="0"/>
      <w:marTop w:val="0"/>
      <w:marBottom w:val="0"/>
      <w:divBdr>
        <w:top w:val="none" w:sz="0" w:space="0" w:color="auto"/>
        <w:left w:val="none" w:sz="0" w:space="0" w:color="auto"/>
        <w:bottom w:val="none" w:sz="0" w:space="0" w:color="auto"/>
        <w:right w:val="none" w:sz="0" w:space="0" w:color="auto"/>
      </w:divBdr>
    </w:div>
    <w:div w:id="550071360">
      <w:bodyDiv w:val="1"/>
      <w:marLeft w:val="0"/>
      <w:marRight w:val="0"/>
      <w:marTop w:val="0"/>
      <w:marBottom w:val="0"/>
      <w:divBdr>
        <w:top w:val="none" w:sz="0" w:space="0" w:color="auto"/>
        <w:left w:val="none" w:sz="0" w:space="0" w:color="auto"/>
        <w:bottom w:val="none" w:sz="0" w:space="0" w:color="auto"/>
        <w:right w:val="none" w:sz="0" w:space="0" w:color="auto"/>
      </w:divBdr>
    </w:div>
    <w:div w:id="550771416">
      <w:bodyDiv w:val="1"/>
      <w:marLeft w:val="0"/>
      <w:marRight w:val="0"/>
      <w:marTop w:val="0"/>
      <w:marBottom w:val="0"/>
      <w:divBdr>
        <w:top w:val="none" w:sz="0" w:space="0" w:color="auto"/>
        <w:left w:val="none" w:sz="0" w:space="0" w:color="auto"/>
        <w:bottom w:val="none" w:sz="0" w:space="0" w:color="auto"/>
        <w:right w:val="none" w:sz="0" w:space="0" w:color="auto"/>
      </w:divBdr>
    </w:div>
    <w:div w:id="552469471">
      <w:bodyDiv w:val="1"/>
      <w:marLeft w:val="0"/>
      <w:marRight w:val="0"/>
      <w:marTop w:val="0"/>
      <w:marBottom w:val="0"/>
      <w:divBdr>
        <w:top w:val="none" w:sz="0" w:space="0" w:color="auto"/>
        <w:left w:val="none" w:sz="0" w:space="0" w:color="auto"/>
        <w:bottom w:val="none" w:sz="0" w:space="0" w:color="auto"/>
        <w:right w:val="none" w:sz="0" w:space="0" w:color="auto"/>
      </w:divBdr>
    </w:div>
    <w:div w:id="553010835">
      <w:bodyDiv w:val="1"/>
      <w:marLeft w:val="0"/>
      <w:marRight w:val="0"/>
      <w:marTop w:val="0"/>
      <w:marBottom w:val="0"/>
      <w:divBdr>
        <w:top w:val="none" w:sz="0" w:space="0" w:color="auto"/>
        <w:left w:val="none" w:sz="0" w:space="0" w:color="auto"/>
        <w:bottom w:val="none" w:sz="0" w:space="0" w:color="auto"/>
        <w:right w:val="none" w:sz="0" w:space="0" w:color="auto"/>
      </w:divBdr>
    </w:div>
    <w:div w:id="554465137">
      <w:bodyDiv w:val="1"/>
      <w:marLeft w:val="0"/>
      <w:marRight w:val="0"/>
      <w:marTop w:val="0"/>
      <w:marBottom w:val="0"/>
      <w:divBdr>
        <w:top w:val="none" w:sz="0" w:space="0" w:color="auto"/>
        <w:left w:val="none" w:sz="0" w:space="0" w:color="auto"/>
        <w:bottom w:val="none" w:sz="0" w:space="0" w:color="auto"/>
        <w:right w:val="none" w:sz="0" w:space="0" w:color="auto"/>
      </w:divBdr>
    </w:div>
    <w:div w:id="554968569">
      <w:bodyDiv w:val="1"/>
      <w:marLeft w:val="0"/>
      <w:marRight w:val="0"/>
      <w:marTop w:val="0"/>
      <w:marBottom w:val="0"/>
      <w:divBdr>
        <w:top w:val="none" w:sz="0" w:space="0" w:color="auto"/>
        <w:left w:val="none" w:sz="0" w:space="0" w:color="auto"/>
        <w:bottom w:val="none" w:sz="0" w:space="0" w:color="auto"/>
        <w:right w:val="none" w:sz="0" w:space="0" w:color="auto"/>
      </w:divBdr>
    </w:div>
    <w:div w:id="555511911">
      <w:bodyDiv w:val="1"/>
      <w:marLeft w:val="0"/>
      <w:marRight w:val="0"/>
      <w:marTop w:val="0"/>
      <w:marBottom w:val="0"/>
      <w:divBdr>
        <w:top w:val="none" w:sz="0" w:space="0" w:color="auto"/>
        <w:left w:val="none" w:sz="0" w:space="0" w:color="auto"/>
        <w:bottom w:val="none" w:sz="0" w:space="0" w:color="auto"/>
        <w:right w:val="none" w:sz="0" w:space="0" w:color="auto"/>
      </w:divBdr>
    </w:div>
    <w:div w:id="558632862">
      <w:bodyDiv w:val="1"/>
      <w:marLeft w:val="0"/>
      <w:marRight w:val="0"/>
      <w:marTop w:val="0"/>
      <w:marBottom w:val="0"/>
      <w:divBdr>
        <w:top w:val="none" w:sz="0" w:space="0" w:color="auto"/>
        <w:left w:val="none" w:sz="0" w:space="0" w:color="auto"/>
        <w:bottom w:val="none" w:sz="0" w:space="0" w:color="auto"/>
        <w:right w:val="none" w:sz="0" w:space="0" w:color="auto"/>
      </w:divBdr>
    </w:div>
    <w:div w:id="561795413">
      <w:bodyDiv w:val="1"/>
      <w:marLeft w:val="0"/>
      <w:marRight w:val="0"/>
      <w:marTop w:val="0"/>
      <w:marBottom w:val="0"/>
      <w:divBdr>
        <w:top w:val="none" w:sz="0" w:space="0" w:color="auto"/>
        <w:left w:val="none" w:sz="0" w:space="0" w:color="auto"/>
        <w:bottom w:val="none" w:sz="0" w:space="0" w:color="auto"/>
        <w:right w:val="none" w:sz="0" w:space="0" w:color="auto"/>
      </w:divBdr>
    </w:div>
    <w:div w:id="568200454">
      <w:bodyDiv w:val="1"/>
      <w:marLeft w:val="0"/>
      <w:marRight w:val="0"/>
      <w:marTop w:val="0"/>
      <w:marBottom w:val="0"/>
      <w:divBdr>
        <w:top w:val="none" w:sz="0" w:space="0" w:color="auto"/>
        <w:left w:val="none" w:sz="0" w:space="0" w:color="auto"/>
        <w:bottom w:val="none" w:sz="0" w:space="0" w:color="auto"/>
        <w:right w:val="none" w:sz="0" w:space="0" w:color="auto"/>
      </w:divBdr>
    </w:div>
    <w:div w:id="569198508">
      <w:bodyDiv w:val="1"/>
      <w:marLeft w:val="0"/>
      <w:marRight w:val="0"/>
      <w:marTop w:val="0"/>
      <w:marBottom w:val="0"/>
      <w:divBdr>
        <w:top w:val="none" w:sz="0" w:space="0" w:color="auto"/>
        <w:left w:val="none" w:sz="0" w:space="0" w:color="auto"/>
        <w:bottom w:val="none" w:sz="0" w:space="0" w:color="auto"/>
        <w:right w:val="none" w:sz="0" w:space="0" w:color="auto"/>
      </w:divBdr>
    </w:div>
    <w:div w:id="571736559">
      <w:bodyDiv w:val="1"/>
      <w:marLeft w:val="0"/>
      <w:marRight w:val="0"/>
      <w:marTop w:val="0"/>
      <w:marBottom w:val="0"/>
      <w:divBdr>
        <w:top w:val="none" w:sz="0" w:space="0" w:color="auto"/>
        <w:left w:val="none" w:sz="0" w:space="0" w:color="auto"/>
        <w:bottom w:val="none" w:sz="0" w:space="0" w:color="auto"/>
        <w:right w:val="none" w:sz="0" w:space="0" w:color="auto"/>
      </w:divBdr>
    </w:div>
    <w:div w:id="573130235">
      <w:bodyDiv w:val="1"/>
      <w:marLeft w:val="0"/>
      <w:marRight w:val="0"/>
      <w:marTop w:val="0"/>
      <w:marBottom w:val="0"/>
      <w:divBdr>
        <w:top w:val="none" w:sz="0" w:space="0" w:color="auto"/>
        <w:left w:val="none" w:sz="0" w:space="0" w:color="auto"/>
        <w:bottom w:val="none" w:sz="0" w:space="0" w:color="auto"/>
        <w:right w:val="none" w:sz="0" w:space="0" w:color="auto"/>
      </w:divBdr>
    </w:div>
    <w:div w:id="574366470">
      <w:bodyDiv w:val="1"/>
      <w:marLeft w:val="0"/>
      <w:marRight w:val="0"/>
      <w:marTop w:val="0"/>
      <w:marBottom w:val="0"/>
      <w:divBdr>
        <w:top w:val="none" w:sz="0" w:space="0" w:color="auto"/>
        <w:left w:val="none" w:sz="0" w:space="0" w:color="auto"/>
        <w:bottom w:val="none" w:sz="0" w:space="0" w:color="auto"/>
        <w:right w:val="none" w:sz="0" w:space="0" w:color="auto"/>
      </w:divBdr>
    </w:div>
    <w:div w:id="574516739">
      <w:bodyDiv w:val="1"/>
      <w:marLeft w:val="0"/>
      <w:marRight w:val="0"/>
      <w:marTop w:val="0"/>
      <w:marBottom w:val="0"/>
      <w:divBdr>
        <w:top w:val="none" w:sz="0" w:space="0" w:color="auto"/>
        <w:left w:val="none" w:sz="0" w:space="0" w:color="auto"/>
        <w:bottom w:val="none" w:sz="0" w:space="0" w:color="auto"/>
        <w:right w:val="none" w:sz="0" w:space="0" w:color="auto"/>
      </w:divBdr>
    </w:div>
    <w:div w:id="574558514">
      <w:bodyDiv w:val="1"/>
      <w:marLeft w:val="0"/>
      <w:marRight w:val="0"/>
      <w:marTop w:val="0"/>
      <w:marBottom w:val="0"/>
      <w:divBdr>
        <w:top w:val="none" w:sz="0" w:space="0" w:color="auto"/>
        <w:left w:val="none" w:sz="0" w:space="0" w:color="auto"/>
        <w:bottom w:val="none" w:sz="0" w:space="0" w:color="auto"/>
        <w:right w:val="none" w:sz="0" w:space="0" w:color="auto"/>
      </w:divBdr>
    </w:div>
    <w:div w:id="575481745">
      <w:bodyDiv w:val="1"/>
      <w:marLeft w:val="0"/>
      <w:marRight w:val="0"/>
      <w:marTop w:val="0"/>
      <w:marBottom w:val="0"/>
      <w:divBdr>
        <w:top w:val="none" w:sz="0" w:space="0" w:color="auto"/>
        <w:left w:val="none" w:sz="0" w:space="0" w:color="auto"/>
        <w:bottom w:val="none" w:sz="0" w:space="0" w:color="auto"/>
        <w:right w:val="none" w:sz="0" w:space="0" w:color="auto"/>
      </w:divBdr>
    </w:div>
    <w:div w:id="580288170">
      <w:bodyDiv w:val="1"/>
      <w:marLeft w:val="0"/>
      <w:marRight w:val="0"/>
      <w:marTop w:val="0"/>
      <w:marBottom w:val="0"/>
      <w:divBdr>
        <w:top w:val="none" w:sz="0" w:space="0" w:color="auto"/>
        <w:left w:val="none" w:sz="0" w:space="0" w:color="auto"/>
        <w:bottom w:val="none" w:sz="0" w:space="0" w:color="auto"/>
        <w:right w:val="none" w:sz="0" w:space="0" w:color="auto"/>
      </w:divBdr>
    </w:div>
    <w:div w:id="582882222">
      <w:bodyDiv w:val="1"/>
      <w:marLeft w:val="0"/>
      <w:marRight w:val="0"/>
      <w:marTop w:val="0"/>
      <w:marBottom w:val="0"/>
      <w:divBdr>
        <w:top w:val="none" w:sz="0" w:space="0" w:color="auto"/>
        <w:left w:val="none" w:sz="0" w:space="0" w:color="auto"/>
        <w:bottom w:val="none" w:sz="0" w:space="0" w:color="auto"/>
        <w:right w:val="none" w:sz="0" w:space="0" w:color="auto"/>
      </w:divBdr>
    </w:div>
    <w:div w:id="588274024">
      <w:bodyDiv w:val="1"/>
      <w:marLeft w:val="0"/>
      <w:marRight w:val="0"/>
      <w:marTop w:val="0"/>
      <w:marBottom w:val="0"/>
      <w:divBdr>
        <w:top w:val="none" w:sz="0" w:space="0" w:color="auto"/>
        <w:left w:val="none" w:sz="0" w:space="0" w:color="auto"/>
        <w:bottom w:val="none" w:sz="0" w:space="0" w:color="auto"/>
        <w:right w:val="none" w:sz="0" w:space="0" w:color="auto"/>
      </w:divBdr>
    </w:div>
    <w:div w:id="589317677">
      <w:bodyDiv w:val="1"/>
      <w:marLeft w:val="0"/>
      <w:marRight w:val="0"/>
      <w:marTop w:val="0"/>
      <w:marBottom w:val="0"/>
      <w:divBdr>
        <w:top w:val="none" w:sz="0" w:space="0" w:color="auto"/>
        <w:left w:val="none" w:sz="0" w:space="0" w:color="auto"/>
        <w:bottom w:val="none" w:sz="0" w:space="0" w:color="auto"/>
        <w:right w:val="none" w:sz="0" w:space="0" w:color="auto"/>
      </w:divBdr>
    </w:div>
    <w:div w:id="590356541">
      <w:bodyDiv w:val="1"/>
      <w:marLeft w:val="0"/>
      <w:marRight w:val="0"/>
      <w:marTop w:val="0"/>
      <w:marBottom w:val="0"/>
      <w:divBdr>
        <w:top w:val="none" w:sz="0" w:space="0" w:color="auto"/>
        <w:left w:val="none" w:sz="0" w:space="0" w:color="auto"/>
        <w:bottom w:val="none" w:sz="0" w:space="0" w:color="auto"/>
        <w:right w:val="none" w:sz="0" w:space="0" w:color="auto"/>
      </w:divBdr>
    </w:div>
    <w:div w:id="591158082">
      <w:bodyDiv w:val="1"/>
      <w:marLeft w:val="0"/>
      <w:marRight w:val="0"/>
      <w:marTop w:val="0"/>
      <w:marBottom w:val="0"/>
      <w:divBdr>
        <w:top w:val="none" w:sz="0" w:space="0" w:color="auto"/>
        <w:left w:val="none" w:sz="0" w:space="0" w:color="auto"/>
        <w:bottom w:val="none" w:sz="0" w:space="0" w:color="auto"/>
        <w:right w:val="none" w:sz="0" w:space="0" w:color="auto"/>
      </w:divBdr>
    </w:div>
    <w:div w:id="591399755">
      <w:bodyDiv w:val="1"/>
      <w:marLeft w:val="0"/>
      <w:marRight w:val="0"/>
      <w:marTop w:val="0"/>
      <w:marBottom w:val="0"/>
      <w:divBdr>
        <w:top w:val="none" w:sz="0" w:space="0" w:color="auto"/>
        <w:left w:val="none" w:sz="0" w:space="0" w:color="auto"/>
        <w:bottom w:val="none" w:sz="0" w:space="0" w:color="auto"/>
        <w:right w:val="none" w:sz="0" w:space="0" w:color="auto"/>
      </w:divBdr>
    </w:div>
    <w:div w:id="591548995">
      <w:bodyDiv w:val="1"/>
      <w:marLeft w:val="0"/>
      <w:marRight w:val="0"/>
      <w:marTop w:val="0"/>
      <w:marBottom w:val="0"/>
      <w:divBdr>
        <w:top w:val="none" w:sz="0" w:space="0" w:color="auto"/>
        <w:left w:val="none" w:sz="0" w:space="0" w:color="auto"/>
        <w:bottom w:val="none" w:sz="0" w:space="0" w:color="auto"/>
        <w:right w:val="none" w:sz="0" w:space="0" w:color="auto"/>
      </w:divBdr>
    </w:div>
    <w:div w:id="593366812">
      <w:bodyDiv w:val="1"/>
      <w:marLeft w:val="0"/>
      <w:marRight w:val="0"/>
      <w:marTop w:val="0"/>
      <w:marBottom w:val="0"/>
      <w:divBdr>
        <w:top w:val="none" w:sz="0" w:space="0" w:color="auto"/>
        <w:left w:val="none" w:sz="0" w:space="0" w:color="auto"/>
        <w:bottom w:val="none" w:sz="0" w:space="0" w:color="auto"/>
        <w:right w:val="none" w:sz="0" w:space="0" w:color="auto"/>
      </w:divBdr>
    </w:div>
    <w:div w:id="594367351">
      <w:bodyDiv w:val="1"/>
      <w:marLeft w:val="0"/>
      <w:marRight w:val="0"/>
      <w:marTop w:val="0"/>
      <w:marBottom w:val="0"/>
      <w:divBdr>
        <w:top w:val="none" w:sz="0" w:space="0" w:color="auto"/>
        <w:left w:val="none" w:sz="0" w:space="0" w:color="auto"/>
        <w:bottom w:val="none" w:sz="0" w:space="0" w:color="auto"/>
        <w:right w:val="none" w:sz="0" w:space="0" w:color="auto"/>
      </w:divBdr>
    </w:div>
    <w:div w:id="595596853">
      <w:bodyDiv w:val="1"/>
      <w:marLeft w:val="0"/>
      <w:marRight w:val="0"/>
      <w:marTop w:val="0"/>
      <w:marBottom w:val="0"/>
      <w:divBdr>
        <w:top w:val="none" w:sz="0" w:space="0" w:color="auto"/>
        <w:left w:val="none" w:sz="0" w:space="0" w:color="auto"/>
        <w:bottom w:val="none" w:sz="0" w:space="0" w:color="auto"/>
        <w:right w:val="none" w:sz="0" w:space="0" w:color="auto"/>
      </w:divBdr>
    </w:div>
    <w:div w:id="599485335">
      <w:bodyDiv w:val="1"/>
      <w:marLeft w:val="0"/>
      <w:marRight w:val="0"/>
      <w:marTop w:val="0"/>
      <w:marBottom w:val="0"/>
      <w:divBdr>
        <w:top w:val="none" w:sz="0" w:space="0" w:color="auto"/>
        <w:left w:val="none" w:sz="0" w:space="0" w:color="auto"/>
        <w:bottom w:val="none" w:sz="0" w:space="0" w:color="auto"/>
        <w:right w:val="none" w:sz="0" w:space="0" w:color="auto"/>
      </w:divBdr>
    </w:div>
    <w:div w:id="599797725">
      <w:bodyDiv w:val="1"/>
      <w:marLeft w:val="0"/>
      <w:marRight w:val="0"/>
      <w:marTop w:val="0"/>
      <w:marBottom w:val="0"/>
      <w:divBdr>
        <w:top w:val="none" w:sz="0" w:space="0" w:color="auto"/>
        <w:left w:val="none" w:sz="0" w:space="0" w:color="auto"/>
        <w:bottom w:val="none" w:sz="0" w:space="0" w:color="auto"/>
        <w:right w:val="none" w:sz="0" w:space="0" w:color="auto"/>
      </w:divBdr>
    </w:div>
    <w:div w:id="600378769">
      <w:bodyDiv w:val="1"/>
      <w:marLeft w:val="0"/>
      <w:marRight w:val="0"/>
      <w:marTop w:val="0"/>
      <w:marBottom w:val="0"/>
      <w:divBdr>
        <w:top w:val="none" w:sz="0" w:space="0" w:color="auto"/>
        <w:left w:val="none" w:sz="0" w:space="0" w:color="auto"/>
        <w:bottom w:val="none" w:sz="0" w:space="0" w:color="auto"/>
        <w:right w:val="none" w:sz="0" w:space="0" w:color="auto"/>
      </w:divBdr>
    </w:div>
    <w:div w:id="600795608">
      <w:bodyDiv w:val="1"/>
      <w:marLeft w:val="0"/>
      <w:marRight w:val="0"/>
      <w:marTop w:val="0"/>
      <w:marBottom w:val="0"/>
      <w:divBdr>
        <w:top w:val="none" w:sz="0" w:space="0" w:color="auto"/>
        <w:left w:val="none" w:sz="0" w:space="0" w:color="auto"/>
        <w:bottom w:val="none" w:sz="0" w:space="0" w:color="auto"/>
        <w:right w:val="none" w:sz="0" w:space="0" w:color="auto"/>
      </w:divBdr>
    </w:div>
    <w:div w:id="604533997">
      <w:bodyDiv w:val="1"/>
      <w:marLeft w:val="0"/>
      <w:marRight w:val="0"/>
      <w:marTop w:val="0"/>
      <w:marBottom w:val="0"/>
      <w:divBdr>
        <w:top w:val="none" w:sz="0" w:space="0" w:color="auto"/>
        <w:left w:val="none" w:sz="0" w:space="0" w:color="auto"/>
        <w:bottom w:val="none" w:sz="0" w:space="0" w:color="auto"/>
        <w:right w:val="none" w:sz="0" w:space="0" w:color="auto"/>
      </w:divBdr>
    </w:div>
    <w:div w:id="604733354">
      <w:bodyDiv w:val="1"/>
      <w:marLeft w:val="0"/>
      <w:marRight w:val="0"/>
      <w:marTop w:val="0"/>
      <w:marBottom w:val="0"/>
      <w:divBdr>
        <w:top w:val="none" w:sz="0" w:space="0" w:color="auto"/>
        <w:left w:val="none" w:sz="0" w:space="0" w:color="auto"/>
        <w:bottom w:val="none" w:sz="0" w:space="0" w:color="auto"/>
        <w:right w:val="none" w:sz="0" w:space="0" w:color="auto"/>
      </w:divBdr>
    </w:div>
    <w:div w:id="609701814">
      <w:bodyDiv w:val="1"/>
      <w:marLeft w:val="0"/>
      <w:marRight w:val="0"/>
      <w:marTop w:val="0"/>
      <w:marBottom w:val="0"/>
      <w:divBdr>
        <w:top w:val="none" w:sz="0" w:space="0" w:color="auto"/>
        <w:left w:val="none" w:sz="0" w:space="0" w:color="auto"/>
        <w:bottom w:val="none" w:sz="0" w:space="0" w:color="auto"/>
        <w:right w:val="none" w:sz="0" w:space="0" w:color="auto"/>
      </w:divBdr>
    </w:div>
    <w:div w:id="610626012">
      <w:bodyDiv w:val="1"/>
      <w:marLeft w:val="0"/>
      <w:marRight w:val="0"/>
      <w:marTop w:val="0"/>
      <w:marBottom w:val="0"/>
      <w:divBdr>
        <w:top w:val="none" w:sz="0" w:space="0" w:color="auto"/>
        <w:left w:val="none" w:sz="0" w:space="0" w:color="auto"/>
        <w:bottom w:val="none" w:sz="0" w:space="0" w:color="auto"/>
        <w:right w:val="none" w:sz="0" w:space="0" w:color="auto"/>
      </w:divBdr>
    </w:div>
    <w:div w:id="611478914">
      <w:bodyDiv w:val="1"/>
      <w:marLeft w:val="0"/>
      <w:marRight w:val="0"/>
      <w:marTop w:val="0"/>
      <w:marBottom w:val="0"/>
      <w:divBdr>
        <w:top w:val="none" w:sz="0" w:space="0" w:color="auto"/>
        <w:left w:val="none" w:sz="0" w:space="0" w:color="auto"/>
        <w:bottom w:val="none" w:sz="0" w:space="0" w:color="auto"/>
        <w:right w:val="none" w:sz="0" w:space="0" w:color="auto"/>
      </w:divBdr>
    </w:div>
    <w:div w:id="612833595">
      <w:bodyDiv w:val="1"/>
      <w:marLeft w:val="0"/>
      <w:marRight w:val="0"/>
      <w:marTop w:val="0"/>
      <w:marBottom w:val="0"/>
      <w:divBdr>
        <w:top w:val="none" w:sz="0" w:space="0" w:color="auto"/>
        <w:left w:val="none" w:sz="0" w:space="0" w:color="auto"/>
        <w:bottom w:val="none" w:sz="0" w:space="0" w:color="auto"/>
        <w:right w:val="none" w:sz="0" w:space="0" w:color="auto"/>
      </w:divBdr>
    </w:div>
    <w:div w:id="612907667">
      <w:bodyDiv w:val="1"/>
      <w:marLeft w:val="0"/>
      <w:marRight w:val="0"/>
      <w:marTop w:val="0"/>
      <w:marBottom w:val="0"/>
      <w:divBdr>
        <w:top w:val="none" w:sz="0" w:space="0" w:color="auto"/>
        <w:left w:val="none" w:sz="0" w:space="0" w:color="auto"/>
        <w:bottom w:val="none" w:sz="0" w:space="0" w:color="auto"/>
        <w:right w:val="none" w:sz="0" w:space="0" w:color="auto"/>
      </w:divBdr>
    </w:div>
    <w:div w:id="613941774">
      <w:bodyDiv w:val="1"/>
      <w:marLeft w:val="0"/>
      <w:marRight w:val="0"/>
      <w:marTop w:val="0"/>
      <w:marBottom w:val="0"/>
      <w:divBdr>
        <w:top w:val="none" w:sz="0" w:space="0" w:color="auto"/>
        <w:left w:val="none" w:sz="0" w:space="0" w:color="auto"/>
        <w:bottom w:val="none" w:sz="0" w:space="0" w:color="auto"/>
        <w:right w:val="none" w:sz="0" w:space="0" w:color="auto"/>
      </w:divBdr>
    </w:div>
    <w:div w:id="614870374">
      <w:bodyDiv w:val="1"/>
      <w:marLeft w:val="0"/>
      <w:marRight w:val="0"/>
      <w:marTop w:val="0"/>
      <w:marBottom w:val="0"/>
      <w:divBdr>
        <w:top w:val="none" w:sz="0" w:space="0" w:color="auto"/>
        <w:left w:val="none" w:sz="0" w:space="0" w:color="auto"/>
        <w:bottom w:val="none" w:sz="0" w:space="0" w:color="auto"/>
        <w:right w:val="none" w:sz="0" w:space="0" w:color="auto"/>
      </w:divBdr>
    </w:div>
    <w:div w:id="617880713">
      <w:bodyDiv w:val="1"/>
      <w:marLeft w:val="0"/>
      <w:marRight w:val="0"/>
      <w:marTop w:val="0"/>
      <w:marBottom w:val="0"/>
      <w:divBdr>
        <w:top w:val="none" w:sz="0" w:space="0" w:color="auto"/>
        <w:left w:val="none" w:sz="0" w:space="0" w:color="auto"/>
        <w:bottom w:val="none" w:sz="0" w:space="0" w:color="auto"/>
        <w:right w:val="none" w:sz="0" w:space="0" w:color="auto"/>
      </w:divBdr>
    </w:div>
    <w:div w:id="620693637">
      <w:bodyDiv w:val="1"/>
      <w:marLeft w:val="0"/>
      <w:marRight w:val="0"/>
      <w:marTop w:val="0"/>
      <w:marBottom w:val="0"/>
      <w:divBdr>
        <w:top w:val="none" w:sz="0" w:space="0" w:color="auto"/>
        <w:left w:val="none" w:sz="0" w:space="0" w:color="auto"/>
        <w:bottom w:val="none" w:sz="0" w:space="0" w:color="auto"/>
        <w:right w:val="none" w:sz="0" w:space="0" w:color="auto"/>
      </w:divBdr>
    </w:div>
    <w:div w:id="621303302">
      <w:bodyDiv w:val="1"/>
      <w:marLeft w:val="0"/>
      <w:marRight w:val="0"/>
      <w:marTop w:val="0"/>
      <w:marBottom w:val="0"/>
      <w:divBdr>
        <w:top w:val="none" w:sz="0" w:space="0" w:color="auto"/>
        <w:left w:val="none" w:sz="0" w:space="0" w:color="auto"/>
        <w:bottom w:val="none" w:sz="0" w:space="0" w:color="auto"/>
        <w:right w:val="none" w:sz="0" w:space="0" w:color="auto"/>
      </w:divBdr>
    </w:div>
    <w:div w:id="621497100">
      <w:bodyDiv w:val="1"/>
      <w:marLeft w:val="0"/>
      <w:marRight w:val="0"/>
      <w:marTop w:val="0"/>
      <w:marBottom w:val="0"/>
      <w:divBdr>
        <w:top w:val="none" w:sz="0" w:space="0" w:color="auto"/>
        <w:left w:val="none" w:sz="0" w:space="0" w:color="auto"/>
        <w:bottom w:val="none" w:sz="0" w:space="0" w:color="auto"/>
        <w:right w:val="none" w:sz="0" w:space="0" w:color="auto"/>
      </w:divBdr>
    </w:div>
    <w:div w:id="621810214">
      <w:bodyDiv w:val="1"/>
      <w:marLeft w:val="0"/>
      <w:marRight w:val="0"/>
      <w:marTop w:val="0"/>
      <w:marBottom w:val="0"/>
      <w:divBdr>
        <w:top w:val="none" w:sz="0" w:space="0" w:color="auto"/>
        <w:left w:val="none" w:sz="0" w:space="0" w:color="auto"/>
        <w:bottom w:val="none" w:sz="0" w:space="0" w:color="auto"/>
        <w:right w:val="none" w:sz="0" w:space="0" w:color="auto"/>
      </w:divBdr>
    </w:div>
    <w:div w:id="622466646">
      <w:bodyDiv w:val="1"/>
      <w:marLeft w:val="0"/>
      <w:marRight w:val="0"/>
      <w:marTop w:val="0"/>
      <w:marBottom w:val="0"/>
      <w:divBdr>
        <w:top w:val="none" w:sz="0" w:space="0" w:color="auto"/>
        <w:left w:val="none" w:sz="0" w:space="0" w:color="auto"/>
        <w:bottom w:val="none" w:sz="0" w:space="0" w:color="auto"/>
        <w:right w:val="none" w:sz="0" w:space="0" w:color="auto"/>
      </w:divBdr>
    </w:div>
    <w:div w:id="630597625">
      <w:bodyDiv w:val="1"/>
      <w:marLeft w:val="0"/>
      <w:marRight w:val="0"/>
      <w:marTop w:val="0"/>
      <w:marBottom w:val="0"/>
      <w:divBdr>
        <w:top w:val="none" w:sz="0" w:space="0" w:color="auto"/>
        <w:left w:val="none" w:sz="0" w:space="0" w:color="auto"/>
        <w:bottom w:val="none" w:sz="0" w:space="0" w:color="auto"/>
        <w:right w:val="none" w:sz="0" w:space="0" w:color="auto"/>
      </w:divBdr>
    </w:div>
    <w:div w:id="631636599">
      <w:bodyDiv w:val="1"/>
      <w:marLeft w:val="0"/>
      <w:marRight w:val="0"/>
      <w:marTop w:val="0"/>
      <w:marBottom w:val="0"/>
      <w:divBdr>
        <w:top w:val="none" w:sz="0" w:space="0" w:color="auto"/>
        <w:left w:val="none" w:sz="0" w:space="0" w:color="auto"/>
        <w:bottom w:val="none" w:sz="0" w:space="0" w:color="auto"/>
        <w:right w:val="none" w:sz="0" w:space="0" w:color="auto"/>
      </w:divBdr>
    </w:div>
    <w:div w:id="633217499">
      <w:bodyDiv w:val="1"/>
      <w:marLeft w:val="0"/>
      <w:marRight w:val="0"/>
      <w:marTop w:val="0"/>
      <w:marBottom w:val="0"/>
      <w:divBdr>
        <w:top w:val="none" w:sz="0" w:space="0" w:color="auto"/>
        <w:left w:val="none" w:sz="0" w:space="0" w:color="auto"/>
        <w:bottom w:val="none" w:sz="0" w:space="0" w:color="auto"/>
        <w:right w:val="none" w:sz="0" w:space="0" w:color="auto"/>
      </w:divBdr>
    </w:div>
    <w:div w:id="633947393">
      <w:bodyDiv w:val="1"/>
      <w:marLeft w:val="0"/>
      <w:marRight w:val="0"/>
      <w:marTop w:val="0"/>
      <w:marBottom w:val="0"/>
      <w:divBdr>
        <w:top w:val="none" w:sz="0" w:space="0" w:color="auto"/>
        <w:left w:val="none" w:sz="0" w:space="0" w:color="auto"/>
        <w:bottom w:val="none" w:sz="0" w:space="0" w:color="auto"/>
        <w:right w:val="none" w:sz="0" w:space="0" w:color="auto"/>
      </w:divBdr>
    </w:div>
    <w:div w:id="634290130">
      <w:bodyDiv w:val="1"/>
      <w:marLeft w:val="0"/>
      <w:marRight w:val="0"/>
      <w:marTop w:val="0"/>
      <w:marBottom w:val="0"/>
      <w:divBdr>
        <w:top w:val="none" w:sz="0" w:space="0" w:color="auto"/>
        <w:left w:val="none" w:sz="0" w:space="0" w:color="auto"/>
        <w:bottom w:val="none" w:sz="0" w:space="0" w:color="auto"/>
        <w:right w:val="none" w:sz="0" w:space="0" w:color="auto"/>
      </w:divBdr>
    </w:div>
    <w:div w:id="634913790">
      <w:bodyDiv w:val="1"/>
      <w:marLeft w:val="0"/>
      <w:marRight w:val="0"/>
      <w:marTop w:val="0"/>
      <w:marBottom w:val="0"/>
      <w:divBdr>
        <w:top w:val="none" w:sz="0" w:space="0" w:color="auto"/>
        <w:left w:val="none" w:sz="0" w:space="0" w:color="auto"/>
        <w:bottom w:val="none" w:sz="0" w:space="0" w:color="auto"/>
        <w:right w:val="none" w:sz="0" w:space="0" w:color="auto"/>
      </w:divBdr>
    </w:div>
    <w:div w:id="635110113">
      <w:bodyDiv w:val="1"/>
      <w:marLeft w:val="0"/>
      <w:marRight w:val="0"/>
      <w:marTop w:val="0"/>
      <w:marBottom w:val="0"/>
      <w:divBdr>
        <w:top w:val="none" w:sz="0" w:space="0" w:color="auto"/>
        <w:left w:val="none" w:sz="0" w:space="0" w:color="auto"/>
        <w:bottom w:val="none" w:sz="0" w:space="0" w:color="auto"/>
        <w:right w:val="none" w:sz="0" w:space="0" w:color="auto"/>
      </w:divBdr>
    </w:div>
    <w:div w:id="636373370">
      <w:bodyDiv w:val="1"/>
      <w:marLeft w:val="0"/>
      <w:marRight w:val="0"/>
      <w:marTop w:val="0"/>
      <w:marBottom w:val="0"/>
      <w:divBdr>
        <w:top w:val="none" w:sz="0" w:space="0" w:color="auto"/>
        <w:left w:val="none" w:sz="0" w:space="0" w:color="auto"/>
        <w:bottom w:val="none" w:sz="0" w:space="0" w:color="auto"/>
        <w:right w:val="none" w:sz="0" w:space="0" w:color="auto"/>
      </w:divBdr>
    </w:div>
    <w:div w:id="640883868">
      <w:bodyDiv w:val="1"/>
      <w:marLeft w:val="0"/>
      <w:marRight w:val="0"/>
      <w:marTop w:val="0"/>
      <w:marBottom w:val="0"/>
      <w:divBdr>
        <w:top w:val="none" w:sz="0" w:space="0" w:color="auto"/>
        <w:left w:val="none" w:sz="0" w:space="0" w:color="auto"/>
        <w:bottom w:val="none" w:sz="0" w:space="0" w:color="auto"/>
        <w:right w:val="none" w:sz="0" w:space="0" w:color="auto"/>
      </w:divBdr>
    </w:div>
    <w:div w:id="641275711">
      <w:bodyDiv w:val="1"/>
      <w:marLeft w:val="0"/>
      <w:marRight w:val="0"/>
      <w:marTop w:val="0"/>
      <w:marBottom w:val="0"/>
      <w:divBdr>
        <w:top w:val="none" w:sz="0" w:space="0" w:color="auto"/>
        <w:left w:val="none" w:sz="0" w:space="0" w:color="auto"/>
        <w:bottom w:val="none" w:sz="0" w:space="0" w:color="auto"/>
        <w:right w:val="none" w:sz="0" w:space="0" w:color="auto"/>
      </w:divBdr>
    </w:div>
    <w:div w:id="641926360">
      <w:bodyDiv w:val="1"/>
      <w:marLeft w:val="0"/>
      <w:marRight w:val="0"/>
      <w:marTop w:val="0"/>
      <w:marBottom w:val="0"/>
      <w:divBdr>
        <w:top w:val="none" w:sz="0" w:space="0" w:color="auto"/>
        <w:left w:val="none" w:sz="0" w:space="0" w:color="auto"/>
        <w:bottom w:val="none" w:sz="0" w:space="0" w:color="auto"/>
        <w:right w:val="none" w:sz="0" w:space="0" w:color="auto"/>
      </w:divBdr>
    </w:div>
    <w:div w:id="643506425">
      <w:bodyDiv w:val="1"/>
      <w:marLeft w:val="0"/>
      <w:marRight w:val="0"/>
      <w:marTop w:val="0"/>
      <w:marBottom w:val="0"/>
      <w:divBdr>
        <w:top w:val="none" w:sz="0" w:space="0" w:color="auto"/>
        <w:left w:val="none" w:sz="0" w:space="0" w:color="auto"/>
        <w:bottom w:val="none" w:sz="0" w:space="0" w:color="auto"/>
        <w:right w:val="none" w:sz="0" w:space="0" w:color="auto"/>
      </w:divBdr>
    </w:div>
    <w:div w:id="644314400">
      <w:bodyDiv w:val="1"/>
      <w:marLeft w:val="0"/>
      <w:marRight w:val="0"/>
      <w:marTop w:val="0"/>
      <w:marBottom w:val="0"/>
      <w:divBdr>
        <w:top w:val="none" w:sz="0" w:space="0" w:color="auto"/>
        <w:left w:val="none" w:sz="0" w:space="0" w:color="auto"/>
        <w:bottom w:val="none" w:sz="0" w:space="0" w:color="auto"/>
        <w:right w:val="none" w:sz="0" w:space="0" w:color="auto"/>
      </w:divBdr>
    </w:div>
    <w:div w:id="644507354">
      <w:bodyDiv w:val="1"/>
      <w:marLeft w:val="0"/>
      <w:marRight w:val="0"/>
      <w:marTop w:val="0"/>
      <w:marBottom w:val="0"/>
      <w:divBdr>
        <w:top w:val="none" w:sz="0" w:space="0" w:color="auto"/>
        <w:left w:val="none" w:sz="0" w:space="0" w:color="auto"/>
        <w:bottom w:val="none" w:sz="0" w:space="0" w:color="auto"/>
        <w:right w:val="none" w:sz="0" w:space="0" w:color="auto"/>
      </w:divBdr>
    </w:div>
    <w:div w:id="648754520">
      <w:bodyDiv w:val="1"/>
      <w:marLeft w:val="0"/>
      <w:marRight w:val="0"/>
      <w:marTop w:val="0"/>
      <w:marBottom w:val="0"/>
      <w:divBdr>
        <w:top w:val="none" w:sz="0" w:space="0" w:color="auto"/>
        <w:left w:val="none" w:sz="0" w:space="0" w:color="auto"/>
        <w:bottom w:val="none" w:sz="0" w:space="0" w:color="auto"/>
        <w:right w:val="none" w:sz="0" w:space="0" w:color="auto"/>
      </w:divBdr>
    </w:div>
    <w:div w:id="651712307">
      <w:bodyDiv w:val="1"/>
      <w:marLeft w:val="0"/>
      <w:marRight w:val="0"/>
      <w:marTop w:val="0"/>
      <w:marBottom w:val="0"/>
      <w:divBdr>
        <w:top w:val="none" w:sz="0" w:space="0" w:color="auto"/>
        <w:left w:val="none" w:sz="0" w:space="0" w:color="auto"/>
        <w:bottom w:val="none" w:sz="0" w:space="0" w:color="auto"/>
        <w:right w:val="none" w:sz="0" w:space="0" w:color="auto"/>
      </w:divBdr>
    </w:div>
    <w:div w:id="654261455">
      <w:bodyDiv w:val="1"/>
      <w:marLeft w:val="0"/>
      <w:marRight w:val="0"/>
      <w:marTop w:val="0"/>
      <w:marBottom w:val="0"/>
      <w:divBdr>
        <w:top w:val="none" w:sz="0" w:space="0" w:color="auto"/>
        <w:left w:val="none" w:sz="0" w:space="0" w:color="auto"/>
        <w:bottom w:val="none" w:sz="0" w:space="0" w:color="auto"/>
        <w:right w:val="none" w:sz="0" w:space="0" w:color="auto"/>
      </w:divBdr>
    </w:div>
    <w:div w:id="658190411">
      <w:bodyDiv w:val="1"/>
      <w:marLeft w:val="0"/>
      <w:marRight w:val="0"/>
      <w:marTop w:val="0"/>
      <w:marBottom w:val="0"/>
      <w:divBdr>
        <w:top w:val="none" w:sz="0" w:space="0" w:color="auto"/>
        <w:left w:val="none" w:sz="0" w:space="0" w:color="auto"/>
        <w:bottom w:val="none" w:sz="0" w:space="0" w:color="auto"/>
        <w:right w:val="none" w:sz="0" w:space="0" w:color="auto"/>
      </w:divBdr>
    </w:div>
    <w:div w:id="663703904">
      <w:bodyDiv w:val="1"/>
      <w:marLeft w:val="0"/>
      <w:marRight w:val="0"/>
      <w:marTop w:val="0"/>
      <w:marBottom w:val="0"/>
      <w:divBdr>
        <w:top w:val="none" w:sz="0" w:space="0" w:color="auto"/>
        <w:left w:val="none" w:sz="0" w:space="0" w:color="auto"/>
        <w:bottom w:val="none" w:sz="0" w:space="0" w:color="auto"/>
        <w:right w:val="none" w:sz="0" w:space="0" w:color="auto"/>
      </w:divBdr>
    </w:div>
    <w:div w:id="664088994">
      <w:bodyDiv w:val="1"/>
      <w:marLeft w:val="0"/>
      <w:marRight w:val="0"/>
      <w:marTop w:val="0"/>
      <w:marBottom w:val="0"/>
      <w:divBdr>
        <w:top w:val="none" w:sz="0" w:space="0" w:color="auto"/>
        <w:left w:val="none" w:sz="0" w:space="0" w:color="auto"/>
        <w:bottom w:val="none" w:sz="0" w:space="0" w:color="auto"/>
        <w:right w:val="none" w:sz="0" w:space="0" w:color="auto"/>
      </w:divBdr>
    </w:div>
    <w:div w:id="665746566">
      <w:bodyDiv w:val="1"/>
      <w:marLeft w:val="0"/>
      <w:marRight w:val="0"/>
      <w:marTop w:val="0"/>
      <w:marBottom w:val="0"/>
      <w:divBdr>
        <w:top w:val="none" w:sz="0" w:space="0" w:color="auto"/>
        <w:left w:val="none" w:sz="0" w:space="0" w:color="auto"/>
        <w:bottom w:val="none" w:sz="0" w:space="0" w:color="auto"/>
        <w:right w:val="none" w:sz="0" w:space="0" w:color="auto"/>
      </w:divBdr>
    </w:div>
    <w:div w:id="672071713">
      <w:bodyDiv w:val="1"/>
      <w:marLeft w:val="0"/>
      <w:marRight w:val="0"/>
      <w:marTop w:val="0"/>
      <w:marBottom w:val="0"/>
      <w:divBdr>
        <w:top w:val="none" w:sz="0" w:space="0" w:color="auto"/>
        <w:left w:val="none" w:sz="0" w:space="0" w:color="auto"/>
        <w:bottom w:val="none" w:sz="0" w:space="0" w:color="auto"/>
        <w:right w:val="none" w:sz="0" w:space="0" w:color="auto"/>
      </w:divBdr>
    </w:div>
    <w:div w:id="673067508">
      <w:bodyDiv w:val="1"/>
      <w:marLeft w:val="0"/>
      <w:marRight w:val="0"/>
      <w:marTop w:val="0"/>
      <w:marBottom w:val="0"/>
      <w:divBdr>
        <w:top w:val="none" w:sz="0" w:space="0" w:color="auto"/>
        <w:left w:val="none" w:sz="0" w:space="0" w:color="auto"/>
        <w:bottom w:val="none" w:sz="0" w:space="0" w:color="auto"/>
        <w:right w:val="none" w:sz="0" w:space="0" w:color="auto"/>
      </w:divBdr>
    </w:div>
    <w:div w:id="673262727">
      <w:bodyDiv w:val="1"/>
      <w:marLeft w:val="0"/>
      <w:marRight w:val="0"/>
      <w:marTop w:val="0"/>
      <w:marBottom w:val="0"/>
      <w:divBdr>
        <w:top w:val="none" w:sz="0" w:space="0" w:color="auto"/>
        <w:left w:val="none" w:sz="0" w:space="0" w:color="auto"/>
        <w:bottom w:val="none" w:sz="0" w:space="0" w:color="auto"/>
        <w:right w:val="none" w:sz="0" w:space="0" w:color="auto"/>
      </w:divBdr>
    </w:div>
    <w:div w:id="673579156">
      <w:bodyDiv w:val="1"/>
      <w:marLeft w:val="0"/>
      <w:marRight w:val="0"/>
      <w:marTop w:val="0"/>
      <w:marBottom w:val="0"/>
      <w:divBdr>
        <w:top w:val="none" w:sz="0" w:space="0" w:color="auto"/>
        <w:left w:val="none" w:sz="0" w:space="0" w:color="auto"/>
        <w:bottom w:val="none" w:sz="0" w:space="0" w:color="auto"/>
        <w:right w:val="none" w:sz="0" w:space="0" w:color="auto"/>
      </w:divBdr>
    </w:div>
    <w:div w:id="677149446">
      <w:bodyDiv w:val="1"/>
      <w:marLeft w:val="0"/>
      <w:marRight w:val="0"/>
      <w:marTop w:val="0"/>
      <w:marBottom w:val="0"/>
      <w:divBdr>
        <w:top w:val="none" w:sz="0" w:space="0" w:color="auto"/>
        <w:left w:val="none" w:sz="0" w:space="0" w:color="auto"/>
        <w:bottom w:val="none" w:sz="0" w:space="0" w:color="auto"/>
        <w:right w:val="none" w:sz="0" w:space="0" w:color="auto"/>
      </w:divBdr>
    </w:div>
    <w:div w:id="679043699">
      <w:bodyDiv w:val="1"/>
      <w:marLeft w:val="0"/>
      <w:marRight w:val="0"/>
      <w:marTop w:val="0"/>
      <w:marBottom w:val="0"/>
      <w:divBdr>
        <w:top w:val="none" w:sz="0" w:space="0" w:color="auto"/>
        <w:left w:val="none" w:sz="0" w:space="0" w:color="auto"/>
        <w:bottom w:val="none" w:sz="0" w:space="0" w:color="auto"/>
        <w:right w:val="none" w:sz="0" w:space="0" w:color="auto"/>
      </w:divBdr>
    </w:div>
    <w:div w:id="681585053">
      <w:bodyDiv w:val="1"/>
      <w:marLeft w:val="0"/>
      <w:marRight w:val="0"/>
      <w:marTop w:val="0"/>
      <w:marBottom w:val="0"/>
      <w:divBdr>
        <w:top w:val="none" w:sz="0" w:space="0" w:color="auto"/>
        <w:left w:val="none" w:sz="0" w:space="0" w:color="auto"/>
        <w:bottom w:val="none" w:sz="0" w:space="0" w:color="auto"/>
        <w:right w:val="none" w:sz="0" w:space="0" w:color="auto"/>
      </w:divBdr>
    </w:div>
    <w:div w:id="681975189">
      <w:bodyDiv w:val="1"/>
      <w:marLeft w:val="0"/>
      <w:marRight w:val="0"/>
      <w:marTop w:val="0"/>
      <w:marBottom w:val="0"/>
      <w:divBdr>
        <w:top w:val="none" w:sz="0" w:space="0" w:color="auto"/>
        <w:left w:val="none" w:sz="0" w:space="0" w:color="auto"/>
        <w:bottom w:val="none" w:sz="0" w:space="0" w:color="auto"/>
        <w:right w:val="none" w:sz="0" w:space="0" w:color="auto"/>
      </w:divBdr>
    </w:div>
    <w:div w:id="682052123">
      <w:bodyDiv w:val="1"/>
      <w:marLeft w:val="0"/>
      <w:marRight w:val="0"/>
      <w:marTop w:val="0"/>
      <w:marBottom w:val="0"/>
      <w:divBdr>
        <w:top w:val="none" w:sz="0" w:space="0" w:color="auto"/>
        <w:left w:val="none" w:sz="0" w:space="0" w:color="auto"/>
        <w:bottom w:val="none" w:sz="0" w:space="0" w:color="auto"/>
        <w:right w:val="none" w:sz="0" w:space="0" w:color="auto"/>
      </w:divBdr>
    </w:div>
    <w:div w:id="683745103">
      <w:bodyDiv w:val="1"/>
      <w:marLeft w:val="0"/>
      <w:marRight w:val="0"/>
      <w:marTop w:val="0"/>
      <w:marBottom w:val="0"/>
      <w:divBdr>
        <w:top w:val="none" w:sz="0" w:space="0" w:color="auto"/>
        <w:left w:val="none" w:sz="0" w:space="0" w:color="auto"/>
        <w:bottom w:val="none" w:sz="0" w:space="0" w:color="auto"/>
        <w:right w:val="none" w:sz="0" w:space="0" w:color="auto"/>
      </w:divBdr>
    </w:div>
    <w:div w:id="685333036">
      <w:bodyDiv w:val="1"/>
      <w:marLeft w:val="0"/>
      <w:marRight w:val="0"/>
      <w:marTop w:val="0"/>
      <w:marBottom w:val="0"/>
      <w:divBdr>
        <w:top w:val="none" w:sz="0" w:space="0" w:color="auto"/>
        <w:left w:val="none" w:sz="0" w:space="0" w:color="auto"/>
        <w:bottom w:val="none" w:sz="0" w:space="0" w:color="auto"/>
        <w:right w:val="none" w:sz="0" w:space="0" w:color="auto"/>
      </w:divBdr>
    </w:div>
    <w:div w:id="685449589">
      <w:bodyDiv w:val="1"/>
      <w:marLeft w:val="0"/>
      <w:marRight w:val="0"/>
      <w:marTop w:val="0"/>
      <w:marBottom w:val="0"/>
      <w:divBdr>
        <w:top w:val="none" w:sz="0" w:space="0" w:color="auto"/>
        <w:left w:val="none" w:sz="0" w:space="0" w:color="auto"/>
        <w:bottom w:val="none" w:sz="0" w:space="0" w:color="auto"/>
        <w:right w:val="none" w:sz="0" w:space="0" w:color="auto"/>
      </w:divBdr>
    </w:div>
    <w:div w:id="686756830">
      <w:bodyDiv w:val="1"/>
      <w:marLeft w:val="0"/>
      <w:marRight w:val="0"/>
      <w:marTop w:val="0"/>
      <w:marBottom w:val="0"/>
      <w:divBdr>
        <w:top w:val="none" w:sz="0" w:space="0" w:color="auto"/>
        <w:left w:val="none" w:sz="0" w:space="0" w:color="auto"/>
        <w:bottom w:val="none" w:sz="0" w:space="0" w:color="auto"/>
        <w:right w:val="none" w:sz="0" w:space="0" w:color="auto"/>
      </w:divBdr>
    </w:div>
    <w:div w:id="687223033">
      <w:bodyDiv w:val="1"/>
      <w:marLeft w:val="0"/>
      <w:marRight w:val="0"/>
      <w:marTop w:val="0"/>
      <w:marBottom w:val="0"/>
      <w:divBdr>
        <w:top w:val="none" w:sz="0" w:space="0" w:color="auto"/>
        <w:left w:val="none" w:sz="0" w:space="0" w:color="auto"/>
        <w:bottom w:val="none" w:sz="0" w:space="0" w:color="auto"/>
        <w:right w:val="none" w:sz="0" w:space="0" w:color="auto"/>
      </w:divBdr>
    </w:div>
    <w:div w:id="688487160">
      <w:bodyDiv w:val="1"/>
      <w:marLeft w:val="0"/>
      <w:marRight w:val="0"/>
      <w:marTop w:val="0"/>
      <w:marBottom w:val="0"/>
      <w:divBdr>
        <w:top w:val="none" w:sz="0" w:space="0" w:color="auto"/>
        <w:left w:val="none" w:sz="0" w:space="0" w:color="auto"/>
        <w:bottom w:val="none" w:sz="0" w:space="0" w:color="auto"/>
        <w:right w:val="none" w:sz="0" w:space="0" w:color="auto"/>
      </w:divBdr>
    </w:div>
    <w:div w:id="692265833">
      <w:bodyDiv w:val="1"/>
      <w:marLeft w:val="0"/>
      <w:marRight w:val="0"/>
      <w:marTop w:val="0"/>
      <w:marBottom w:val="0"/>
      <w:divBdr>
        <w:top w:val="none" w:sz="0" w:space="0" w:color="auto"/>
        <w:left w:val="none" w:sz="0" w:space="0" w:color="auto"/>
        <w:bottom w:val="none" w:sz="0" w:space="0" w:color="auto"/>
        <w:right w:val="none" w:sz="0" w:space="0" w:color="auto"/>
      </w:divBdr>
    </w:div>
    <w:div w:id="694041682">
      <w:bodyDiv w:val="1"/>
      <w:marLeft w:val="0"/>
      <w:marRight w:val="0"/>
      <w:marTop w:val="0"/>
      <w:marBottom w:val="0"/>
      <w:divBdr>
        <w:top w:val="none" w:sz="0" w:space="0" w:color="auto"/>
        <w:left w:val="none" w:sz="0" w:space="0" w:color="auto"/>
        <w:bottom w:val="none" w:sz="0" w:space="0" w:color="auto"/>
        <w:right w:val="none" w:sz="0" w:space="0" w:color="auto"/>
      </w:divBdr>
    </w:div>
    <w:div w:id="696807731">
      <w:bodyDiv w:val="1"/>
      <w:marLeft w:val="0"/>
      <w:marRight w:val="0"/>
      <w:marTop w:val="0"/>
      <w:marBottom w:val="0"/>
      <w:divBdr>
        <w:top w:val="none" w:sz="0" w:space="0" w:color="auto"/>
        <w:left w:val="none" w:sz="0" w:space="0" w:color="auto"/>
        <w:bottom w:val="none" w:sz="0" w:space="0" w:color="auto"/>
        <w:right w:val="none" w:sz="0" w:space="0" w:color="auto"/>
      </w:divBdr>
    </w:div>
    <w:div w:id="697197831">
      <w:bodyDiv w:val="1"/>
      <w:marLeft w:val="0"/>
      <w:marRight w:val="0"/>
      <w:marTop w:val="0"/>
      <w:marBottom w:val="0"/>
      <w:divBdr>
        <w:top w:val="none" w:sz="0" w:space="0" w:color="auto"/>
        <w:left w:val="none" w:sz="0" w:space="0" w:color="auto"/>
        <w:bottom w:val="none" w:sz="0" w:space="0" w:color="auto"/>
        <w:right w:val="none" w:sz="0" w:space="0" w:color="auto"/>
      </w:divBdr>
    </w:div>
    <w:div w:id="697774319">
      <w:bodyDiv w:val="1"/>
      <w:marLeft w:val="0"/>
      <w:marRight w:val="0"/>
      <w:marTop w:val="0"/>
      <w:marBottom w:val="0"/>
      <w:divBdr>
        <w:top w:val="none" w:sz="0" w:space="0" w:color="auto"/>
        <w:left w:val="none" w:sz="0" w:space="0" w:color="auto"/>
        <w:bottom w:val="none" w:sz="0" w:space="0" w:color="auto"/>
        <w:right w:val="none" w:sz="0" w:space="0" w:color="auto"/>
      </w:divBdr>
    </w:div>
    <w:div w:id="697782096">
      <w:bodyDiv w:val="1"/>
      <w:marLeft w:val="0"/>
      <w:marRight w:val="0"/>
      <w:marTop w:val="0"/>
      <w:marBottom w:val="0"/>
      <w:divBdr>
        <w:top w:val="none" w:sz="0" w:space="0" w:color="auto"/>
        <w:left w:val="none" w:sz="0" w:space="0" w:color="auto"/>
        <w:bottom w:val="none" w:sz="0" w:space="0" w:color="auto"/>
        <w:right w:val="none" w:sz="0" w:space="0" w:color="auto"/>
      </w:divBdr>
    </w:div>
    <w:div w:id="698239231">
      <w:bodyDiv w:val="1"/>
      <w:marLeft w:val="0"/>
      <w:marRight w:val="0"/>
      <w:marTop w:val="0"/>
      <w:marBottom w:val="0"/>
      <w:divBdr>
        <w:top w:val="none" w:sz="0" w:space="0" w:color="auto"/>
        <w:left w:val="none" w:sz="0" w:space="0" w:color="auto"/>
        <w:bottom w:val="none" w:sz="0" w:space="0" w:color="auto"/>
        <w:right w:val="none" w:sz="0" w:space="0" w:color="auto"/>
      </w:divBdr>
    </w:div>
    <w:div w:id="698631425">
      <w:bodyDiv w:val="1"/>
      <w:marLeft w:val="0"/>
      <w:marRight w:val="0"/>
      <w:marTop w:val="0"/>
      <w:marBottom w:val="0"/>
      <w:divBdr>
        <w:top w:val="none" w:sz="0" w:space="0" w:color="auto"/>
        <w:left w:val="none" w:sz="0" w:space="0" w:color="auto"/>
        <w:bottom w:val="none" w:sz="0" w:space="0" w:color="auto"/>
        <w:right w:val="none" w:sz="0" w:space="0" w:color="auto"/>
      </w:divBdr>
    </w:div>
    <w:div w:id="698819829">
      <w:bodyDiv w:val="1"/>
      <w:marLeft w:val="0"/>
      <w:marRight w:val="0"/>
      <w:marTop w:val="0"/>
      <w:marBottom w:val="0"/>
      <w:divBdr>
        <w:top w:val="none" w:sz="0" w:space="0" w:color="auto"/>
        <w:left w:val="none" w:sz="0" w:space="0" w:color="auto"/>
        <w:bottom w:val="none" w:sz="0" w:space="0" w:color="auto"/>
        <w:right w:val="none" w:sz="0" w:space="0" w:color="auto"/>
      </w:divBdr>
    </w:div>
    <w:div w:id="700784739">
      <w:bodyDiv w:val="1"/>
      <w:marLeft w:val="0"/>
      <w:marRight w:val="0"/>
      <w:marTop w:val="0"/>
      <w:marBottom w:val="0"/>
      <w:divBdr>
        <w:top w:val="none" w:sz="0" w:space="0" w:color="auto"/>
        <w:left w:val="none" w:sz="0" w:space="0" w:color="auto"/>
        <w:bottom w:val="none" w:sz="0" w:space="0" w:color="auto"/>
        <w:right w:val="none" w:sz="0" w:space="0" w:color="auto"/>
      </w:divBdr>
    </w:div>
    <w:div w:id="701709422">
      <w:bodyDiv w:val="1"/>
      <w:marLeft w:val="0"/>
      <w:marRight w:val="0"/>
      <w:marTop w:val="0"/>
      <w:marBottom w:val="0"/>
      <w:divBdr>
        <w:top w:val="none" w:sz="0" w:space="0" w:color="auto"/>
        <w:left w:val="none" w:sz="0" w:space="0" w:color="auto"/>
        <w:bottom w:val="none" w:sz="0" w:space="0" w:color="auto"/>
        <w:right w:val="none" w:sz="0" w:space="0" w:color="auto"/>
      </w:divBdr>
    </w:div>
    <w:div w:id="702756674">
      <w:bodyDiv w:val="1"/>
      <w:marLeft w:val="0"/>
      <w:marRight w:val="0"/>
      <w:marTop w:val="0"/>
      <w:marBottom w:val="0"/>
      <w:divBdr>
        <w:top w:val="none" w:sz="0" w:space="0" w:color="auto"/>
        <w:left w:val="none" w:sz="0" w:space="0" w:color="auto"/>
        <w:bottom w:val="none" w:sz="0" w:space="0" w:color="auto"/>
        <w:right w:val="none" w:sz="0" w:space="0" w:color="auto"/>
      </w:divBdr>
    </w:div>
    <w:div w:id="703143246">
      <w:bodyDiv w:val="1"/>
      <w:marLeft w:val="0"/>
      <w:marRight w:val="0"/>
      <w:marTop w:val="0"/>
      <w:marBottom w:val="0"/>
      <w:divBdr>
        <w:top w:val="none" w:sz="0" w:space="0" w:color="auto"/>
        <w:left w:val="none" w:sz="0" w:space="0" w:color="auto"/>
        <w:bottom w:val="none" w:sz="0" w:space="0" w:color="auto"/>
        <w:right w:val="none" w:sz="0" w:space="0" w:color="auto"/>
      </w:divBdr>
    </w:div>
    <w:div w:id="705132820">
      <w:bodyDiv w:val="1"/>
      <w:marLeft w:val="0"/>
      <w:marRight w:val="0"/>
      <w:marTop w:val="0"/>
      <w:marBottom w:val="0"/>
      <w:divBdr>
        <w:top w:val="none" w:sz="0" w:space="0" w:color="auto"/>
        <w:left w:val="none" w:sz="0" w:space="0" w:color="auto"/>
        <w:bottom w:val="none" w:sz="0" w:space="0" w:color="auto"/>
        <w:right w:val="none" w:sz="0" w:space="0" w:color="auto"/>
      </w:divBdr>
    </w:div>
    <w:div w:id="705638947">
      <w:bodyDiv w:val="1"/>
      <w:marLeft w:val="0"/>
      <w:marRight w:val="0"/>
      <w:marTop w:val="0"/>
      <w:marBottom w:val="0"/>
      <w:divBdr>
        <w:top w:val="none" w:sz="0" w:space="0" w:color="auto"/>
        <w:left w:val="none" w:sz="0" w:space="0" w:color="auto"/>
        <w:bottom w:val="none" w:sz="0" w:space="0" w:color="auto"/>
        <w:right w:val="none" w:sz="0" w:space="0" w:color="auto"/>
      </w:divBdr>
    </w:div>
    <w:div w:id="712853556">
      <w:bodyDiv w:val="1"/>
      <w:marLeft w:val="0"/>
      <w:marRight w:val="0"/>
      <w:marTop w:val="0"/>
      <w:marBottom w:val="0"/>
      <w:divBdr>
        <w:top w:val="none" w:sz="0" w:space="0" w:color="auto"/>
        <w:left w:val="none" w:sz="0" w:space="0" w:color="auto"/>
        <w:bottom w:val="none" w:sz="0" w:space="0" w:color="auto"/>
        <w:right w:val="none" w:sz="0" w:space="0" w:color="auto"/>
      </w:divBdr>
    </w:div>
    <w:div w:id="713115762">
      <w:bodyDiv w:val="1"/>
      <w:marLeft w:val="0"/>
      <w:marRight w:val="0"/>
      <w:marTop w:val="0"/>
      <w:marBottom w:val="0"/>
      <w:divBdr>
        <w:top w:val="none" w:sz="0" w:space="0" w:color="auto"/>
        <w:left w:val="none" w:sz="0" w:space="0" w:color="auto"/>
        <w:bottom w:val="none" w:sz="0" w:space="0" w:color="auto"/>
        <w:right w:val="none" w:sz="0" w:space="0" w:color="auto"/>
      </w:divBdr>
    </w:div>
    <w:div w:id="713194697">
      <w:bodyDiv w:val="1"/>
      <w:marLeft w:val="0"/>
      <w:marRight w:val="0"/>
      <w:marTop w:val="0"/>
      <w:marBottom w:val="0"/>
      <w:divBdr>
        <w:top w:val="none" w:sz="0" w:space="0" w:color="auto"/>
        <w:left w:val="none" w:sz="0" w:space="0" w:color="auto"/>
        <w:bottom w:val="none" w:sz="0" w:space="0" w:color="auto"/>
        <w:right w:val="none" w:sz="0" w:space="0" w:color="auto"/>
      </w:divBdr>
    </w:div>
    <w:div w:id="713232034">
      <w:bodyDiv w:val="1"/>
      <w:marLeft w:val="0"/>
      <w:marRight w:val="0"/>
      <w:marTop w:val="0"/>
      <w:marBottom w:val="0"/>
      <w:divBdr>
        <w:top w:val="none" w:sz="0" w:space="0" w:color="auto"/>
        <w:left w:val="none" w:sz="0" w:space="0" w:color="auto"/>
        <w:bottom w:val="none" w:sz="0" w:space="0" w:color="auto"/>
        <w:right w:val="none" w:sz="0" w:space="0" w:color="auto"/>
      </w:divBdr>
    </w:div>
    <w:div w:id="713772913">
      <w:bodyDiv w:val="1"/>
      <w:marLeft w:val="0"/>
      <w:marRight w:val="0"/>
      <w:marTop w:val="0"/>
      <w:marBottom w:val="0"/>
      <w:divBdr>
        <w:top w:val="none" w:sz="0" w:space="0" w:color="auto"/>
        <w:left w:val="none" w:sz="0" w:space="0" w:color="auto"/>
        <w:bottom w:val="none" w:sz="0" w:space="0" w:color="auto"/>
        <w:right w:val="none" w:sz="0" w:space="0" w:color="auto"/>
      </w:divBdr>
    </w:div>
    <w:div w:id="714357675">
      <w:bodyDiv w:val="1"/>
      <w:marLeft w:val="0"/>
      <w:marRight w:val="0"/>
      <w:marTop w:val="0"/>
      <w:marBottom w:val="0"/>
      <w:divBdr>
        <w:top w:val="none" w:sz="0" w:space="0" w:color="auto"/>
        <w:left w:val="none" w:sz="0" w:space="0" w:color="auto"/>
        <w:bottom w:val="none" w:sz="0" w:space="0" w:color="auto"/>
        <w:right w:val="none" w:sz="0" w:space="0" w:color="auto"/>
      </w:divBdr>
    </w:div>
    <w:div w:id="717051055">
      <w:bodyDiv w:val="1"/>
      <w:marLeft w:val="0"/>
      <w:marRight w:val="0"/>
      <w:marTop w:val="0"/>
      <w:marBottom w:val="0"/>
      <w:divBdr>
        <w:top w:val="none" w:sz="0" w:space="0" w:color="auto"/>
        <w:left w:val="none" w:sz="0" w:space="0" w:color="auto"/>
        <w:bottom w:val="none" w:sz="0" w:space="0" w:color="auto"/>
        <w:right w:val="none" w:sz="0" w:space="0" w:color="auto"/>
      </w:divBdr>
    </w:div>
    <w:div w:id="717750955">
      <w:bodyDiv w:val="1"/>
      <w:marLeft w:val="0"/>
      <w:marRight w:val="0"/>
      <w:marTop w:val="0"/>
      <w:marBottom w:val="0"/>
      <w:divBdr>
        <w:top w:val="none" w:sz="0" w:space="0" w:color="auto"/>
        <w:left w:val="none" w:sz="0" w:space="0" w:color="auto"/>
        <w:bottom w:val="none" w:sz="0" w:space="0" w:color="auto"/>
        <w:right w:val="none" w:sz="0" w:space="0" w:color="auto"/>
      </w:divBdr>
    </w:div>
    <w:div w:id="717820732">
      <w:bodyDiv w:val="1"/>
      <w:marLeft w:val="0"/>
      <w:marRight w:val="0"/>
      <w:marTop w:val="0"/>
      <w:marBottom w:val="0"/>
      <w:divBdr>
        <w:top w:val="none" w:sz="0" w:space="0" w:color="auto"/>
        <w:left w:val="none" w:sz="0" w:space="0" w:color="auto"/>
        <w:bottom w:val="none" w:sz="0" w:space="0" w:color="auto"/>
        <w:right w:val="none" w:sz="0" w:space="0" w:color="auto"/>
      </w:divBdr>
    </w:div>
    <w:div w:id="718817438">
      <w:bodyDiv w:val="1"/>
      <w:marLeft w:val="0"/>
      <w:marRight w:val="0"/>
      <w:marTop w:val="0"/>
      <w:marBottom w:val="0"/>
      <w:divBdr>
        <w:top w:val="none" w:sz="0" w:space="0" w:color="auto"/>
        <w:left w:val="none" w:sz="0" w:space="0" w:color="auto"/>
        <w:bottom w:val="none" w:sz="0" w:space="0" w:color="auto"/>
        <w:right w:val="none" w:sz="0" w:space="0" w:color="auto"/>
      </w:divBdr>
    </w:div>
    <w:div w:id="719134788">
      <w:bodyDiv w:val="1"/>
      <w:marLeft w:val="0"/>
      <w:marRight w:val="0"/>
      <w:marTop w:val="0"/>
      <w:marBottom w:val="0"/>
      <w:divBdr>
        <w:top w:val="none" w:sz="0" w:space="0" w:color="auto"/>
        <w:left w:val="none" w:sz="0" w:space="0" w:color="auto"/>
        <w:bottom w:val="none" w:sz="0" w:space="0" w:color="auto"/>
        <w:right w:val="none" w:sz="0" w:space="0" w:color="auto"/>
      </w:divBdr>
    </w:div>
    <w:div w:id="719666345">
      <w:bodyDiv w:val="1"/>
      <w:marLeft w:val="0"/>
      <w:marRight w:val="0"/>
      <w:marTop w:val="0"/>
      <w:marBottom w:val="0"/>
      <w:divBdr>
        <w:top w:val="none" w:sz="0" w:space="0" w:color="auto"/>
        <w:left w:val="none" w:sz="0" w:space="0" w:color="auto"/>
        <w:bottom w:val="none" w:sz="0" w:space="0" w:color="auto"/>
        <w:right w:val="none" w:sz="0" w:space="0" w:color="auto"/>
      </w:divBdr>
    </w:div>
    <w:div w:id="720518601">
      <w:bodyDiv w:val="1"/>
      <w:marLeft w:val="0"/>
      <w:marRight w:val="0"/>
      <w:marTop w:val="0"/>
      <w:marBottom w:val="0"/>
      <w:divBdr>
        <w:top w:val="none" w:sz="0" w:space="0" w:color="auto"/>
        <w:left w:val="none" w:sz="0" w:space="0" w:color="auto"/>
        <w:bottom w:val="none" w:sz="0" w:space="0" w:color="auto"/>
        <w:right w:val="none" w:sz="0" w:space="0" w:color="auto"/>
      </w:divBdr>
    </w:div>
    <w:div w:id="721052484">
      <w:bodyDiv w:val="1"/>
      <w:marLeft w:val="0"/>
      <w:marRight w:val="0"/>
      <w:marTop w:val="0"/>
      <w:marBottom w:val="0"/>
      <w:divBdr>
        <w:top w:val="none" w:sz="0" w:space="0" w:color="auto"/>
        <w:left w:val="none" w:sz="0" w:space="0" w:color="auto"/>
        <w:bottom w:val="none" w:sz="0" w:space="0" w:color="auto"/>
        <w:right w:val="none" w:sz="0" w:space="0" w:color="auto"/>
      </w:divBdr>
    </w:div>
    <w:div w:id="721951572">
      <w:bodyDiv w:val="1"/>
      <w:marLeft w:val="0"/>
      <w:marRight w:val="0"/>
      <w:marTop w:val="0"/>
      <w:marBottom w:val="0"/>
      <w:divBdr>
        <w:top w:val="none" w:sz="0" w:space="0" w:color="auto"/>
        <w:left w:val="none" w:sz="0" w:space="0" w:color="auto"/>
        <w:bottom w:val="none" w:sz="0" w:space="0" w:color="auto"/>
        <w:right w:val="none" w:sz="0" w:space="0" w:color="auto"/>
      </w:divBdr>
    </w:div>
    <w:div w:id="722872418">
      <w:bodyDiv w:val="1"/>
      <w:marLeft w:val="0"/>
      <w:marRight w:val="0"/>
      <w:marTop w:val="0"/>
      <w:marBottom w:val="0"/>
      <w:divBdr>
        <w:top w:val="none" w:sz="0" w:space="0" w:color="auto"/>
        <w:left w:val="none" w:sz="0" w:space="0" w:color="auto"/>
        <w:bottom w:val="none" w:sz="0" w:space="0" w:color="auto"/>
        <w:right w:val="none" w:sz="0" w:space="0" w:color="auto"/>
      </w:divBdr>
    </w:div>
    <w:div w:id="724842366">
      <w:bodyDiv w:val="1"/>
      <w:marLeft w:val="0"/>
      <w:marRight w:val="0"/>
      <w:marTop w:val="0"/>
      <w:marBottom w:val="0"/>
      <w:divBdr>
        <w:top w:val="none" w:sz="0" w:space="0" w:color="auto"/>
        <w:left w:val="none" w:sz="0" w:space="0" w:color="auto"/>
        <w:bottom w:val="none" w:sz="0" w:space="0" w:color="auto"/>
        <w:right w:val="none" w:sz="0" w:space="0" w:color="auto"/>
      </w:divBdr>
    </w:div>
    <w:div w:id="726220207">
      <w:bodyDiv w:val="1"/>
      <w:marLeft w:val="0"/>
      <w:marRight w:val="0"/>
      <w:marTop w:val="0"/>
      <w:marBottom w:val="0"/>
      <w:divBdr>
        <w:top w:val="none" w:sz="0" w:space="0" w:color="auto"/>
        <w:left w:val="none" w:sz="0" w:space="0" w:color="auto"/>
        <w:bottom w:val="none" w:sz="0" w:space="0" w:color="auto"/>
        <w:right w:val="none" w:sz="0" w:space="0" w:color="auto"/>
      </w:divBdr>
    </w:div>
    <w:div w:id="726494370">
      <w:bodyDiv w:val="1"/>
      <w:marLeft w:val="0"/>
      <w:marRight w:val="0"/>
      <w:marTop w:val="0"/>
      <w:marBottom w:val="0"/>
      <w:divBdr>
        <w:top w:val="none" w:sz="0" w:space="0" w:color="auto"/>
        <w:left w:val="none" w:sz="0" w:space="0" w:color="auto"/>
        <w:bottom w:val="none" w:sz="0" w:space="0" w:color="auto"/>
        <w:right w:val="none" w:sz="0" w:space="0" w:color="auto"/>
      </w:divBdr>
    </w:div>
    <w:div w:id="728306265">
      <w:bodyDiv w:val="1"/>
      <w:marLeft w:val="0"/>
      <w:marRight w:val="0"/>
      <w:marTop w:val="0"/>
      <w:marBottom w:val="0"/>
      <w:divBdr>
        <w:top w:val="none" w:sz="0" w:space="0" w:color="auto"/>
        <w:left w:val="none" w:sz="0" w:space="0" w:color="auto"/>
        <w:bottom w:val="none" w:sz="0" w:space="0" w:color="auto"/>
        <w:right w:val="none" w:sz="0" w:space="0" w:color="auto"/>
      </w:divBdr>
    </w:div>
    <w:div w:id="728459741">
      <w:bodyDiv w:val="1"/>
      <w:marLeft w:val="0"/>
      <w:marRight w:val="0"/>
      <w:marTop w:val="0"/>
      <w:marBottom w:val="0"/>
      <w:divBdr>
        <w:top w:val="none" w:sz="0" w:space="0" w:color="auto"/>
        <w:left w:val="none" w:sz="0" w:space="0" w:color="auto"/>
        <w:bottom w:val="none" w:sz="0" w:space="0" w:color="auto"/>
        <w:right w:val="none" w:sz="0" w:space="0" w:color="auto"/>
      </w:divBdr>
    </w:div>
    <w:div w:id="729495168">
      <w:bodyDiv w:val="1"/>
      <w:marLeft w:val="0"/>
      <w:marRight w:val="0"/>
      <w:marTop w:val="0"/>
      <w:marBottom w:val="0"/>
      <w:divBdr>
        <w:top w:val="none" w:sz="0" w:space="0" w:color="auto"/>
        <w:left w:val="none" w:sz="0" w:space="0" w:color="auto"/>
        <w:bottom w:val="none" w:sz="0" w:space="0" w:color="auto"/>
        <w:right w:val="none" w:sz="0" w:space="0" w:color="auto"/>
      </w:divBdr>
    </w:div>
    <w:div w:id="730231347">
      <w:bodyDiv w:val="1"/>
      <w:marLeft w:val="0"/>
      <w:marRight w:val="0"/>
      <w:marTop w:val="0"/>
      <w:marBottom w:val="0"/>
      <w:divBdr>
        <w:top w:val="none" w:sz="0" w:space="0" w:color="auto"/>
        <w:left w:val="none" w:sz="0" w:space="0" w:color="auto"/>
        <w:bottom w:val="none" w:sz="0" w:space="0" w:color="auto"/>
        <w:right w:val="none" w:sz="0" w:space="0" w:color="auto"/>
      </w:divBdr>
    </w:div>
    <w:div w:id="732853792">
      <w:bodyDiv w:val="1"/>
      <w:marLeft w:val="0"/>
      <w:marRight w:val="0"/>
      <w:marTop w:val="0"/>
      <w:marBottom w:val="0"/>
      <w:divBdr>
        <w:top w:val="none" w:sz="0" w:space="0" w:color="auto"/>
        <w:left w:val="none" w:sz="0" w:space="0" w:color="auto"/>
        <w:bottom w:val="none" w:sz="0" w:space="0" w:color="auto"/>
        <w:right w:val="none" w:sz="0" w:space="0" w:color="auto"/>
      </w:divBdr>
    </w:div>
    <w:div w:id="735277381">
      <w:bodyDiv w:val="1"/>
      <w:marLeft w:val="0"/>
      <w:marRight w:val="0"/>
      <w:marTop w:val="0"/>
      <w:marBottom w:val="0"/>
      <w:divBdr>
        <w:top w:val="none" w:sz="0" w:space="0" w:color="auto"/>
        <w:left w:val="none" w:sz="0" w:space="0" w:color="auto"/>
        <w:bottom w:val="none" w:sz="0" w:space="0" w:color="auto"/>
        <w:right w:val="none" w:sz="0" w:space="0" w:color="auto"/>
      </w:divBdr>
    </w:div>
    <w:div w:id="738744805">
      <w:bodyDiv w:val="1"/>
      <w:marLeft w:val="0"/>
      <w:marRight w:val="0"/>
      <w:marTop w:val="0"/>
      <w:marBottom w:val="0"/>
      <w:divBdr>
        <w:top w:val="none" w:sz="0" w:space="0" w:color="auto"/>
        <w:left w:val="none" w:sz="0" w:space="0" w:color="auto"/>
        <w:bottom w:val="none" w:sz="0" w:space="0" w:color="auto"/>
        <w:right w:val="none" w:sz="0" w:space="0" w:color="auto"/>
      </w:divBdr>
    </w:div>
    <w:div w:id="739182631">
      <w:bodyDiv w:val="1"/>
      <w:marLeft w:val="0"/>
      <w:marRight w:val="0"/>
      <w:marTop w:val="0"/>
      <w:marBottom w:val="0"/>
      <w:divBdr>
        <w:top w:val="none" w:sz="0" w:space="0" w:color="auto"/>
        <w:left w:val="none" w:sz="0" w:space="0" w:color="auto"/>
        <w:bottom w:val="none" w:sz="0" w:space="0" w:color="auto"/>
        <w:right w:val="none" w:sz="0" w:space="0" w:color="auto"/>
      </w:divBdr>
    </w:div>
    <w:div w:id="740835138">
      <w:bodyDiv w:val="1"/>
      <w:marLeft w:val="0"/>
      <w:marRight w:val="0"/>
      <w:marTop w:val="0"/>
      <w:marBottom w:val="0"/>
      <w:divBdr>
        <w:top w:val="none" w:sz="0" w:space="0" w:color="auto"/>
        <w:left w:val="none" w:sz="0" w:space="0" w:color="auto"/>
        <w:bottom w:val="none" w:sz="0" w:space="0" w:color="auto"/>
        <w:right w:val="none" w:sz="0" w:space="0" w:color="auto"/>
      </w:divBdr>
    </w:div>
    <w:div w:id="741761267">
      <w:bodyDiv w:val="1"/>
      <w:marLeft w:val="0"/>
      <w:marRight w:val="0"/>
      <w:marTop w:val="0"/>
      <w:marBottom w:val="0"/>
      <w:divBdr>
        <w:top w:val="none" w:sz="0" w:space="0" w:color="auto"/>
        <w:left w:val="none" w:sz="0" w:space="0" w:color="auto"/>
        <w:bottom w:val="none" w:sz="0" w:space="0" w:color="auto"/>
        <w:right w:val="none" w:sz="0" w:space="0" w:color="auto"/>
      </w:divBdr>
    </w:div>
    <w:div w:id="741872653">
      <w:bodyDiv w:val="1"/>
      <w:marLeft w:val="0"/>
      <w:marRight w:val="0"/>
      <w:marTop w:val="0"/>
      <w:marBottom w:val="0"/>
      <w:divBdr>
        <w:top w:val="none" w:sz="0" w:space="0" w:color="auto"/>
        <w:left w:val="none" w:sz="0" w:space="0" w:color="auto"/>
        <w:bottom w:val="none" w:sz="0" w:space="0" w:color="auto"/>
        <w:right w:val="none" w:sz="0" w:space="0" w:color="auto"/>
      </w:divBdr>
    </w:div>
    <w:div w:id="742414971">
      <w:bodyDiv w:val="1"/>
      <w:marLeft w:val="0"/>
      <w:marRight w:val="0"/>
      <w:marTop w:val="0"/>
      <w:marBottom w:val="0"/>
      <w:divBdr>
        <w:top w:val="none" w:sz="0" w:space="0" w:color="auto"/>
        <w:left w:val="none" w:sz="0" w:space="0" w:color="auto"/>
        <w:bottom w:val="none" w:sz="0" w:space="0" w:color="auto"/>
        <w:right w:val="none" w:sz="0" w:space="0" w:color="auto"/>
      </w:divBdr>
    </w:div>
    <w:div w:id="742992807">
      <w:bodyDiv w:val="1"/>
      <w:marLeft w:val="0"/>
      <w:marRight w:val="0"/>
      <w:marTop w:val="0"/>
      <w:marBottom w:val="0"/>
      <w:divBdr>
        <w:top w:val="none" w:sz="0" w:space="0" w:color="auto"/>
        <w:left w:val="none" w:sz="0" w:space="0" w:color="auto"/>
        <w:bottom w:val="none" w:sz="0" w:space="0" w:color="auto"/>
        <w:right w:val="none" w:sz="0" w:space="0" w:color="auto"/>
      </w:divBdr>
    </w:div>
    <w:div w:id="748426367">
      <w:bodyDiv w:val="1"/>
      <w:marLeft w:val="0"/>
      <w:marRight w:val="0"/>
      <w:marTop w:val="0"/>
      <w:marBottom w:val="0"/>
      <w:divBdr>
        <w:top w:val="none" w:sz="0" w:space="0" w:color="auto"/>
        <w:left w:val="none" w:sz="0" w:space="0" w:color="auto"/>
        <w:bottom w:val="none" w:sz="0" w:space="0" w:color="auto"/>
        <w:right w:val="none" w:sz="0" w:space="0" w:color="auto"/>
      </w:divBdr>
    </w:div>
    <w:div w:id="749352115">
      <w:bodyDiv w:val="1"/>
      <w:marLeft w:val="0"/>
      <w:marRight w:val="0"/>
      <w:marTop w:val="0"/>
      <w:marBottom w:val="0"/>
      <w:divBdr>
        <w:top w:val="none" w:sz="0" w:space="0" w:color="auto"/>
        <w:left w:val="none" w:sz="0" w:space="0" w:color="auto"/>
        <w:bottom w:val="none" w:sz="0" w:space="0" w:color="auto"/>
        <w:right w:val="none" w:sz="0" w:space="0" w:color="auto"/>
      </w:divBdr>
    </w:div>
    <w:div w:id="749501706">
      <w:bodyDiv w:val="1"/>
      <w:marLeft w:val="0"/>
      <w:marRight w:val="0"/>
      <w:marTop w:val="0"/>
      <w:marBottom w:val="0"/>
      <w:divBdr>
        <w:top w:val="none" w:sz="0" w:space="0" w:color="auto"/>
        <w:left w:val="none" w:sz="0" w:space="0" w:color="auto"/>
        <w:bottom w:val="none" w:sz="0" w:space="0" w:color="auto"/>
        <w:right w:val="none" w:sz="0" w:space="0" w:color="auto"/>
      </w:divBdr>
    </w:div>
    <w:div w:id="749735919">
      <w:bodyDiv w:val="1"/>
      <w:marLeft w:val="0"/>
      <w:marRight w:val="0"/>
      <w:marTop w:val="0"/>
      <w:marBottom w:val="0"/>
      <w:divBdr>
        <w:top w:val="none" w:sz="0" w:space="0" w:color="auto"/>
        <w:left w:val="none" w:sz="0" w:space="0" w:color="auto"/>
        <w:bottom w:val="none" w:sz="0" w:space="0" w:color="auto"/>
        <w:right w:val="none" w:sz="0" w:space="0" w:color="auto"/>
      </w:divBdr>
    </w:div>
    <w:div w:id="750126069">
      <w:bodyDiv w:val="1"/>
      <w:marLeft w:val="0"/>
      <w:marRight w:val="0"/>
      <w:marTop w:val="0"/>
      <w:marBottom w:val="0"/>
      <w:divBdr>
        <w:top w:val="none" w:sz="0" w:space="0" w:color="auto"/>
        <w:left w:val="none" w:sz="0" w:space="0" w:color="auto"/>
        <w:bottom w:val="none" w:sz="0" w:space="0" w:color="auto"/>
        <w:right w:val="none" w:sz="0" w:space="0" w:color="auto"/>
      </w:divBdr>
    </w:div>
    <w:div w:id="755832804">
      <w:bodyDiv w:val="1"/>
      <w:marLeft w:val="0"/>
      <w:marRight w:val="0"/>
      <w:marTop w:val="0"/>
      <w:marBottom w:val="0"/>
      <w:divBdr>
        <w:top w:val="none" w:sz="0" w:space="0" w:color="auto"/>
        <w:left w:val="none" w:sz="0" w:space="0" w:color="auto"/>
        <w:bottom w:val="none" w:sz="0" w:space="0" w:color="auto"/>
        <w:right w:val="none" w:sz="0" w:space="0" w:color="auto"/>
      </w:divBdr>
    </w:div>
    <w:div w:id="756024452">
      <w:bodyDiv w:val="1"/>
      <w:marLeft w:val="0"/>
      <w:marRight w:val="0"/>
      <w:marTop w:val="0"/>
      <w:marBottom w:val="0"/>
      <w:divBdr>
        <w:top w:val="none" w:sz="0" w:space="0" w:color="auto"/>
        <w:left w:val="none" w:sz="0" w:space="0" w:color="auto"/>
        <w:bottom w:val="none" w:sz="0" w:space="0" w:color="auto"/>
        <w:right w:val="none" w:sz="0" w:space="0" w:color="auto"/>
      </w:divBdr>
    </w:div>
    <w:div w:id="756750708">
      <w:bodyDiv w:val="1"/>
      <w:marLeft w:val="0"/>
      <w:marRight w:val="0"/>
      <w:marTop w:val="0"/>
      <w:marBottom w:val="0"/>
      <w:divBdr>
        <w:top w:val="none" w:sz="0" w:space="0" w:color="auto"/>
        <w:left w:val="none" w:sz="0" w:space="0" w:color="auto"/>
        <w:bottom w:val="none" w:sz="0" w:space="0" w:color="auto"/>
        <w:right w:val="none" w:sz="0" w:space="0" w:color="auto"/>
      </w:divBdr>
    </w:div>
    <w:div w:id="757212288">
      <w:bodyDiv w:val="1"/>
      <w:marLeft w:val="0"/>
      <w:marRight w:val="0"/>
      <w:marTop w:val="0"/>
      <w:marBottom w:val="0"/>
      <w:divBdr>
        <w:top w:val="none" w:sz="0" w:space="0" w:color="auto"/>
        <w:left w:val="none" w:sz="0" w:space="0" w:color="auto"/>
        <w:bottom w:val="none" w:sz="0" w:space="0" w:color="auto"/>
        <w:right w:val="none" w:sz="0" w:space="0" w:color="auto"/>
      </w:divBdr>
    </w:div>
    <w:div w:id="757336732">
      <w:bodyDiv w:val="1"/>
      <w:marLeft w:val="0"/>
      <w:marRight w:val="0"/>
      <w:marTop w:val="0"/>
      <w:marBottom w:val="0"/>
      <w:divBdr>
        <w:top w:val="none" w:sz="0" w:space="0" w:color="auto"/>
        <w:left w:val="none" w:sz="0" w:space="0" w:color="auto"/>
        <w:bottom w:val="none" w:sz="0" w:space="0" w:color="auto"/>
        <w:right w:val="none" w:sz="0" w:space="0" w:color="auto"/>
      </w:divBdr>
    </w:div>
    <w:div w:id="757411641">
      <w:bodyDiv w:val="1"/>
      <w:marLeft w:val="0"/>
      <w:marRight w:val="0"/>
      <w:marTop w:val="0"/>
      <w:marBottom w:val="0"/>
      <w:divBdr>
        <w:top w:val="none" w:sz="0" w:space="0" w:color="auto"/>
        <w:left w:val="none" w:sz="0" w:space="0" w:color="auto"/>
        <w:bottom w:val="none" w:sz="0" w:space="0" w:color="auto"/>
        <w:right w:val="none" w:sz="0" w:space="0" w:color="auto"/>
      </w:divBdr>
    </w:div>
    <w:div w:id="761337802">
      <w:bodyDiv w:val="1"/>
      <w:marLeft w:val="0"/>
      <w:marRight w:val="0"/>
      <w:marTop w:val="0"/>
      <w:marBottom w:val="0"/>
      <w:divBdr>
        <w:top w:val="none" w:sz="0" w:space="0" w:color="auto"/>
        <w:left w:val="none" w:sz="0" w:space="0" w:color="auto"/>
        <w:bottom w:val="none" w:sz="0" w:space="0" w:color="auto"/>
        <w:right w:val="none" w:sz="0" w:space="0" w:color="auto"/>
      </w:divBdr>
    </w:div>
    <w:div w:id="761800078">
      <w:bodyDiv w:val="1"/>
      <w:marLeft w:val="0"/>
      <w:marRight w:val="0"/>
      <w:marTop w:val="0"/>
      <w:marBottom w:val="0"/>
      <w:divBdr>
        <w:top w:val="none" w:sz="0" w:space="0" w:color="auto"/>
        <w:left w:val="none" w:sz="0" w:space="0" w:color="auto"/>
        <w:bottom w:val="none" w:sz="0" w:space="0" w:color="auto"/>
        <w:right w:val="none" w:sz="0" w:space="0" w:color="auto"/>
      </w:divBdr>
    </w:div>
    <w:div w:id="763847295">
      <w:bodyDiv w:val="1"/>
      <w:marLeft w:val="0"/>
      <w:marRight w:val="0"/>
      <w:marTop w:val="0"/>
      <w:marBottom w:val="0"/>
      <w:divBdr>
        <w:top w:val="none" w:sz="0" w:space="0" w:color="auto"/>
        <w:left w:val="none" w:sz="0" w:space="0" w:color="auto"/>
        <w:bottom w:val="none" w:sz="0" w:space="0" w:color="auto"/>
        <w:right w:val="none" w:sz="0" w:space="0" w:color="auto"/>
      </w:divBdr>
    </w:div>
    <w:div w:id="771517094">
      <w:bodyDiv w:val="1"/>
      <w:marLeft w:val="0"/>
      <w:marRight w:val="0"/>
      <w:marTop w:val="0"/>
      <w:marBottom w:val="0"/>
      <w:divBdr>
        <w:top w:val="none" w:sz="0" w:space="0" w:color="auto"/>
        <w:left w:val="none" w:sz="0" w:space="0" w:color="auto"/>
        <w:bottom w:val="none" w:sz="0" w:space="0" w:color="auto"/>
        <w:right w:val="none" w:sz="0" w:space="0" w:color="auto"/>
      </w:divBdr>
    </w:div>
    <w:div w:id="773941371">
      <w:bodyDiv w:val="1"/>
      <w:marLeft w:val="0"/>
      <w:marRight w:val="0"/>
      <w:marTop w:val="0"/>
      <w:marBottom w:val="0"/>
      <w:divBdr>
        <w:top w:val="none" w:sz="0" w:space="0" w:color="auto"/>
        <w:left w:val="none" w:sz="0" w:space="0" w:color="auto"/>
        <w:bottom w:val="none" w:sz="0" w:space="0" w:color="auto"/>
        <w:right w:val="none" w:sz="0" w:space="0" w:color="auto"/>
      </w:divBdr>
    </w:div>
    <w:div w:id="774012856">
      <w:bodyDiv w:val="1"/>
      <w:marLeft w:val="0"/>
      <w:marRight w:val="0"/>
      <w:marTop w:val="0"/>
      <w:marBottom w:val="0"/>
      <w:divBdr>
        <w:top w:val="none" w:sz="0" w:space="0" w:color="auto"/>
        <w:left w:val="none" w:sz="0" w:space="0" w:color="auto"/>
        <w:bottom w:val="none" w:sz="0" w:space="0" w:color="auto"/>
        <w:right w:val="none" w:sz="0" w:space="0" w:color="auto"/>
      </w:divBdr>
    </w:div>
    <w:div w:id="774250738">
      <w:bodyDiv w:val="1"/>
      <w:marLeft w:val="0"/>
      <w:marRight w:val="0"/>
      <w:marTop w:val="0"/>
      <w:marBottom w:val="0"/>
      <w:divBdr>
        <w:top w:val="none" w:sz="0" w:space="0" w:color="auto"/>
        <w:left w:val="none" w:sz="0" w:space="0" w:color="auto"/>
        <w:bottom w:val="none" w:sz="0" w:space="0" w:color="auto"/>
        <w:right w:val="none" w:sz="0" w:space="0" w:color="auto"/>
      </w:divBdr>
    </w:div>
    <w:div w:id="775632934">
      <w:bodyDiv w:val="1"/>
      <w:marLeft w:val="0"/>
      <w:marRight w:val="0"/>
      <w:marTop w:val="0"/>
      <w:marBottom w:val="0"/>
      <w:divBdr>
        <w:top w:val="none" w:sz="0" w:space="0" w:color="auto"/>
        <w:left w:val="none" w:sz="0" w:space="0" w:color="auto"/>
        <w:bottom w:val="none" w:sz="0" w:space="0" w:color="auto"/>
        <w:right w:val="none" w:sz="0" w:space="0" w:color="auto"/>
      </w:divBdr>
    </w:div>
    <w:div w:id="776869846">
      <w:bodyDiv w:val="1"/>
      <w:marLeft w:val="0"/>
      <w:marRight w:val="0"/>
      <w:marTop w:val="0"/>
      <w:marBottom w:val="0"/>
      <w:divBdr>
        <w:top w:val="none" w:sz="0" w:space="0" w:color="auto"/>
        <w:left w:val="none" w:sz="0" w:space="0" w:color="auto"/>
        <w:bottom w:val="none" w:sz="0" w:space="0" w:color="auto"/>
        <w:right w:val="none" w:sz="0" w:space="0" w:color="auto"/>
      </w:divBdr>
    </w:div>
    <w:div w:id="781727060">
      <w:bodyDiv w:val="1"/>
      <w:marLeft w:val="0"/>
      <w:marRight w:val="0"/>
      <w:marTop w:val="0"/>
      <w:marBottom w:val="0"/>
      <w:divBdr>
        <w:top w:val="none" w:sz="0" w:space="0" w:color="auto"/>
        <w:left w:val="none" w:sz="0" w:space="0" w:color="auto"/>
        <w:bottom w:val="none" w:sz="0" w:space="0" w:color="auto"/>
        <w:right w:val="none" w:sz="0" w:space="0" w:color="auto"/>
      </w:divBdr>
    </w:div>
    <w:div w:id="787623773">
      <w:bodyDiv w:val="1"/>
      <w:marLeft w:val="0"/>
      <w:marRight w:val="0"/>
      <w:marTop w:val="0"/>
      <w:marBottom w:val="0"/>
      <w:divBdr>
        <w:top w:val="none" w:sz="0" w:space="0" w:color="auto"/>
        <w:left w:val="none" w:sz="0" w:space="0" w:color="auto"/>
        <w:bottom w:val="none" w:sz="0" w:space="0" w:color="auto"/>
        <w:right w:val="none" w:sz="0" w:space="0" w:color="auto"/>
      </w:divBdr>
    </w:div>
    <w:div w:id="788666252">
      <w:bodyDiv w:val="1"/>
      <w:marLeft w:val="0"/>
      <w:marRight w:val="0"/>
      <w:marTop w:val="0"/>
      <w:marBottom w:val="0"/>
      <w:divBdr>
        <w:top w:val="none" w:sz="0" w:space="0" w:color="auto"/>
        <w:left w:val="none" w:sz="0" w:space="0" w:color="auto"/>
        <w:bottom w:val="none" w:sz="0" w:space="0" w:color="auto"/>
        <w:right w:val="none" w:sz="0" w:space="0" w:color="auto"/>
      </w:divBdr>
    </w:div>
    <w:div w:id="791290279">
      <w:bodyDiv w:val="1"/>
      <w:marLeft w:val="0"/>
      <w:marRight w:val="0"/>
      <w:marTop w:val="0"/>
      <w:marBottom w:val="0"/>
      <w:divBdr>
        <w:top w:val="none" w:sz="0" w:space="0" w:color="auto"/>
        <w:left w:val="none" w:sz="0" w:space="0" w:color="auto"/>
        <w:bottom w:val="none" w:sz="0" w:space="0" w:color="auto"/>
        <w:right w:val="none" w:sz="0" w:space="0" w:color="auto"/>
      </w:divBdr>
    </w:div>
    <w:div w:id="798374789">
      <w:bodyDiv w:val="1"/>
      <w:marLeft w:val="0"/>
      <w:marRight w:val="0"/>
      <w:marTop w:val="0"/>
      <w:marBottom w:val="0"/>
      <w:divBdr>
        <w:top w:val="none" w:sz="0" w:space="0" w:color="auto"/>
        <w:left w:val="none" w:sz="0" w:space="0" w:color="auto"/>
        <w:bottom w:val="none" w:sz="0" w:space="0" w:color="auto"/>
        <w:right w:val="none" w:sz="0" w:space="0" w:color="auto"/>
      </w:divBdr>
    </w:div>
    <w:div w:id="799611514">
      <w:bodyDiv w:val="1"/>
      <w:marLeft w:val="0"/>
      <w:marRight w:val="0"/>
      <w:marTop w:val="0"/>
      <w:marBottom w:val="0"/>
      <w:divBdr>
        <w:top w:val="none" w:sz="0" w:space="0" w:color="auto"/>
        <w:left w:val="none" w:sz="0" w:space="0" w:color="auto"/>
        <w:bottom w:val="none" w:sz="0" w:space="0" w:color="auto"/>
        <w:right w:val="none" w:sz="0" w:space="0" w:color="auto"/>
      </w:divBdr>
    </w:div>
    <w:div w:id="805128648">
      <w:bodyDiv w:val="1"/>
      <w:marLeft w:val="0"/>
      <w:marRight w:val="0"/>
      <w:marTop w:val="0"/>
      <w:marBottom w:val="0"/>
      <w:divBdr>
        <w:top w:val="none" w:sz="0" w:space="0" w:color="auto"/>
        <w:left w:val="none" w:sz="0" w:space="0" w:color="auto"/>
        <w:bottom w:val="none" w:sz="0" w:space="0" w:color="auto"/>
        <w:right w:val="none" w:sz="0" w:space="0" w:color="auto"/>
      </w:divBdr>
    </w:div>
    <w:div w:id="806093823">
      <w:bodyDiv w:val="1"/>
      <w:marLeft w:val="0"/>
      <w:marRight w:val="0"/>
      <w:marTop w:val="0"/>
      <w:marBottom w:val="0"/>
      <w:divBdr>
        <w:top w:val="none" w:sz="0" w:space="0" w:color="auto"/>
        <w:left w:val="none" w:sz="0" w:space="0" w:color="auto"/>
        <w:bottom w:val="none" w:sz="0" w:space="0" w:color="auto"/>
        <w:right w:val="none" w:sz="0" w:space="0" w:color="auto"/>
      </w:divBdr>
    </w:div>
    <w:div w:id="807743348">
      <w:bodyDiv w:val="1"/>
      <w:marLeft w:val="0"/>
      <w:marRight w:val="0"/>
      <w:marTop w:val="0"/>
      <w:marBottom w:val="0"/>
      <w:divBdr>
        <w:top w:val="none" w:sz="0" w:space="0" w:color="auto"/>
        <w:left w:val="none" w:sz="0" w:space="0" w:color="auto"/>
        <w:bottom w:val="none" w:sz="0" w:space="0" w:color="auto"/>
        <w:right w:val="none" w:sz="0" w:space="0" w:color="auto"/>
      </w:divBdr>
    </w:div>
    <w:div w:id="807817142">
      <w:bodyDiv w:val="1"/>
      <w:marLeft w:val="0"/>
      <w:marRight w:val="0"/>
      <w:marTop w:val="0"/>
      <w:marBottom w:val="0"/>
      <w:divBdr>
        <w:top w:val="none" w:sz="0" w:space="0" w:color="auto"/>
        <w:left w:val="none" w:sz="0" w:space="0" w:color="auto"/>
        <w:bottom w:val="none" w:sz="0" w:space="0" w:color="auto"/>
        <w:right w:val="none" w:sz="0" w:space="0" w:color="auto"/>
      </w:divBdr>
    </w:div>
    <w:div w:id="807893242">
      <w:bodyDiv w:val="1"/>
      <w:marLeft w:val="0"/>
      <w:marRight w:val="0"/>
      <w:marTop w:val="0"/>
      <w:marBottom w:val="0"/>
      <w:divBdr>
        <w:top w:val="none" w:sz="0" w:space="0" w:color="auto"/>
        <w:left w:val="none" w:sz="0" w:space="0" w:color="auto"/>
        <w:bottom w:val="none" w:sz="0" w:space="0" w:color="auto"/>
        <w:right w:val="none" w:sz="0" w:space="0" w:color="auto"/>
      </w:divBdr>
    </w:div>
    <w:div w:id="809598287">
      <w:bodyDiv w:val="1"/>
      <w:marLeft w:val="0"/>
      <w:marRight w:val="0"/>
      <w:marTop w:val="0"/>
      <w:marBottom w:val="0"/>
      <w:divBdr>
        <w:top w:val="none" w:sz="0" w:space="0" w:color="auto"/>
        <w:left w:val="none" w:sz="0" w:space="0" w:color="auto"/>
        <w:bottom w:val="none" w:sz="0" w:space="0" w:color="auto"/>
        <w:right w:val="none" w:sz="0" w:space="0" w:color="auto"/>
      </w:divBdr>
    </w:div>
    <w:div w:id="813643601">
      <w:bodyDiv w:val="1"/>
      <w:marLeft w:val="0"/>
      <w:marRight w:val="0"/>
      <w:marTop w:val="0"/>
      <w:marBottom w:val="0"/>
      <w:divBdr>
        <w:top w:val="none" w:sz="0" w:space="0" w:color="auto"/>
        <w:left w:val="none" w:sz="0" w:space="0" w:color="auto"/>
        <w:bottom w:val="none" w:sz="0" w:space="0" w:color="auto"/>
        <w:right w:val="none" w:sz="0" w:space="0" w:color="auto"/>
      </w:divBdr>
    </w:div>
    <w:div w:id="814220969">
      <w:bodyDiv w:val="1"/>
      <w:marLeft w:val="0"/>
      <w:marRight w:val="0"/>
      <w:marTop w:val="0"/>
      <w:marBottom w:val="0"/>
      <w:divBdr>
        <w:top w:val="none" w:sz="0" w:space="0" w:color="auto"/>
        <w:left w:val="none" w:sz="0" w:space="0" w:color="auto"/>
        <w:bottom w:val="none" w:sz="0" w:space="0" w:color="auto"/>
        <w:right w:val="none" w:sz="0" w:space="0" w:color="auto"/>
      </w:divBdr>
    </w:div>
    <w:div w:id="814299255">
      <w:bodyDiv w:val="1"/>
      <w:marLeft w:val="0"/>
      <w:marRight w:val="0"/>
      <w:marTop w:val="0"/>
      <w:marBottom w:val="0"/>
      <w:divBdr>
        <w:top w:val="none" w:sz="0" w:space="0" w:color="auto"/>
        <w:left w:val="none" w:sz="0" w:space="0" w:color="auto"/>
        <w:bottom w:val="none" w:sz="0" w:space="0" w:color="auto"/>
        <w:right w:val="none" w:sz="0" w:space="0" w:color="auto"/>
      </w:divBdr>
    </w:div>
    <w:div w:id="814835988">
      <w:bodyDiv w:val="1"/>
      <w:marLeft w:val="0"/>
      <w:marRight w:val="0"/>
      <w:marTop w:val="0"/>
      <w:marBottom w:val="0"/>
      <w:divBdr>
        <w:top w:val="none" w:sz="0" w:space="0" w:color="auto"/>
        <w:left w:val="none" w:sz="0" w:space="0" w:color="auto"/>
        <w:bottom w:val="none" w:sz="0" w:space="0" w:color="auto"/>
        <w:right w:val="none" w:sz="0" w:space="0" w:color="auto"/>
      </w:divBdr>
    </w:div>
    <w:div w:id="815679477">
      <w:bodyDiv w:val="1"/>
      <w:marLeft w:val="0"/>
      <w:marRight w:val="0"/>
      <w:marTop w:val="0"/>
      <w:marBottom w:val="0"/>
      <w:divBdr>
        <w:top w:val="none" w:sz="0" w:space="0" w:color="auto"/>
        <w:left w:val="none" w:sz="0" w:space="0" w:color="auto"/>
        <w:bottom w:val="none" w:sz="0" w:space="0" w:color="auto"/>
        <w:right w:val="none" w:sz="0" w:space="0" w:color="auto"/>
      </w:divBdr>
    </w:div>
    <w:div w:id="816536664">
      <w:bodyDiv w:val="1"/>
      <w:marLeft w:val="0"/>
      <w:marRight w:val="0"/>
      <w:marTop w:val="0"/>
      <w:marBottom w:val="0"/>
      <w:divBdr>
        <w:top w:val="none" w:sz="0" w:space="0" w:color="auto"/>
        <w:left w:val="none" w:sz="0" w:space="0" w:color="auto"/>
        <w:bottom w:val="none" w:sz="0" w:space="0" w:color="auto"/>
        <w:right w:val="none" w:sz="0" w:space="0" w:color="auto"/>
      </w:divBdr>
    </w:div>
    <w:div w:id="816798094">
      <w:bodyDiv w:val="1"/>
      <w:marLeft w:val="0"/>
      <w:marRight w:val="0"/>
      <w:marTop w:val="0"/>
      <w:marBottom w:val="0"/>
      <w:divBdr>
        <w:top w:val="none" w:sz="0" w:space="0" w:color="auto"/>
        <w:left w:val="none" w:sz="0" w:space="0" w:color="auto"/>
        <w:bottom w:val="none" w:sz="0" w:space="0" w:color="auto"/>
        <w:right w:val="none" w:sz="0" w:space="0" w:color="auto"/>
      </w:divBdr>
    </w:div>
    <w:div w:id="818233692">
      <w:bodyDiv w:val="1"/>
      <w:marLeft w:val="0"/>
      <w:marRight w:val="0"/>
      <w:marTop w:val="0"/>
      <w:marBottom w:val="0"/>
      <w:divBdr>
        <w:top w:val="none" w:sz="0" w:space="0" w:color="auto"/>
        <w:left w:val="none" w:sz="0" w:space="0" w:color="auto"/>
        <w:bottom w:val="none" w:sz="0" w:space="0" w:color="auto"/>
        <w:right w:val="none" w:sz="0" w:space="0" w:color="auto"/>
      </w:divBdr>
    </w:div>
    <w:div w:id="824666177">
      <w:bodyDiv w:val="1"/>
      <w:marLeft w:val="0"/>
      <w:marRight w:val="0"/>
      <w:marTop w:val="0"/>
      <w:marBottom w:val="0"/>
      <w:divBdr>
        <w:top w:val="none" w:sz="0" w:space="0" w:color="auto"/>
        <w:left w:val="none" w:sz="0" w:space="0" w:color="auto"/>
        <w:bottom w:val="none" w:sz="0" w:space="0" w:color="auto"/>
        <w:right w:val="none" w:sz="0" w:space="0" w:color="auto"/>
      </w:divBdr>
    </w:div>
    <w:div w:id="825824335">
      <w:bodyDiv w:val="1"/>
      <w:marLeft w:val="0"/>
      <w:marRight w:val="0"/>
      <w:marTop w:val="0"/>
      <w:marBottom w:val="0"/>
      <w:divBdr>
        <w:top w:val="none" w:sz="0" w:space="0" w:color="auto"/>
        <w:left w:val="none" w:sz="0" w:space="0" w:color="auto"/>
        <w:bottom w:val="none" w:sz="0" w:space="0" w:color="auto"/>
        <w:right w:val="none" w:sz="0" w:space="0" w:color="auto"/>
      </w:divBdr>
    </w:div>
    <w:div w:id="828398861">
      <w:bodyDiv w:val="1"/>
      <w:marLeft w:val="0"/>
      <w:marRight w:val="0"/>
      <w:marTop w:val="0"/>
      <w:marBottom w:val="0"/>
      <w:divBdr>
        <w:top w:val="none" w:sz="0" w:space="0" w:color="auto"/>
        <w:left w:val="none" w:sz="0" w:space="0" w:color="auto"/>
        <w:bottom w:val="none" w:sz="0" w:space="0" w:color="auto"/>
        <w:right w:val="none" w:sz="0" w:space="0" w:color="auto"/>
      </w:divBdr>
    </w:div>
    <w:div w:id="831215061">
      <w:bodyDiv w:val="1"/>
      <w:marLeft w:val="0"/>
      <w:marRight w:val="0"/>
      <w:marTop w:val="0"/>
      <w:marBottom w:val="0"/>
      <w:divBdr>
        <w:top w:val="none" w:sz="0" w:space="0" w:color="auto"/>
        <w:left w:val="none" w:sz="0" w:space="0" w:color="auto"/>
        <w:bottom w:val="none" w:sz="0" w:space="0" w:color="auto"/>
        <w:right w:val="none" w:sz="0" w:space="0" w:color="auto"/>
      </w:divBdr>
    </w:div>
    <w:div w:id="832644078">
      <w:bodyDiv w:val="1"/>
      <w:marLeft w:val="0"/>
      <w:marRight w:val="0"/>
      <w:marTop w:val="0"/>
      <w:marBottom w:val="0"/>
      <w:divBdr>
        <w:top w:val="none" w:sz="0" w:space="0" w:color="auto"/>
        <w:left w:val="none" w:sz="0" w:space="0" w:color="auto"/>
        <w:bottom w:val="none" w:sz="0" w:space="0" w:color="auto"/>
        <w:right w:val="none" w:sz="0" w:space="0" w:color="auto"/>
      </w:divBdr>
    </w:div>
    <w:div w:id="834416905">
      <w:bodyDiv w:val="1"/>
      <w:marLeft w:val="0"/>
      <w:marRight w:val="0"/>
      <w:marTop w:val="0"/>
      <w:marBottom w:val="0"/>
      <w:divBdr>
        <w:top w:val="none" w:sz="0" w:space="0" w:color="auto"/>
        <w:left w:val="none" w:sz="0" w:space="0" w:color="auto"/>
        <w:bottom w:val="none" w:sz="0" w:space="0" w:color="auto"/>
        <w:right w:val="none" w:sz="0" w:space="0" w:color="auto"/>
      </w:divBdr>
    </w:div>
    <w:div w:id="839075763">
      <w:bodyDiv w:val="1"/>
      <w:marLeft w:val="0"/>
      <w:marRight w:val="0"/>
      <w:marTop w:val="0"/>
      <w:marBottom w:val="0"/>
      <w:divBdr>
        <w:top w:val="none" w:sz="0" w:space="0" w:color="auto"/>
        <w:left w:val="none" w:sz="0" w:space="0" w:color="auto"/>
        <w:bottom w:val="none" w:sz="0" w:space="0" w:color="auto"/>
        <w:right w:val="none" w:sz="0" w:space="0" w:color="auto"/>
      </w:divBdr>
    </w:div>
    <w:div w:id="839661775">
      <w:bodyDiv w:val="1"/>
      <w:marLeft w:val="0"/>
      <w:marRight w:val="0"/>
      <w:marTop w:val="0"/>
      <w:marBottom w:val="0"/>
      <w:divBdr>
        <w:top w:val="none" w:sz="0" w:space="0" w:color="auto"/>
        <w:left w:val="none" w:sz="0" w:space="0" w:color="auto"/>
        <w:bottom w:val="none" w:sz="0" w:space="0" w:color="auto"/>
        <w:right w:val="none" w:sz="0" w:space="0" w:color="auto"/>
      </w:divBdr>
    </w:div>
    <w:div w:id="839732462">
      <w:bodyDiv w:val="1"/>
      <w:marLeft w:val="0"/>
      <w:marRight w:val="0"/>
      <w:marTop w:val="0"/>
      <w:marBottom w:val="0"/>
      <w:divBdr>
        <w:top w:val="none" w:sz="0" w:space="0" w:color="auto"/>
        <w:left w:val="none" w:sz="0" w:space="0" w:color="auto"/>
        <w:bottom w:val="none" w:sz="0" w:space="0" w:color="auto"/>
        <w:right w:val="none" w:sz="0" w:space="0" w:color="auto"/>
      </w:divBdr>
    </w:div>
    <w:div w:id="840199314">
      <w:bodyDiv w:val="1"/>
      <w:marLeft w:val="0"/>
      <w:marRight w:val="0"/>
      <w:marTop w:val="0"/>
      <w:marBottom w:val="0"/>
      <w:divBdr>
        <w:top w:val="none" w:sz="0" w:space="0" w:color="auto"/>
        <w:left w:val="none" w:sz="0" w:space="0" w:color="auto"/>
        <w:bottom w:val="none" w:sz="0" w:space="0" w:color="auto"/>
        <w:right w:val="none" w:sz="0" w:space="0" w:color="auto"/>
      </w:divBdr>
    </w:div>
    <w:div w:id="840581200">
      <w:bodyDiv w:val="1"/>
      <w:marLeft w:val="0"/>
      <w:marRight w:val="0"/>
      <w:marTop w:val="0"/>
      <w:marBottom w:val="0"/>
      <w:divBdr>
        <w:top w:val="none" w:sz="0" w:space="0" w:color="auto"/>
        <w:left w:val="none" w:sz="0" w:space="0" w:color="auto"/>
        <w:bottom w:val="none" w:sz="0" w:space="0" w:color="auto"/>
        <w:right w:val="none" w:sz="0" w:space="0" w:color="auto"/>
      </w:divBdr>
    </w:div>
    <w:div w:id="841704996">
      <w:bodyDiv w:val="1"/>
      <w:marLeft w:val="0"/>
      <w:marRight w:val="0"/>
      <w:marTop w:val="0"/>
      <w:marBottom w:val="0"/>
      <w:divBdr>
        <w:top w:val="none" w:sz="0" w:space="0" w:color="auto"/>
        <w:left w:val="none" w:sz="0" w:space="0" w:color="auto"/>
        <w:bottom w:val="none" w:sz="0" w:space="0" w:color="auto"/>
        <w:right w:val="none" w:sz="0" w:space="0" w:color="auto"/>
      </w:divBdr>
    </w:div>
    <w:div w:id="844200500">
      <w:bodyDiv w:val="1"/>
      <w:marLeft w:val="0"/>
      <w:marRight w:val="0"/>
      <w:marTop w:val="0"/>
      <w:marBottom w:val="0"/>
      <w:divBdr>
        <w:top w:val="none" w:sz="0" w:space="0" w:color="auto"/>
        <w:left w:val="none" w:sz="0" w:space="0" w:color="auto"/>
        <w:bottom w:val="none" w:sz="0" w:space="0" w:color="auto"/>
        <w:right w:val="none" w:sz="0" w:space="0" w:color="auto"/>
      </w:divBdr>
    </w:div>
    <w:div w:id="846024003">
      <w:bodyDiv w:val="1"/>
      <w:marLeft w:val="0"/>
      <w:marRight w:val="0"/>
      <w:marTop w:val="0"/>
      <w:marBottom w:val="0"/>
      <w:divBdr>
        <w:top w:val="none" w:sz="0" w:space="0" w:color="auto"/>
        <w:left w:val="none" w:sz="0" w:space="0" w:color="auto"/>
        <w:bottom w:val="none" w:sz="0" w:space="0" w:color="auto"/>
        <w:right w:val="none" w:sz="0" w:space="0" w:color="auto"/>
      </w:divBdr>
    </w:div>
    <w:div w:id="847137060">
      <w:bodyDiv w:val="1"/>
      <w:marLeft w:val="0"/>
      <w:marRight w:val="0"/>
      <w:marTop w:val="0"/>
      <w:marBottom w:val="0"/>
      <w:divBdr>
        <w:top w:val="none" w:sz="0" w:space="0" w:color="auto"/>
        <w:left w:val="none" w:sz="0" w:space="0" w:color="auto"/>
        <w:bottom w:val="none" w:sz="0" w:space="0" w:color="auto"/>
        <w:right w:val="none" w:sz="0" w:space="0" w:color="auto"/>
      </w:divBdr>
    </w:div>
    <w:div w:id="847252667">
      <w:bodyDiv w:val="1"/>
      <w:marLeft w:val="0"/>
      <w:marRight w:val="0"/>
      <w:marTop w:val="0"/>
      <w:marBottom w:val="0"/>
      <w:divBdr>
        <w:top w:val="none" w:sz="0" w:space="0" w:color="auto"/>
        <w:left w:val="none" w:sz="0" w:space="0" w:color="auto"/>
        <w:bottom w:val="none" w:sz="0" w:space="0" w:color="auto"/>
        <w:right w:val="none" w:sz="0" w:space="0" w:color="auto"/>
      </w:divBdr>
      <w:divsChild>
        <w:div w:id="1981886592">
          <w:marLeft w:val="547"/>
          <w:marRight w:val="0"/>
          <w:marTop w:val="0"/>
          <w:marBottom w:val="0"/>
          <w:divBdr>
            <w:top w:val="none" w:sz="0" w:space="0" w:color="auto"/>
            <w:left w:val="none" w:sz="0" w:space="0" w:color="auto"/>
            <w:bottom w:val="none" w:sz="0" w:space="0" w:color="auto"/>
            <w:right w:val="none" w:sz="0" w:space="0" w:color="auto"/>
          </w:divBdr>
        </w:div>
      </w:divsChild>
    </w:div>
    <w:div w:id="850880207">
      <w:bodyDiv w:val="1"/>
      <w:marLeft w:val="0"/>
      <w:marRight w:val="0"/>
      <w:marTop w:val="0"/>
      <w:marBottom w:val="0"/>
      <w:divBdr>
        <w:top w:val="none" w:sz="0" w:space="0" w:color="auto"/>
        <w:left w:val="none" w:sz="0" w:space="0" w:color="auto"/>
        <w:bottom w:val="none" w:sz="0" w:space="0" w:color="auto"/>
        <w:right w:val="none" w:sz="0" w:space="0" w:color="auto"/>
      </w:divBdr>
    </w:div>
    <w:div w:id="851145591">
      <w:bodyDiv w:val="1"/>
      <w:marLeft w:val="0"/>
      <w:marRight w:val="0"/>
      <w:marTop w:val="0"/>
      <w:marBottom w:val="0"/>
      <w:divBdr>
        <w:top w:val="none" w:sz="0" w:space="0" w:color="auto"/>
        <w:left w:val="none" w:sz="0" w:space="0" w:color="auto"/>
        <w:bottom w:val="none" w:sz="0" w:space="0" w:color="auto"/>
        <w:right w:val="none" w:sz="0" w:space="0" w:color="auto"/>
      </w:divBdr>
    </w:div>
    <w:div w:id="851191497">
      <w:bodyDiv w:val="1"/>
      <w:marLeft w:val="0"/>
      <w:marRight w:val="0"/>
      <w:marTop w:val="0"/>
      <w:marBottom w:val="0"/>
      <w:divBdr>
        <w:top w:val="none" w:sz="0" w:space="0" w:color="auto"/>
        <w:left w:val="none" w:sz="0" w:space="0" w:color="auto"/>
        <w:bottom w:val="none" w:sz="0" w:space="0" w:color="auto"/>
        <w:right w:val="none" w:sz="0" w:space="0" w:color="auto"/>
      </w:divBdr>
    </w:div>
    <w:div w:id="854222859">
      <w:bodyDiv w:val="1"/>
      <w:marLeft w:val="0"/>
      <w:marRight w:val="0"/>
      <w:marTop w:val="0"/>
      <w:marBottom w:val="0"/>
      <w:divBdr>
        <w:top w:val="none" w:sz="0" w:space="0" w:color="auto"/>
        <w:left w:val="none" w:sz="0" w:space="0" w:color="auto"/>
        <w:bottom w:val="none" w:sz="0" w:space="0" w:color="auto"/>
        <w:right w:val="none" w:sz="0" w:space="0" w:color="auto"/>
      </w:divBdr>
    </w:div>
    <w:div w:id="854541871">
      <w:bodyDiv w:val="1"/>
      <w:marLeft w:val="0"/>
      <w:marRight w:val="0"/>
      <w:marTop w:val="0"/>
      <w:marBottom w:val="0"/>
      <w:divBdr>
        <w:top w:val="none" w:sz="0" w:space="0" w:color="auto"/>
        <w:left w:val="none" w:sz="0" w:space="0" w:color="auto"/>
        <w:bottom w:val="none" w:sz="0" w:space="0" w:color="auto"/>
        <w:right w:val="none" w:sz="0" w:space="0" w:color="auto"/>
      </w:divBdr>
    </w:div>
    <w:div w:id="855458520">
      <w:bodyDiv w:val="1"/>
      <w:marLeft w:val="0"/>
      <w:marRight w:val="0"/>
      <w:marTop w:val="0"/>
      <w:marBottom w:val="0"/>
      <w:divBdr>
        <w:top w:val="none" w:sz="0" w:space="0" w:color="auto"/>
        <w:left w:val="none" w:sz="0" w:space="0" w:color="auto"/>
        <w:bottom w:val="none" w:sz="0" w:space="0" w:color="auto"/>
        <w:right w:val="none" w:sz="0" w:space="0" w:color="auto"/>
      </w:divBdr>
    </w:div>
    <w:div w:id="856848316">
      <w:bodyDiv w:val="1"/>
      <w:marLeft w:val="0"/>
      <w:marRight w:val="0"/>
      <w:marTop w:val="0"/>
      <w:marBottom w:val="0"/>
      <w:divBdr>
        <w:top w:val="none" w:sz="0" w:space="0" w:color="auto"/>
        <w:left w:val="none" w:sz="0" w:space="0" w:color="auto"/>
        <w:bottom w:val="none" w:sz="0" w:space="0" w:color="auto"/>
        <w:right w:val="none" w:sz="0" w:space="0" w:color="auto"/>
      </w:divBdr>
    </w:div>
    <w:div w:id="859203927">
      <w:bodyDiv w:val="1"/>
      <w:marLeft w:val="0"/>
      <w:marRight w:val="0"/>
      <w:marTop w:val="0"/>
      <w:marBottom w:val="0"/>
      <w:divBdr>
        <w:top w:val="none" w:sz="0" w:space="0" w:color="auto"/>
        <w:left w:val="none" w:sz="0" w:space="0" w:color="auto"/>
        <w:bottom w:val="none" w:sz="0" w:space="0" w:color="auto"/>
        <w:right w:val="none" w:sz="0" w:space="0" w:color="auto"/>
      </w:divBdr>
    </w:div>
    <w:div w:id="860557650">
      <w:bodyDiv w:val="1"/>
      <w:marLeft w:val="0"/>
      <w:marRight w:val="0"/>
      <w:marTop w:val="0"/>
      <w:marBottom w:val="0"/>
      <w:divBdr>
        <w:top w:val="none" w:sz="0" w:space="0" w:color="auto"/>
        <w:left w:val="none" w:sz="0" w:space="0" w:color="auto"/>
        <w:bottom w:val="none" w:sz="0" w:space="0" w:color="auto"/>
        <w:right w:val="none" w:sz="0" w:space="0" w:color="auto"/>
      </w:divBdr>
    </w:div>
    <w:div w:id="862206787">
      <w:bodyDiv w:val="1"/>
      <w:marLeft w:val="0"/>
      <w:marRight w:val="0"/>
      <w:marTop w:val="0"/>
      <w:marBottom w:val="0"/>
      <w:divBdr>
        <w:top w:val="none" w:sz="0" w:space="0" w:color="auto"/>
        <w:left w:val="none" w:sz="0" w:space="0" w:color="auto"/>
        <w:bottom w:val="none" w:sz="0" w:space="0" w:color="auto"/>
        <w:right w:val="none" w:sz="0" w:space="0" w:color="auto"/>
      </w:divBdr>
    </w:div>
    <w:div w:id="862283455">
      <w:bodyDiv w:val="1"/>
      <w:marLeft w:val="0"/>
      <w:marRight w:val="0"/>
      <w:marTop w:val="0"/>
      <w:marBottom w:val="0"/>
      <w:divBdr>
        <w:top w:val="none" w:sz="0" w:space="0" w:color="auto"/>
        <w:left w:val="none" w:sz="0" w:space="0" w:color="auto"/>
        <w:bottom w:val="none" w:sz="0" w:space="0" w:color="auto"/>
        <w:right w:val="none" w:sz="0" w:space="0" w:color="auto"/>
      </w:divBdr>
    </w:div>
    <w:div w:id="869105591">
      <w:bodyDiv w:val="1"/>
      <w:marLeft w:val="0"/>
      <w:marRight w:val="0"/>
      <w:marTop w:val="0"/>
      <w:marBottom w:val="0"/>
      <w:divBdr>
        <w:top w:val="none" w:sz="0" w:space="0" w:color="auto"/>
        <w:left w:val="none" w:sz="0" w:space="0" w:color="auto"/>
        <w:bottom w:val="none" w:sz="0" w:space="0" w:color="auto"/>
        <w:right w:val="none" w:sz="0" w:space="0" w:color="auto"/>
      </w:divBdr>
    </w:div>
    <w:div w:id="869728940">
      <w:bodyDiv w:val="1"/>
      <w:marLeft w:val="0"/>
      <w:marRight w:val="0"/>
      <w:marTop w:val="0"/>
      <w:marBottom w:val="0"/>
      <w:divBdr>
        <w:top w:val="none" w:sz="0" w:space="0" w:color="auto"/>
        <w:left w:val="none" w:sz="0" w:space="0" w:color="auto"/>
        <w:bottom w:val="none" w:sz="0" w:space="0" w:color="auto"/>
        <w:right w:val="none" w:sz="0" w:space="0" w:color="auto"/>
      </w:divBdr>
    </w:div>
    <w:div w:id="870607800">
      <w:bodyDiv w:val="1"/>
      <w:marLeft w:val="0"/>
      <w:marRight w:val="0"/>
      <w:marTop w:val="0"/>
      <w:marBottom w:val="0"/>
      <w:divBdr>
        <w:top w:val="none" w:sz="0" w:space="0" w:color="auto"/>
        <w:left w:val="none" w:sz="0" w:space="0" w:color="auto"/>
        <w:bottom w:val="none" w:sz="0" w:space="0" w:color="auto"/>
        <w:right w:val="none" w:sz="0" w:space="0" w:color="auto"/>
      </w:divBdr>
    </w:div>
    <w:div w:id="875309559">
      <w:bodyDiv w:val="1"/>
      <w:marLeft w:val="0"/>
      <w:marRight w:val="0"/>
      <w:marTop w:val="0"/>
      <w:marBottom w:val="0"/>
      <w:divBdr>
        <w:top w:val="none" w:sz="0" w:space="0" w:color="auto"/>
        <w:left w:val="none" w:sz="0" w:space="0" w:color="auto"/>
        <w:bottom w:val="none" w:sz="0" w:space="0" w:color="auto"/>
        <w:right w:val="none" w:sz="0" w:space="0" w:color="auto"/>
      </w:divBdr>
    </w:div>
    <w:div w:id="877402011">
      <w:bodyDiv w:val="1"/>
      <w:marLeft w:val="0"/>
      <w:marRight w:val="0"/>
      <w:marTop w:val="0"/>
      <w:marBottom w:val="0"/>
      <w:divBdr>
        <w:top w:val="none" w:sz="0" w:space="0" w:color="auto"/>
        <w:left w:val="none" w:sz="0" w:space="0" w:color="auto"/>
        <w:bottom w:val="none" w:sz="0" w:space="0" w:color="auto"/>
        <w:right w:val="none" w:sz="0" w:space="0" w:color="auto"/>
      </w:divBdr>
    </w:div>
    <w:div w:id="879248718">
      <w:bodyDiv w:val="1"/>
      <w:marLeft w:val="0"/>
      <w:marRight w:val="0"/>
      <w:marTop w:val="0"/>
      <w:marBottom w:val="0"/>
      <w:divBdr>
        <w:top w:val="none" w:sz="0" w:space="0" w:color="auto"/>
        <w:left w:val="none" w:sz="0" w:space="0" w:color="auto"/>
        <w:bottom w:val="none" w:sz="0" w:space="0" w:color="auto"/>
        <w:right w:val="none" w:sz="0" w:space="0" w:color="auto"/>
      </w:divBdr>
    </w:div>
    <w:div w:id="880358730">
      <w:bodyDiv w:val="1"/>
      <w:marLeft w:val="0"/>
      <w:marRight w:val="0"/>
      <w:marTop w:val="0"/>
      <w:marBottom w:val="0"/>
      <w:divBdr>
        <w:top w:val="none" w:sz="0" w:space="0" w:color="auto"/>
        <w:left w:val="none" w:sz="0" w:space="0" w:color="auto"/>
        <w:bottom w:val="none" w:sz="0" w:space="0" w:color="auto"/>
        <w:right w:val="none" w:sz="0" w:space="0" w:color="auto"/>
      </w:divBdr>
    </w:div>
    <w:div w:id="881358972">
      <w:bodyDiv w:val="1"/>
      <w:marLeft w:val="0"/>
      <w:marRight w:val="0"/>
      <w:marTop w:val="0"/>
      <w:marBottom w:val="0"/>
      <w:divBdr>
        <w:top w:val="none" w:sz="0" w:space="0" w:color="auto"/>
        <w:left w:val="none" w:sz="0" w:space="0" w:color="auto"/>
        <w:bottom w:val="none" w:sz="0" w:space="0" w:color="auto"/>
        <w:right w:val="none" w:sz="0" w:space="0" w:color="auto"/>
      </w:divBdr>
    </w:div>
    <w:div w:id="881945288">
      <w:bodyDiv w:val="1"/>
      <w:marLeft w:val="0"/>
      <w:marRight w:val="0"/>
      <w:marTop w:val="0"/>
      <w:marBottom w:val="0"/>
      <w:divBdr>
        <w:top w:val="none" w:sz="0" w:space="0" w:color="auto"/>
        <w:left w:val="none" w:sz="0" w:space="0" w:color="auto"/>
        <w:bottom w:val="none" w:sz="0" w:space="0" w:color="auto"/>
        <w:right w:val="none" w:sz="0" w:space="0" w:color="auto"/>
      </w:divBdr>
    </w:div>
    <w:div w:id="883370712">
      <w:bodyDiv w:val="1"/>
      <w:marLeft w:val="0"/>
      <w:marRight w:val="0"/>
      <w:marTop w:val="0"/>
      <w:marBottom w:val="0"/>
      <w:divBdr>
        <w:top w:val="none" w:sz="0" w:space="0" w:color="auto"/>
        <w:left w:val="none" w:sz="0" w:space="0" w:color="auto"/>
        <w:bottom w:val="none" w:sz="0" w:space="0" w:color="auto"/>
        <w:right w:val="none" w:sz="0" w:space="0" w:color="auto"/>
      </w:divBdr>
    </w:div>
    <w:div w:id="884102713">
      <w:bodyDiv w:val="1"/>
      <w:marLeft w:val="0"/>
      <w:marRight w:val="0"/>
      <w:marTop w:val="0"/>
      <w:marBottom w:val="0"/>
      <w:divBdr>
        <w:top w:val="none" w:sz="0" w:space="0" w:color="auto"/>
        <w:left w:val="none" w:sz="0" w:space="0" w:color="auto"/>
        <w:bottom w:val="none" w:sz="0" w:space="0" w:color="auto"/>
        <w:right w:val="none" w:sz="0" w:space="0" w:color="auto"/>
      </w:divBdr>
    </w:div>
    <w:div w:id="884682633">
      <w:bodyDiv w:val="1"/>
      <w:marLeft w:val="0"/>
      <w:marRight w:val="0"/>
      <w:marTop w:val="0"/>
      <w:marBottom w:val="0"/>
      <w:divBdr>
        <w:top w:val="none" w:sz="0" w:space="0" w:color="auto"/>
        <w:left w:val="none" w:sz="0" w:space="0" w:color="auto"/>
        <w:bottom w:val="none" w:sz="0" w:space="0" w:color="auto"/>
        <w:right w:val="none" w:sz="0" w:space="0" w:color="auto"/>
      </w:divBdr>
    </w:div>
    <w:div w:id="885290126">
      <w:bodyDiv w:val="1"/>
      <w:marLeft w:val="0"/>
      <w:marRight w:val="0"/>
      <w:marTop w:val="0"/>
      <w:marBottom w:val="0"/>
      <w:divBdr>
        <w:top w:val="none" w:sz="0" w:space="0" w:color="auto"/>
        <w:left w:val="none" w:sz="0" w:space="0" w:color="auto"/>
        <w:bottom w:val="none" w:sz="0" w:space="0" w:color="auto"/>
        <w:right w:val="none" w:sz="0" w:space="0" w:color="auto"/>
      </w:divBdr>
    </w:div>
    <w:div w:id="886527859">
      <w:bodyDiv w:val="1"/>
      <w:marLeft w:val="0"/>
      <w:marRight w:val="0"/>
      <w:marTop w:val="0"/>
      <w:marBottom w:val="0"/>
      <w:divBdr>
        <w:top w:val="none" w:sz="0" w:space="0" w:color="auto"/>
        <w:left w:val="none" w:sz="0" w:space="0" w:color="auto"/>
        <w:bottom w:val="none" w:sz="0" w:space="0" w:color="auto"/>
        <w:right w:val="none" w:sz="0" w:space="0" w:color="auto"/>
      </w:divBdr>
    </w:div>
    <w:div w:id="886720376">
      <w:bodyDiv w:val="1"/>
      <w:marLeft w:val="0"/>
      <w:marRight w:val="0"/>
      <w:marTop w:val="0"/>
      <w:marBottom w:val="0"/>
      <w:divBdr>
        <w:top w:val="none" w:sz="0" w:space="0" w:color="auto"/>
        <w:left w:val="none" w:sz="0" w:space="0" w:color="auto"/>
        <w:bottom w:val="none" w:sz="0" w:space="0" w:color="auto"/>
        <w:right w:val="none" w:sz="0" w:space="0" w:color="auto"/>
      </w:divBdr>
    </w:div>
    <w:div w:id="886992479">
      <w:bodyDiv w:val="1"/>
      <w:marLeft w:val="0"/>
      <w:marRight w:val="0"/>
      <w:marTop w:val="0"/>
      <w:marBottom w:val="0"/>
      <w:divBdr>
        <w:top w:val="none" w:sz="0" w:space="0" w:color="auto"/>
        <w:left w:val="none" w:sz="0" w:space="0" w:color="auto"/>
        <w:bottom w:val="none" w:sz="0" w:space="0" w:color="auto"/>
        <w:right w:val="none" w:sz="0" w:space="0" w:color="auto"/>
      </w:divBdr>
    </w:div>
    <w:div w:id="887955077">
      <w:bodyDiv w:val="1"/>
      <w:marLeft w:val="0"/>
      <w:marRight w:val="0"/>
      <w:marTop w:val="0"/>
      <w:marBottom w:val="0"/>
      <w:divBdr>
        <w:top w:val="none" w:sz="0" w:space="0" w:color="auto"/>
        <w:left w:val="none" w:sz="0" w:space="0" w:color="auto"/>
        <w:bottom w:val="none" w:sz="0" w:space="0" w:color="auto"/>
        <w:right w:val="none" w:sz="0" w:space="0" w:color="auto"/>
      </w:divBdr>
    </w:div>
    <w:div w:id="890074611">
      <w:bodyDiv w:val="1"/>
      <w:marLeft w:val="0"/>
      <w:marRight w:val="0"/>
      <w:marTop w:val="0"/>
      <w:marBottom w:val="0"/>
      <w:divBdr>
        <w:top w:val="none" w:sz="0" w:space="0" w:color="auto"/>
        <w:left w:val="none" w:sz="0" w:space="0" w:color="auto"/>
        <w:bottom w:val="none" w:sz="0" w:space="0" w:color="auto"/>
        <w:right w:val="none" w:sz="0" w:space="0" w:color="auto"/>
      </w:divBdr>
    </w:div>
    <w:div w:id="890075788">
      <w:bodyDiv w:val="1"/>
      <w:marLeft w:val="0"/>
      <w:marRight w:val="0"/>
      <w:marTop w:val="0"/>
      <w:marBottom w:val="0"/>
      <w:divBdr>
        <w:top w:val="none" w:sz="0" w:space="0" w:color="auto"/>
        <w:left w:val="none" w:sz="0" w:space="0" w:color="auto"/>
        <w:bottom w:val="none" w:sz="0" w:space="0" w:color="auto"/>
        <w:right w:val="none" w:sz="0" w:space="0" w:color="auto"/>
      </w:divBdr>
    </w:div>
    <w:div w:id="890767222">
      <w:bodyDiv w:val="1"/>
      <w:marLeft w:val="0"/>
      <w:marRight w:val="0"/>
      <w:marTop w:val="0"/>
      <w:marBottom w:val="0"/>
      <w:divBdr>
        <w:top w:val="none" w:sz="0" w:space="0" w:color="auto"/>
        <w:left w:val="none" w:sz="0" w:space="0" w:color="auto"/>
        <w:bottom w:val="none" w:sz="0" w:space="0" w:color="auto"/>
        <w:right w:val="none" w:sz="0" w:space="0" w:color="auto"/>
      </w:divBdr>
    </w:div>
    <w:div w:id="891772966">
      <w:bodyDiv w:val="1"/>
      <w:marLeft w:val="0"/>
      <w:marRight w:val="0"/>
      <w:marTop w:val="0"/>
      <w:marBottom w:val="0"/>
      <w:divBdr>
        <w:top w:val="none" w:sz="0" w:space="0" w:color="auto"/>
        <w:left w:val="none" w:sz="0" w:space="0" w:color="auto"/>
        <w:bottom w:val="none" w:sz="0" w:space="0" w:color="auto"/>
        <w:right w:val="none" w:sz="0" w:space="0" w:color="auto"/>
      </w:divBdr>
    </w:div>
    <w:div w:id="895319753">
      <w:bodyDiv w:val="1"/>
      <w:marLeft w:val="0"/>
      <w:marRight w:val="0"/>
      <w:marTop w:val="0"/>
      <w:marBottom w:val="0"/>
      <w:divBdr>
        <w:top w:val="none" w:sz="0" w:space="0" w:color="auto"/>
        <w:left w:val="none" w:sz="0" w:space="0" w:color="auto"/>
        <w:bottom w:val="none" w:sz="0" w:space="0" w:color="auto"/>
        <w:right w:val="none" w:sz="0" w:space="0" w:color="auto"/>
      </w:divBdr>
    </w:div>
    <w:div w:id="899287821">
      <w:bodyDiv w:val="1"/>
      <w:marLeft w:val="0"/>
      <w:marRight w:val="0"/>
      <w:marTop w:val="0"/>
      <w:marBottom w:val="0"/>
      <w:divBdr>
        <w:top w:val="none" w:sz="0" w:space="0" w:color="auto"/>
        <w:left w:val="none" w:sz="0" w:space="0" w:color="auto"/>
        <w:bottom w:val="none" w:sz="0" w:space="0" w:color="auto"/>
        <w:right w:val="none" w:sz="0" w:space="0" w:color="auto"/>
      </w:divBdr>
    </w:div>
    <w:div w:id="902060248">
      <w:bodyDiv w:val="1"/>
      <w:marLeft w:val="0"/>
      <w:marRight w:val="0"/>
      <w:marTop w:val="0"/>
      <w:marBottom w:val="0"/>
      <w:divBdr>
        <w:top w:val="none" w:sz="0" w:space="0" w:color="auto"/>
        <w:left w:val="none" w:sz="0" w:space="0" w:color="auto"/>
        <w:bottom w:val="none" w:sz="0" w:space="0" w:color="auto"/>
        <w:right w:val="none" w:sz="0" w:space="0" w:color="auto"/>
      </w:divBdr>
    </w:div>
    <w:div w:id="902643466">
      <w:bodyDiv w:val="1"/>
      <w:marLeft w:val="0"/>
      <w:marRight w:val="0"/>
      <w:marTop w:val="0"/>
      <w:marBottom w:val="0"/>
      <w:divBdr>
        <w:top w:val="none" w:sz="0" w:space="0" w:color="auto"/>
        <w:left w:val="none" w:sz="0" w:space="0" w:color="auto"/>
        <w:bottom w:val="none" w:sz="0" w:space="0" w:color="auto"/>
        <w:right w:val="none" w:sz="0" w:space="0" w:color="auto"/>
      </w:divBdr>
    </w:div>
    <w:div w:id="903225652">
      <w:bodyDiv w:val="1"/>
      <w:marLeft w:val="0"/>
      <w:marRight w:val="0"/>
      <w:marTop w:val="0"/>
      <w:marBottom w:val="0"/>
      <w:divBdr>
        <w:top w:val="none" w:sz="0" w:space="0" w:color="auto"/>
        <w:left w:val="none" w:sz="0" w:space="0" w:color="auto"/>
        <w:bottom w:val="none" w:sz="0" w:space="0" w:color="auto"/>
        <w:right w:val="none" w:sz="0" w:space="0" w:color="auto"/>
      </w:divBdr>
    </w:div>
    <w:div w:id="903373267">
      <w:bodyDiv w:val="1"/>
      <w:marLeft w:val="0"/>
      <w:marRight w:val="0"/>
      <w:marTop w:val="0"/>
      <w:marBottom w:val="0"/>
      <w:divBdr>
        <w:top w:val="none" w:sz="0" w:space="0" w:color="auto"/>
        <w:left w:val="none" w:sz="0" w:space="0" w:color="auto"/>
        <w:bottom w:val="none" w:sz="0" w:space="0" w:color="auto"/>
        <w:right w:val="none" w:sz="0" w:space="0" w:color="auto"/>
      </w:divBdr>
    </w:div>
    <w:div w:id="908614321">
      <w:bodyDiv w:val="1"/>
      <w:marLeft w:val="0"/>
      <w:marRight w:val="0"/>
      <w:marTop w:val="0"/>
      <w:marBottom w:val="0"/>
      <w:divBdr>
        <w:top w:val="none" w:sz="0" w:space="0" w:color="auto"/>
        <w:left w:val="none" w:sz="0" w:space="0" w:color="auto"/>
        <w:bottom w:val="none" w:sz="0" w:space="0" w:color="auto"/>
        <w:right w:val="none" w:sz="0" w:space="0" w:color="auto"/>
      </w:divBdr>
    </w:div>
    <w:div w:id="913902573">
      <w:bodyDiv w:val="1"/>
      <w:marLeft w:val="0"/>
      <w:marRight w:val="0"/>
      <w:marTop w:val="0"/>
      <w:marBottom w:val="0"/>
      <w:divBdr>
        <w:top w:val="none" w:sz="0" w:space="0" w:color="auto"/>
        <w:left w:val="none" w:sz="0" w:space="0" w:color="auto"/>
        <w:bottom w:val="none" w:sz="0" w:space="0" w:color="auto"/>
        <w:right w:val="none" w:sz="0" w:space="0" w:color="auto"/>
      </w:divBdr>
    </w:div>
    <w:div w:id="914779689">
      <w:bodyDiv w:val="1"/>
      <w:marLeft w:val="0"/>
      <w:marRight w:val="0"/>
      <w:marTop w:val="0"/>
      <w:marBottom w:val="0"/>
      <w:divBdr>
        <w:top w:val="none" w:sz="0" w:space="0" w:color="auto"/>
        <w:left w:val="none" w:sz="0" w:space="0" w:color="auto"/>
        <w:bottom w:val="none" w:sz="0" w:space="0" w:color="auto"/>
        <w:right w:val="none" w:sz="0" w:space="0" w:color="auto"/>
      </w:divBdr>
    </w:div>
    <w:div w:id="915627761">
      <w:bodyDiv w:val="1"/>
      <w:marLeft w:val="0"/>
      <w:marRight w:val="0"/>
      <w:marTop w:val="0"/>
      <w:marBottom w:val="0"/>
      <w:divBdr>
        <w:top w:val="none" w:sz="0" w:space="0" w:color="auto"/>
        <w:left w:val="none" w:sz="0" w:space="0" w:color="auto"/>
        <w:bottom w:val="none" w:sz="0" w:space="0" w:color="auto"/>
        <w:right w:val="none" w:sz="0" w:space="0" w:color="auto"/>
      </w:divBdr>
    </w:div>
    <w:div w:id="915747647">
      <w:bodyDiv w:val="1"/>
      <w:marLeft w:val="0"/>
      <w:marRight w:val="0"/>
      <w:marTop w:val="0"/>
      <w:marBottom w:val="0"/>
      <w:divBdr>
        <w:top w:val="none" w:sz="0" w:space="0" w:color="auto"/>
        <w:left w:val="none" w:sz="0" w:space="0" w:color="auto"/>
        <w:bottom w:val="none" w:sz="0" w:space="0" w:color="auto"/>
        <w:right w:val="none" w:sz="0" w:space="0" w:color="auto"/>
      </w:divBdr>
    </w:div>
    <w:div w:id="916400008">
      <w:bodyDiv w:val="1"/>
      <w:marLeft w:val="0"/>
      <w:marRight w:val="0"/>
      <w:marTop w:val="0"/>
      <w:marBottom w:val="0"/>
      <w:divBdr>
        <w:top w:val="none" w:sz="0" w:space="0" w:color="auto"/>
        <w:left w:val="none" w:sz="0" w:space="0" w:color="auto"/>
        <w:bottom w:val="none" w:sz="0" w:space="0" w:color="auto"/>
        <w:right w:val="none" w:sz="0" w:space="0" w:color="auto"/>
      </w:divBdr>
    </w:div>
    <w:div w:id="916675555">
      <w:bodyDiv w:val="1"/>
      <w:marLeft w:val="0"/>
      <w:marRight w:val="0"/>
      <w:marTop w:val="0"/>
      <w:marBottom w:val="0"/>
      <w:divBdr>
        <w:top w:val="none" w:sz="0" w:space="0" w:color="auto"/>
        <w:left w:val="none" w:sz="0" w:space="0" w:color="auto"/>
        <w:bottom w:val="none" w:sz="0" w:space="0" w:color="auto"/>
        <w:right w:val="none" w:sz="0" w:space="0" w:color="auto"/>
      </w:divBdr>
    </w:div>
    <w:div w:id="916864719">
      <w:bodyDiv w:val="1"/>
      <w:marLeft w:val="0"/>
      <w:marRight w:val="0"/>
      <w:marTop w:val="0"/>
      <w:marBottom w:val="0"/>
      <w:divBdr>
        <w:top w:val="none" w:sz="0" w:space="0" w:color="auto"/>
        <w:left w:val="none" w:sz="0" w:space="0" w:color="auto"/>
        <w:bottom w:val="none" w:sz="0" w:space="0" w:color="auto"/>
        <w:right w:val="none" w:sz="0" w:space="0" w:color="auto"/>
      </w:divBdr>
    </w:div>
    <w:div w:id="916980245">
      <w:bodyDiv w:val="1"/>
      <w:marLeft w:val="0"/>
      <w:marRight w:val="0"/>
      <w:marTop w:val="0"/>
      <w:marBottom w:val="0"/>
      <w:divBdr>
        <w:top w:val="none" w:sz="0" w:space="0" w:color="auto"/>
        <w:left w:val="none" w:sz="0" w:space="0" w:color="auto"/>
        <w:bottom w:val="none" w:sz="0" w:space="0" w:color="auto"/>
        <w:right w:val="none" w:sz="0" w:space="0" w:color="auto"/>
      </w:divBdr>
    </w:div>
    <w:div w:id="917206299">
      <w:bodyDiv w:val="1"/>
      <w:marLeft w:val="0"/>
      <w:marRight w:val="0"/>
      <w:marTop w:val="0"/>
      <w:marBottom w:val="0"/>
      <w:divBdr>
        <w:top w:val="none" w:sz="0" w:space="0" w:color="auto"/>
        <w:left w:val="none" w:sz="0" w:space="0" w:color="auto"/>
        <w:bottom w:val="none" w:sz="0" w:space="0" w:color="auto"/>
        <w:right w:val="none" w:sz="0" w:space="0" w:color="auto"/>
      </w:divBdr>
    </w:div>
    <w:div w:id="917206734">
      <w:bodyDiv w:val="1"/>
      <w:marLeft w:val="0"/>
      <w:marRight w:val="0"/>
      <w:marTop w:val="0"/>
      <w:marBottom w:val="0"/>
      <w:divBdr>
        <w:top w:val="none" w:sz="0" w:space="0" w:color="auto"/>
        <w:left w:val="none" w:sz="0" w:space="0" w:color="auto"/>
        <w:bottom w:val="none" w:sz="0" w:space="0" w:color="auto"/>
        <w:right w:val="none" w:sz="0" w:space="0" w:color="auto"/>
      </w:divBdr>
    </w:div>
    <w:div w:id="918055940">
      <w:bodyDiv w:val="1"/>
      <w:marLeft w:val="0"/>
      <w:marRight w:val="0"/>
      <w:marTop w:val="0"/>
      <w:marBottom w:val="0"/>
      <w:divBdr>
        <w:top w:val="none" w:sz="0" w:space="0" w:color="auto"/>
        <w:left w:val="none" w:sz="0" w:space="0" w:color="auto"/>
        <w:bottom w:val="none" w:sz="0" w:space="0" w:color="auto"/>
        <w:right w:val="none" w:sz="0" w:space="0" w:color="auto"/>
      </w:divBdr>
    </w:div>
    <w:div w:id="918756532">
      <w:bodyDiv w:val="1"/>
      <w:marLeft w:val="0"/>
      <w:marRight w:val="0"/>
      <w:marTop w:val="0"/>
      <w:marBottom w:val="0"/>
      <w:divBdr>
        <w:top w:val="none" w:sz="0" w:space="0" w:color="auto"/>
        <w:left w:val="none" w:sz="0" w:space="0" w:color="auto"/>
        <w:bottom w:val="none" w:sz="0" w:space="0" w:color="auto"/>
        <w:right w:val="none" w:sz="0" w:space="0" w:color="auto"/>
      </w:divBdr>
    </w:div>
    <w:div w:id="919560573">
      <w:bodyDiv w:val="1"/>
      <w:marLeft w:val="0"/>
      <w:marRight w:val="0"/>
      <w:marTop w:val="0"/>
      <w:marBottom w:val="0"/>
      <w:divBdr>
        <w:top w:val="none" w:sz="0" w:space="0" w:color="auto"/>
        <w:left w:val="none" w:sz="0" w:space="0" w:color="auto"/>
        <w:bottom w:val="none" w:sz="0" w:space="0" w:color="auto"/>
        <w:right w:val="none" w:sz="0" w:space="0" w:color="auto"/>
      </w:divBdr>
    </w:div>
    <w:div w:id="920913155">
      <w:bodyDiv w:val="1"/>
      <w:marLeft w:val="0"/>
      <w:marRight w:val="0"/>
      <w:marTop w:val="0"/>
      <w:marBottom w:val="0"/>
      <w:divBdr>
        <w:top w:val="none" w:sz="0" w:space="0" w:color="auto"/>
        <w:left w:val="none" w:sz="0" w:space="0" w:color="auto"/>
        <w:bottom w:val="none" w:sz="0" w:space="0" w:color="auto"/>
        <w:right w:val="none" w:sz="0" w:space="0" w:color="auto"/>
      </w:divBdr>
    </w:div>
    <w:div w:id="926614237">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9656123">
      <w:bodyDiv w:val="1"/>
      <w:marLeft w:val="0"/>
      <w:marRight w:val="0"/>
      <w:marTop w:val="0"/>
      <w:marBottom w:val="0"/>
      <w:divBdr>
        <w:top w:val="none" w:sz="0" w:space="0" w:color="auto"/>
        <w:left w:val="none" w:sz="0" w:space="0" w:color="auto"/>
        <w:bottom w:val="none" w:sz="0" w:space="0" w:color="auto"/>
        <w:right w:val="none" w:sz="0" w:space="0" w:color="auto"/>
      </w:divBdr>
    </w:div>
    <w:div w:id="930313881">
      <w:bodyDiv w:val="1"/>
      <w:marLeft w:val="0"/>
      <w:marRight w:val="0"/>
      <w:marTop w:val="0"/>
      <w:marBottom w:val="0"/>
      <w:divBdr>
        <w:top w:val="none" w:sz="0" w:space="0" w:color="auto"/>
        <w:left w:val="none" w:sz="0" w:space="0" w:color="auto"/>
        <w:bottom w:val="none" w:sz="0" w:space="0" w:color="auto"/>
        <w:right w:val="none" w:sz="0" w:space="0" w:color="auto"/>
      </w:divBdr>
    </w:div>
    <w:div w:id="930622712">
      <w:bodyDiv w:val="1"/>
      <w:marLeft w:val="0"/>
      <w:marRight w:val="0"/>
      <w:marTop w:val="0"/>
      <w:marBottom w:val="0"/>
      <w:divBdr>
        <w:top w:val="none" w:sz="0" w:space="0" w:color="auto"/>
        <w:left w:val="none" w:sz="0" w:space="0" w:color="auto"/>
        <w:bottom w:val="none" w:sz="0" w:space="0" w:color="auto"/>
        <w:right w:val="none" w:sz="0" w:space="0" w:color="auto"/>
      </w:divBdr>
    </w:div>
    <w:div w:id="930773023">
      <w:bodyDiv w:val="1"/>
      <w:marLeft w:val="0"/>
      <w:marRight w:val="0"/>
      <w:marTop w:val="0"/>
      <w:marBottom w:val="0"/>
      <w:divBdr>
        <w:top w:val="none" w:sz="0" w:space="0" w:color="auto"/>
        <w:left w:val="none" w:sz="0" w:space="0" w:color="auto"/>
        <w:bottom w:val="none" w:sz="0" w:space="0" w:color="auto"/>
        <w:right w:val="none" w:sz="0" w:space="0" w:color="auto"/>
      </w:divBdr>
    </w:div>
    <w:div w:id="931091683">
      <w:bodyDiv w:val="1"/>
      <w:marLeft w:val="0"/>
      <w:marRight w:val="0"/>
      <w:marTop w:val="0"/>
      <w:marBottom w:val="0"/>
      <w:divBdr>
        <w:top w:val="none" w:sz="0" w:space="0" w:color="auto"/>
        <w:left w:val="none" w:sz="0" w:space="0" w:color="auto"/>
        <w:bottom w:val="none" w:sz="0" w:space="0" w:color="auto"/>
        <w:right w:val="none" w:sz="0" w:space="0" w:color="auto"/>
      </w:divBdr>
    </w:div>
    <w:div w:id="931277018">
      <w:bodyDiv w:val="1"/>
      <w:marLeft w:val="0"/>
      <w:marRight w:val="0"/>
      <w:marTop w:val="0"/>
      <w:marBottom w:val="0"/>
      <w:divBdr>
        <w:top w:val="none" w:sz="0" w:space="0" w:color="auto"/>
        <w:left w:val="none" w:sz="0" w:space="0" w:color="auto"/>
        <w:bottom w:val="none" w:sz="0" w:space="0" w:color="auto"/>
        <w:right w:val="none" w:sz="0" w:space="0" w:color="auto"/>
      </w:divBdr>
    </w:div>
    <w:div w:id="932013719">
      <w:bodyDiv w:val="1"/>
      <w:marLeft w:val="0"/>
      <w:marRight w:val="0"/>
      <w:marTop w:val="0"/>
      <w:marBottom w:val="0"/>
      <w:divBdr>
        <w:top w:val="none" w:sz="0" w:space="0" w:color="auto"/>
        <w:left w:val="none" w:sz="0" w:space="0" w:color="auto"/>
        <w:bottom w:val="none" w:sz="0" w:space="0" w:color="auto"/>
        <w:right w:val="none" w:sz="0" w:space="0" w:color="auto"/>
      </w:divBdr>
    </w:div>
    <w:div w:id="932205123">
      <w:bodyDiv w:val="1"/>
      <w:marLeft w:val="0"/>
      <w:marRight w:val="0"/>
      <w:marTop w:val="0"/>
      <w:marBottom w:val="0"/>
      <w:divBdr>
        <w:top w:val="none" w:sz="0" w:space="0" w:color="auto"/>
        <w:left w:val="none" w:sz="0" w:space="0" w:color="auto"/>
        <w:bottom w:val="none" w:sz="0" w:space="0" w:color="auto"/>
        <w:right w:val="none" w:sz="0" w:space="0" w:color="auto"/>
      </w:divBdr>
    </w:div>
    <w:div w:id="933972188">
      <w:bodyDiv w:val="1"/>
      <w:marLeft w:val="0"/>
      <w:marRight w:val="0"/>
      <w:marTop w:val="0"/>
      <w:marBottom w:val="0"/>
      <w:divBdr>
        <w:top w:val="none" w:sz="0" w:space="0" w:color="auto"/>
        <w:left w:val="none" w:sz="0" w:space="0" w:color="auto"/>
        <w:bottom w:val="none" w:sz="0" w:space="0" w:color="auto"/>
        <w:right w:val="none" w:sz="0" w:space="0" w:color="auto"/>
      </w:divBdr>
    </w:div>
    <w:div w:id="935138801">
      <w:bodyDiv w:val="1"/>
      <w:marLeft w:val="0"/>
      <w:marRight w:val="0"/>
      <w:marTop w:val="0"/>
      <w:marBottom w:val="0"/>
      <w:divBdr>
        <w:top w:val="none" w:sz="0" w:space="0" w:color="auto"/>
        <w:left w:val="none" w:sz="0" w:space="0" w:color="auto"/>
        <w:bottom w:val="none" w:sz="0" w:space="0" w:color="auto"/>
        <w:right w:val="none" w:sz="0" w:space="0" w:color="auto"/>
      </w:divBdr>
    </w:div>
    <w:div w:id="935211110">
      <w:bodyDiv w:val="1"/>
      <w:marLeft w:val="0"/>
      <w:marRight w:val="0"/>
      <w:marTop w:val="0"/>
      <w:marBottom w:val="0"/>
      <w:divBdr>
        <w:top w:val="none" w:sz="0" w:space="0" w:color="auto"/>
        <w:left w:val="none" w:sz="0" w:space="0" w:color="auto"/>
        <w:bottom w:val="none" w:sz="0" w:space="0" w:color="auto"/>
        <w:right w:val="none" w:sz="0" w:space="0" w:color="auto"/>
      </w:divBdr>
    </w:div>
    <w:div w:id="935868420">
      <w:bodyDiv w:val="1"/>
      <w:marLeft w:val="0"/>
      <w:marRight w:val="0"/>
      <w:marTop w:val="0"/>
      <w:marBottom w:val="0"/>
      <w:divBdr>
        <w:top w:val="none" w:sz="0" w:space="0" w:color="auto"/>
        <w:left w:val="none" w:sz="0" w:space="0" w:color="auto"/>
        <w:bottom w:val="none" w:sz="0" w:space="0" w:color="auto"/>
        <w:right w:val="none" w:sz="0" w:space="0" w:color="auto"/>
      </w:divBdr>
    </w:div>
    <w:div w:id="936057455">
      <w:bodyDiv w:val="1"/>
      <w:marLeft w:val="0"/>
      <w:marRight w:val="0"/>
      <w:marTop w:val="0"/>
      <w:marBottom w:val="0"/>
      <w:divBdr>
        <w:top w:val="none" w:sz="0" w:space="0" w:color="auto"/>
        <w:left w:val="none" w:sz="0" w:space="0" w:color="auto"/>
        <w:bottom w:val="none" w:sz="0" w:space="0" w:color="auto"/>
        <w:right w:val="none" w:sz="0" w:space="0" w:color="auto"/>
      </w:divBdr>
    </w:div>
    <w:div w:id="939723300">
      <w:bodyDiv w:val="1"/>
      <w:marLeft w:val="0"/>
      <w:marRight w:val="0"/>
      <w:marTop w:val="0"/>
      <w:marBottom w:val="0"/>
      <w:divBdr>
        <w:top w:val="none" w:sz="0" w:space="0" w:color="auto"/>
        <w:left w:val="none" w:sz="0" w:space="0" w:color="auto"/>
        <w:bottom w:val="none" w:sz="0" w:space="0" w:color="auto"/>
        <w:right w:val="none" w:sz="0" w:space="0" w:color="auto"/>
      </w:divBdr>
    </w:div>
    <w:div w:id="941256335">
      <w:bodyDiv w:val="1"/>
      <w:marLeft w:val="0"/>
      <w:marRight w:val="0"/>
      <w:marTop w:val="0"/>
      <w:marBottom w:val="0"/>
      <w:divBdr>
        <w:top w:val="none" w:sz="0" w:space="0" w:color="auto"/>
        <w:left w:val="none" w:sz="0" w:space="0" w:color="auto"/>
        <w:bottom w:val="none" w:sz="0" w:space="0" w:color="auto"/>
        <w:right w:val="none" w:sz="0" w:space="0" w:color="auto"/>
      </w:divBdr>
    </w:div>
    <w:div w:id="941303419">
      <w:bodyDiv w:val="1"/>
      <w:marLeft w:val="0"/>
      <w:marRight w:val="0"/>
      <w:marTop w:val="0"/>
      <w:marBottom w:val="0"/>
      <w:divBdr>
        <w:top w:val="none" w:sz="0" w:space="0" w:color="auto"/>
        <w:left w:val="none" w:sz="0" w:space="0" w:color="auto"/>
        <w:bottom w:val="none" w:sz="0" w:space="0" w:color="auto"/>
        <w:right w:val="none" w:sz="0" w:space="0" w:color="auto"/>
      </w:divBdr>
    </w:div>
    <w:div w:id="941380709">
      <w:bodyDiv w:val="1"/>
      <w:marLeft w:val="0"/>
      <w:marRight w:val="0"/>
      <w:marTop w:val="0"/>
      <w:marBottom w:val="0"/>
      <w:divBdr>
        <w:top w:val="none" w:sz="0" w:space="0" w:color="auto"/>
        <w:left w:val="none" w:sz="0" w:space="0" w:color="auto"/>
        <w:bottom w:val="none" w:sz="0" w:space="0" w:color="auto"/>
        <w:right w:val="none" w:sz="0" w:space="0" w:color="auto"/>
      </w:divBdr>
    </w:div>
    <w:div w:id="945388667">
      <w:bodyDiv w:val="1"/>
      <w:marLeft w:val="0"/>
      <w:marRight w:val="0"/>
      <w:marTop w:val="0"/>
      <w:marBottom w:val="0"/>
      <w:divBdr>
        <w:top w:val="none" w:sz="0" w:space="0" w:color="auto"/>
        <w:left w:val="none" w:sz="0" w:space="0" w:color="auto"/>
        <w:bottom w:val="none" w:sz="0" w:space="0" w:color="auto"/>
        <w:right w:val="none" w:sz="0" w:space="0" w:color="auto"/>
      </w:divBdr>
    </w:div>
    <w:div w:id="945697262">
      <w:bodyDiv w:val="1"/>
      <w:marLeft w:val="0"/>
      <w:marRight w:val="0"/>
      <w:marTop w:val="0"/>
      <w:marBottom w:val="0"/>
      <w:divBdr>
        <w:top w:val="none" w:sz="0" w:space="0" w:color="auto"/>
        <w:left w:val="none" w:sz="0" w:space="0" w:color="auto"/>
        <w:bottom w:val="none" w:sz="0" w:space="0" w:color="auto"/>
        <w:right w:val="none" w:sz="0" w:space="0" w:color="auto"/>
      </w:divBdr>
    </w:div>
    <w:div w:id="949094826">
      <w:bodyDiv w:val="1"/>
      <w:marLeft w:val="0"/>
      <w:marRight w:val="0"/>
      <w:marTop w:val="0"/>
      <w:marBottom w:val="0"/>
      <w:divBdr>
        <w:top w:val="none" w:sz="0" w:space="0" w:color="auto"/>
        <w:left w:val="none" w:sz="0" w:space="0" w:color="auto"/>
        <w:bottom w:val="none" w:sz="0" w:space="0" w:color="auto"/>
        <w:right w:val="none" w:sz="0" w:space="0" w:color="auto"/>
      </w:divBdr>
    </w:div>
    <w:div w:id="951321683">
      <w:bodyDiv w:val="1"/>
      <w:marLeft w:val="0"/>
      <w:marRight w:val="0"/>
      <w:marTop w:val="0"/>
      <w:marBottom w:val="0"/>
      <w:divBdr>
        <w:top w:val="none" w:sz="0" w:space="0" w:color="auto"/>
        <w:left w:val="none" w:sz="0" w:space="0" w:color="auto"/>
        <w:bottom w:val="none" w:sz="0" w:space="0" w:color="auto"/>
        <w:right w:val="none" w:sz="0" w:space="0" w:color="auto"/>
      </w:divBdr>
    </w:div>
    <w:div w:id="954826710">
      <w:bodyDiv w:val="1"/>
      <w:marLeft w:val="0"/>
      <w:marRight w:val="0"/>
      <w:marTop w:val="0"/>
      <w:marBottom w:val="0"/>
      <w:divBdr>
        <w:top w:val="none" w:sz="0" w:space="0" w:color="auto"/>
        <w:left w:val="none" w:sz="0" w:space="0" w:color="auto"/>
        <w:bottom w:val="none" w:sz="0" w:space="0" w:color="auto"/>
        <w:right w:val="none" w:sz="0" w:space="0" w:color="auto"/>
      </w:divBdr>
    </w:div>
    <w:div w:id="957416456">
      <w:bodyDiv w:val="1"/>
      <w:marLeft w:val="0"/>
      <w:marRight w:val="0"/>
      <w:marTop w:val="0"/>
      <w:marBottom w:val="0"/>
      <w:divBdr>
        <w:top w:val="none" w:sz="0" w:space="0" w:color="auto"/>
        <w:left w:val="none" w:sz="0" w:space="0" w:color="auto"/>
        <w:bottom w:val="none" w:sz="0" w:space="0" w:color="auto"/>
        <w:right w:val="none" w:sz="0" w:space="0" w:color="auto"/>
      </w:divBdr>
    </w:div>
    <w:div w:id="957419186">
      <w:bodyDiv w:val="1"/>
      <w:marLeft w:val="0"/>
      <w:marRight w:val="0"/>
      <w:marTop w:val="0"/>
      <w:marBottom w:val="0"/>
      <w:divBdr>
        <w:top w:val="none" w:sz="0" w:space="0" w:color="auto"/>
        <w:left w:val="none" w:sz="0" w:space="0" w:color="auto"/>
        <w:bottom w:val="none" w:sz="0" w:space="0" w:color="auto"/>
        <w:right w:val="none" w:sz="0" w:space="0" w:color="auto"/>
      </w:divBdr>
    </w:div>
    <w:div w:id="960453204">
      <w:bodyDiv w:val="1"/>
      <w:marLeft w:val="0"/>
      <w:marRight w:val="0"/>
      <w:marTop w:val="0"/>
      <w:marBottom w:val="0"/>
      <w:divBdr>
        <w:top w:val="none" w:sz="0" w:space="0" w:color="auto"/>
        <w:left w:val="none" w:sz="0" w:space="0" w:color="auto"/>
        <w:bottom w:val="none" w:sz="0" w:space="0" w:color="auto"/>
        <w:right w:val="none" w:sz="0" w:space="0" w:color="auto"/>
      </w:divBdr>
    </w:div>
    <w:div w:id="961155222">
      <w:bodyDiv w:val="1"/>
      <w:marLeft w:val="0"/>
      <w:marRight w:val="0"/>
      <w:marTop w:val="0"/>
      <w:marBottom w:val="0"/>
      <w:divBdr>
        <w:top w:val="none" w:sz="0" w:space="0" w:color="auto"/>
        <w:left w:val="none" w:sz="0" w:space="0" w:color="auto"/>
        <w:bottom w:val="none" w:sz="0" w:space="0" w:color="auto"/>
        <w:right w:val="none" w:sz="0" w:space="0" w:color="auto"/>
      </w:divBdr>
    </w:div>
    <w:div w:id="962737250">
      <w:bodyDiv w:val="1"/>
      <w:marLeft w:val="0"/>
      <w:marRight w:val="0"/>
      <w:marTop w:val="0"/>
      <w:marBottom w:val="0"/>
      <w:divBdr>
        <w:top w:val="none" w:sz="0" w:space="0" w:color="auto"/>
        <w:left w:val="none" w:sz="0" w:space="0" w:color="auto"/>
        <w:bottom w:val="none" w:sz="0" w:space="0" w:color="auto"/>
        <w:right w:val="none" w:sz="0" w:space="0" w:color="auto"/>
      </w:divBdr>
    </w:div>
    <w:div w:id="965156064">
      <w:bodyDiv w:val="1"/>
      <w:marLeft w:val="0"/>
      <w:marRight w:val="0"/>
      <w:marTop w:val="0"/>
      <w:marBottom w:val="0"/>
      <w:divBdr>
        <w:top w:val="none" w:sz="0" w:space="0" w:color="auto"/>
        <w:left w:val="none" w:sz="0" w:space="0" w:color="auto"/>
        <w:bottom w:val="none" w:sz="0" w:space="0" w:color="auto"/>
        <w:right w:val="none" w:sz="0" w:space="0" w:color="auto"/>
      </w:divBdr>
    </w:div>
    <w:div w:id="966474412">
      <w:bodyDiv w:val="1"/>
      <w:marLeft w:val="0"/>
      <w:marRight w:val="0"/>
      <w:marTop w:val="0"/>
      <w:marBottom w:val="0"/>
      <w:divBdr>
        <w:top w:val="none" w:sz="0" w:space="0" w:color="auto"/>
        <w:left w:val="none" w:sz="0" w:space="0" w:color="auto"/>
        <w:bottom w:val="none" w:sz="0" w:space="0" w:color="auto"/>
        <w:right w:val="none" w:sz="0" w:space="0" w:color="auto"/>
      </w:divBdr>
    </w:div>
    <w:div w:id="968822148">
      <w:bodyDiv w:val="1"/>
      <w:marLeft w:val="0"/>
      <w:marRight w:val="0"/>
      <w:marTop w:val="0"/>
      <w:marBottom w:val="0"/>
      <w:divBdr>
        <w:top w:val="none" w:sz="0" w:space="0" w:color="auto"/>
        <w:left w:val="none" w:sz="0" w:space="0" w:color="auto"/>
        <w:bottom w:val="none" w:sz="0" w:space="0" w:color="auto"/>
        <w:right w:val="none" w:sz="0" w:space="0" w:color="auto"/>
      </w:divBdr>
    </w:div>
    <w:div w:id="970482781">
      <w:bodyDiv w:val="1"/>
      <w:marLeft w:val="0"/>
      <w:marRight w:val="0"/>
      <w:marTop w:val="0"/>
      <w:marBottom w:val="0"/>
      <w:divBdr>
        <w:top w:val="none" w:sz="0" w:space="0" w:color="auto"/>
        <w:left w:val="none" w:sz="0" w:space="0" w:color="auto"/>
        <w:bottom w:val="none" w:sz="0" w:space="0" w:color="auto"/>
        <w:right w:val="none" w:sz="0" w:space="0" w:color="auto"/>
      </w:divBdr>
    </w:div>
    <w:div w:id="971251586">
      <w:bodyDiv w:val="1"/>
      <w:marLeft w:val="0"/>
      <w:marRight w:val="0"/>
      <w:marTop w:val="0"/>
      <w:marBottom w:val="0"/>
      <w:divBdr>
        <w:top w:val="none" w:sz="0" w:space="0" w:color="auto"/>
        <w:left w:val="none" w:sz="0" w:space="0" w:color="auto"/>
        <w:bottom w:val="none" w:sz="0" w:space="0" w:color="auto"/>
        <w:right w:val="none" w:sz="0" w:space="0" w:color="auto"/>
      </w:divBdr>
    </w:div>
    <w:div w:id="971640266">
      <w:bodyDiv w:val="1"/>
      <w:marLeft w:val="0"/>
      <w:marRight w:val="0"/>
      <w:marTop w:val="0"/>
      <w:marBottom w:val="0"/>
      <w:divBdr>
        <w:top w:val="none" w:sz="0" w:space="0" w:color="auto"/>
        <w:left w:val="none" w:sz="0" w:space="0" w:color="auto"/>
        <w:bottom w:val="none" w:sz="0" w:space="0" w:color="auto"/>
        <w:right w:val="none" w:sz="0" w:space="0" w:color="auto"/>
      </w:divBdr>
    </w:div>
    <w:div w:id="975530753">
      <w:bodyDiv w:val="1"/>
      <w:marLeft w:val="0"/>
      <w:marRight w:val="0"/>
      <w:marTop w:val="0"/>
      <w:marBottom w:val="0"/>
      <w:divBdr>
        <w:top w:val="none" w:sz="0" w:space="0" w:color="auto"/>
        <w:left w:val="none" w:sz="0" w:space="0" w:color="auto"/>
        <w:bottom w:val="none" w:sz="0" w:space="0" w:color="auto"/>
        <w:right w:val="none" w:sz="0" w:space="0" w:color="auto"/>
      </w:divBdr>
    </w:div>
    <w:div w:id="977150100">
      <w:bodyDiv w:val="1"/>
      <w:marLeft w:val="0"/>
      <w:marRight w:val="0"/>
      <w:marTop w:val="0"/>
      <w:marBottom w:val="0"/>
      <w:divBdr>
        <w:top w:val="none" w:sz="0" w:space="0" w:color="auto"/>
        <w:left w:val="none" w:sz="0" w:space="0" w:color="auto"/>
        <w:bottom w:val="none" w:sz="0" w:space="0" w:color="auto"/>
        <w:right w:val="none" w:sz="0" w:space="0" w:color="auto"/>
      </w:divBdr>
    </w:div>
    <w:div w:id="978800562">
      <w:bodyDiv w:val="1"/>
      <w:marLeft w:val="0"/>
      <w:marRight w:val="0"/>
      <w:marTop w:val="0"/>
      <w:marBottom w:val="0"/>
      <w:divBdr>
        <w:top w:val="none" w:sz="0" w:space="0" w:color="auto"/>
        <w:left w:val="none" w:sz="0" w:space="0" w:color="auto"/>
        <w:bottom w:val="none" w:sz="0" w:space="0" w:color="auto"/>
        <w:right w:val="none" w:sz="0" w:space="0" w:color="auto"/>
      </w:divBdr>
    </w:div>
    <w:div w:id="978801987">
      <w:bodyDiv w:val="1"/>
      <w:marLeft w:val="0"/>
      <w:marRight w:val="0"/>
      <w:marTop w:val="0"/>
      <w:marBottom w:val="0"/>
      <w:divBdr>
        <w:top w:val="none" w:sz="0" w:space="0" w:color="auto"/>
        <w:left w:val="none" w:sz="0" w:space="0" w:color="auto"/>
        <w:bottom w:val="none" w:sz="0" w:space="0" w:color="auto"/>
        <w:right w:val="none" w:sz="0" w:space="0" w:color="auto"/>
      </w:divBdr>
    </w:div>
    <w:div w:id="979266935">
      <w:bodyDiv w:val="1"/>
      <w:marLeft w:val="0"/>
      <w:marRight w:val="0"/>
      <w:marTop w:val="0"/>
      <w:marBottom w:val="0"/>
      <w:divBdr>
        <w:top w:val="none" w:sz="0" w:space="0" w:color="auto"/>
        <w:left w:val="none" w:sz="0" w:space="0" w:color="auto"/>
        <w:bottom w:val="none" w:sz="0" w:space="0" w:color="auto"/>
        <w:right w:val="none" w:sz="0" w:space="0" w:color="auto"/>
      </w:divBdr>
    </w:div>
    <w:div w:id="979846385">
      <w:bodyDiv w:val="1"/>
      <w:marLeft w:val="0"/>
      <w:marRight w:val="0"/>
      <w:marTop w:val="0"/>
      <w:marBottom w:val="0"/>
      <w:divBdr>
        <w:top w:val="none" w:sz="0" w:space="0" w:color="auto"/>
        <w:left w:val="none" w:sz="0" w:space="0" w:color="auto"/>
        <w:bottom w:val="none" w:sz="0" w:space="0" w:color="auto"/>
        <w:right w:val="none" w:sz="0" w:space="0" w:color="auto"/>
      </w:divBdr>
    </w:div>
    <w:div w:id="980887763">
      <w:bodyDiv w:val="1"/>
      <w:marLeft w:val="0"/>
      <w:marRight w:val="0"/>
      <w:marTop w:val="0"/>
      <w:marBottom w:val="0"/>
      <w:divBdr>
        <w:top w:val="none" w:sz="0" w:space="0" w:color="auto"/>
        <w:left w:val="none" w:sz="0" w:space="0" w:color="auto"/>
        <w:bottom w:val="none" w:sz="0" w:space="0" w:color="auto"/>
        <w:right w:val="none" w:sz="0" w:space="0" w:color="auto"/>
      </w:divBdr>
    </w:div>
    <w:div w:id="981233966">
      <w:bodyDiv w:val="1"/>
      <w:marLeft w:val="0"/>
      <w:marRight w:val="0"/>
      <w:marTop w:val="0"/>
      <w:marBottom w:val="0"/>
      <w:divBdr>
        <w:top w:val="none" w:sz="0" w:space="0" w:color="auto"/>
        <w:left w:val="none" w:sz="0" w:space="0" w:color="auto"/>
        <w:bottom w:val="none" w:sz="0" w:space="0" w:color="auto"/>
        <w:right w:val="none" w:sz="0" w:space="0" w:color="auto"/>
      </w:divBdr>
    </w:div>
    <w:div w:id="982469597">
      <w:bodyDiv w:val="1"/>
      <w:marLeft w:val="0"/>
      <w:marRight w:val="0"/>
      <w:marTop w:val="0"/>
      <w:marBottom w:val="0"/>
      <w:divBdr>
        <w:top w:val="none" w:sz="0" w:space="0" w:color="auto"/>
        <w:left w:val="none" w:sz="0" w:space="0" w:color="auto"/>
        <w:bottom w:val="none" w:sz="0" w:space="0" w:color="auto"/>
        <w:right w:val="none" w:sz="0" w:space="0" w:color="auto"/>
      </w:divBdr>
    </w:div>
    <w:div w:id="984240410">
      <w:bodyDiv w:val="1"/>
      <w:marLeft w:val="0"/>
      <w:marRight w:val="0"/>
      <w:marTop w:val="0"/>
      <w:marBottom w:val="0"/>
      <w:divBdr>
        <w:top w:val="none" w:sz="0" w:space="0" w:color="auto"/>
        <w:left w:val="none" w:sz="0" w:space="0" w:color="auto"/>
        <w:bottom w:val="none" w:sz="0" w:space="0" w:color="auto"/>
        <w:right w:val="none" w:sz="0" w:space="0" w:color="auto"/>
      </w:divBdr>
    </w:div>
    <w:div w:id="985596708">
      <w:bodyDiv w:val="1"/>
      <w:marLeft w:val="0"/>
      <w:marRight w:val="0"/>
      <w:marTop w:val="0"/>
      <w:marBottom w:val="0"/>
      <w:divBdr>
        <w:top w:val="none" w:sz="0" w:space="0" w:color="auto"/>
        <w:left w:val="none" w:sz="0" w:space="0" w:color="auto"/>
        <w:bottom w:val="none" w:sz="0" w:space="0" w:color="auto"/>
        <w:right w:val="none" w:sz="0" w:space="0" w:color="auto"/>
      </w:divBdr>
    </w:div>
    <w:div w:id="990403600">
      <w:bodyDiv w:val="1"/>
      <w:marLeft w:val="0"/>
      <w:marRight w:val="0"/>
      <w:marTop w:val="0"/>
      <w:marBottom w:val="0"/>
      <w:divBdr>
        <w:top w:val="none" w:sz="0" w:space="0" w:color="auto"/>
        <w:left w:val="none" w:sz="0" w:space="0" w:color="auto"/>
        <w:bottom w:val="none" w:sz="0" w:space="0" w:color="auto"/>
        <w:right w:val="none" w:sz="0" w:space="0" w:color="auto"/>
      </w:divBdr>
    </w:div>
    <w:div w:id="991062029">
      <w:bodyDiv w:val="1"/>
      <w:marLeft w:val="0"/>
      <w:marRight w:val="0"/>
      <w:marTop w:val="0"/>
      <w:marBottom w:val="0"/>
      <w:divBdr>
        <w:top w:val="none" w:sz="0" w:space="0" w:color="auto"/>
        <w:left w:val="none" w:sz="0" w:space="0" w:color="auto"/>
        <w:bottom w:val="none" w:sz="0" w:space="0" w:color="auto"/>
        <w:right w:val="none" w:sz="0" w:space="0" w:color="auto"/>
      </w:divBdr>
    </w:div>
    <w:div w:id="992027323">
      <w:bodyDiv w:val="1"/>
      <w:marLeft w:val="0"/>
      <w:marRight w:val="0"/>
      <w:marTop w:val="0"/>
      <w:marBottom w:val="0"/>
      <w:divBdr>
        <w:top w:val="none" w:sz="0" w:space="0" w:color="auto"/>
        <w:left w:val="none" w:sz="0" w:space="0" w:color="auto"/>
        <w:bottom w:val="none" w:sz="0" w:space="0" w:color="auto"/>
        <w:right w:val="none" w:sz="0" w:space="0" w:color="auto"/>
      </w:divBdr>
    </w:div>
    <w:div w:id="993222717">
      <w:bodyDiv w:val="1"/>
      <w:marLeft w:val="0"/>
      <w:marRight w:val="0"/>
      <w:marTop w:val="0"/>
      <w:marBottom w:val="0"/>
      <w:divBdr>
        <w:top w:val="none" w:sz="0" w:space="0" w:color="auto"/>
        <w:left w:val="none" w:sz="0" w:space="0" w:color="auto"/>
        <w:bottom w:val="none" w:sz="0" w:space="0" w:color="auto"/>
        <w:right w:val="none" w:sz="0" w:space="0" w:color="auto"/>
      </w:divBdr>
    </w:div>
    <w:div w:id="995496393">
      <w:bodyDiv w:val="1"/>
      <w:marLeft w:val="0"/>
      <w:marRight w:val="0"/>
      <w:marTop w:val="0"/>
      <w:marBottom w:val="0"/>
      <w:divBdr>
        <w:top w:val="none" w:sz="0" w:space="0" w:color="auto"/>
        <w:left w:val="none" w:sz="0" w:space="0" w:color="auto"/>
        <w:bottom w:val="none" w:sz="0" w:space="0" w:color="auto"/>
        <w:right w:val="none" w:sz="0" w:space="0" w:color="auto"/>
      </w:divBdr>
    </w:div>
    <w:div w:id="995646371">
      <w:bodyDiv w:val="1"/>
      <w:marLeft w:val="0"/>
      <w:marRight w:val="0"/>
      <w:marTop w:val="0"/>
      <w:marBottom w:val="0"/>
      <w:divBdr>
        <w:top w:val="none" w:sz="0" w:space="0" w:color="auto"/>
        <w:left w:val="none" w:sz="0" w:space="0" w:color="auto"/>
        <w:bottom w:val="none" w:sz="0" w:space="0" w:color="auto"/>
        <w:right w:val="none" w:sz="0" w:space="0" w:color="auto"/>
      </w:divBdr>
    </w:div>
    <w:div w:id="997196272">
      <w:bodyDiv w:val="1"/>
      <w:marLeft w:val="0"/>
      <w:marRight w:val="0"/>
      <w:marTop w:val="0"/>
      <w:marBottom w:val="0"/>
      <w:divBdr>
        <w:top w:val="none" w:sz="0" w:space="0" w:color="auto"/>
        <w:left w:val="none" w:sz="0" w:space="0" w:color="auto"/>
        <w:bottom w:val="none" w:sz="0" w:space="0" w:color="auto"/>
        <w:right w:val="none" w:sz="0" w:space="0" w:color="auto"/>
      </w:divBdr>
    </w:div>
    <w:div w:id="998267615">
      <w:bodyDiv w:val="1"/>
      <w:marLeft w:val="0"/>
      <w:marRight w:val="0"/>
      <w:marTop w:val="0"/>
      <w:marBottom w:val="0"/>
      <w:divBdr>
        <w:top w:val="none" w:sz="0" w:space="0" w:color="auto"/>
        <w:left w:val="none" w:sz="0" w:space="0" w:color="auto"/>
        <w:bottom w:val="none" w:sz="0" w:space="0" w:color="auto"/>
        <w:right w:val="none" w:sz="0" w:space="0" w:color="auto"/>
      </w:divBdr>
    </w:div>
    <w:div w:id="1002859817">
      <w:bodyDiv w:val="1"/>
      <w:marLeft w:val="0"/>
      <w:marRight w:val="0"/>
      <w:marTop w:val="0"/>
      <w:marBottom w:val="0"/>
      <w:divBdr>
        <w:top w:val="none" w:sz="0" w:space="0" w:color="auto"/>
        <w:left w:val="none" w:sz="0" w:space="0" w:color="auto"/>
        <w:bottom w:val="none" w:sz="0" w:space="0" w:color="auto"/>
        <w:right w:val="none" w:sz="0" w:space="0" w:color="auto"/>
      </w:divBdr>
    </w:div>
    <w:div w:id="1003162249">
      <w:bodyDiv w:val="1"/>
      <w:marLeft w:val="0"/>
      <w:marRight w:val="0"/>
      <w:marTop w:val="0"/>
      <w:marBottom w:val="0"/>
      <w:divBdr>
        <w:top w:val="none" w:sz="0" w:space="0" w:color="auto"/>
        <w:left w:val="none" w:sz="0" w:space="0" w:color="auto"/>
        <w:bottom w:val="none" w:sz="0" w:space="0" w:color="auto"/>
        <w:right w:val="none" w:sz="0" w:space="0" w:color="auto"/>
      </w:divBdr>
    </w:div>
    <w:div w:id="1003820349">
      <w:bodyDiv w:val="1"/>
      <w:marLeft w:val="0"/>
      <w:marRight w:val="0"/>
      <w:marTop w:val="0"/>
      <w:marBottom w:val="0"/>
      <w:divBdr>
        <w:top w:val="none" w:sz="0" w:space="0" w:color="auto"/>
        <w:left w:val="none" w:sz="0" w:space="0" w:color="auto"/>
        <w:bottom w:val="none" w:sz="0" w:space="0" w:color="auto"/>
        <w:right w:val="none" w:sz="0" w:space="0" w:color="auto"/>
      </w:divBdr>
    </w:div>
    <w:div w:id="1004939385">
      <w:bodyDiv w:val="1"/>
      <w:marLeft w:val="0"/>
      <w:marRight w:val="0"/>
      <w:marTop w:val="0"/>
      <w:marBottom w:val="0"/>
      <w:divBdr>
        <w:top w:val="none" w:sz="0" w:space="0" w:color="auto"/>
        <w:left w:val="none" w:sz="0" w:space="0" w:color="auto"/>
        <w:bottom w:val="none" w:sz="0" w:space="0" w:color="auto"/>
        <w:right w:val="none" w:sz="0" w:space="0" w:color="auto"/>
      </w:divBdr>
    </w:div>
    <w:div w:id="1007712179">
      <w:bodyDiv w:val="1"/>
      <w:marLeft w:val="0"/>
      <w:marRight w:val="0"/>
      <w:marTop w:val="0"/>
      <w:marBottom w:val="0"/>
      <w:divBdr>
        <w:top w:val="none" w:sz="0" w:space="0" w:color="auto"/>
        <w:left w:val="none" w:sz="0" w:space="0" w:color="auto"/>
        <w:bottom w:val="none" w:sz="0" w:space="0" w:color="auto"/>
        <w:right w:val="none" w:sz="0" w:space="0" w:color="auto"/>
      </w:divBdr>
    </w:div>
    <w:div w:id="1010181898">
      <w:bodyDiv w:val="1"/>
      <w:marLeft w:val="0"/>
      <w:marRight w:val="0"/>
      <w:marTop w:val="0"/>
      <w:marBottom w:val="0"/>
      <w:divBdr>
        <w:top w:val="none" w:sz="0" w:space="0" w:color="auto"/>
        <w:left w:val="none" w:sz="0" w:space="0" w:color="auto"/>
        <w:bottom w:val="none" w:sz="0" w:space="0" w:color="auto"/>
        <w:right w:val="none" w:sz="0" w:space="0" w:color="auto"/>
      </w:divBdr>
    </w:div>
    <w:div w:id="1015575834">
      <w:bodyDiv w:val="1"/>
      <w:marLeft w:val="0"/>
      <w:marRight w:val="0"/>
      <w:marTop w:val="0"/>
      <w:marBottom w:val="0"/>
      <w:divBdr>
        <w:top w:val="none" w:sz="0" w:space="0" w:color="auto"/>
        <w:left w:val="none" w:sz="0" w:space="0" w:color="auto"/>
        <w:bottom w:val="none" w:sz="0" w:space="0" w:color="auto"/>
        <w:right w:val="none" w:sz="0" w:space="0" w:color="auto"/>
      </w:divBdr>
    </w:div>
    <w:div w:id="1016923434">
      <w:bodyDiv w:val="1"/>
      <w:marLeft w:val="0"/>
      <w:marRight w:val="0"/>
      <w:marTop w:val="0"/>
      <w:marBottom w:val="0"/>
      <w:divBdr>
        <w:top w:val="none" w:sz="0" w:space="0" w:color="auto"/>
        <w:left w:val="none" w:sz="0" w:space="0" w:color="auto"/>
        <w:bottom w:val="none" w:sz="0" w:space="0" w:color="auto"/>
        <w:right w:val="none" w:sz="0" w:space="0" w:color="auto"/>
      </w:divBdr>
    </w:div>
    <w:div w:id="1017927576">
      <w:bodyDiv w:val="1"/>
      <w:marLeft w:val="0"/>
      <w:marRight w:val="0"/>
      <w:marTop w:val="0"/>
      <w:marBottom w:val="0"/>
      <w:divBdr>
        <w:top w:val="none" w:sz="0" w:space="0" w:color="auto"/>
        <w:left w:val="none" w:sz="0" w:space="0" w:color="auto"/>
        <w:bottom w:val="none" w:sz="0" w:space="0" w:color="auto"/>
        <w:right w:val="none" w:sz="0" w:space="0" w:color="auto"/>
      </w:divBdr>
    </w:div>
    <w:div w:id="1018190408">
      <w:bodyDiv w:val="1"/>
      <w:marLeft w:val="0"/>
      <w:marRight w:val="0"/>
      <w:marTop w:val="0"/>
      <w:marBottom w:val="0"/>
      <w:divBdr>
        <w:top w:val="none" w:sz="0" w:space="0" w:color="auto"/>
        <w:left w:val="none" w:sz="0" w:space="0" w:color="auto"/>
        <w:bottom w:val="none" w:sz="0" w:space="0" w:color="auto"/>
        <w:right w:val="none" w:sz="0" w:space="0" w:color="auto"/>
      </w:divBdr>
    </w:div>
    <w:div w:id="1018583254">
      <w:bodyDiv w:val="1"/>
      <w:marLeft w:val="0"/>
      <w:marRight w:val="0"/>
      <w:marTop w:val="0"/>
      <w:marBottom w:val="0"/>
      <w:divBdr>
        <w:top w:val="none" w:sz="0" w:space="0" w:color="auto"/>
        <w:left w:val="none" w:sz="0" w:space="0" w:color="auto"/>
        <w:bottom w:val="none" w:sz="0" w:space="0" w:color="auto"/>
        <w:right w:val="none" w:sz="0" w:space="0" w:color="auto"/>
      </w:divBdr>
    </w:div>
    <w:div w:id="1018972870">
      <w:bodyDiv w:val="1"/>
      <w:marLeft w:val="0"/>
      <w:marRight w:val="0"/>
      <w:marTop w:val="0"/>
      <w:marBottom w:val="0"/>
      <w:divBdr>
        <w:top w:val="none" w:sz="0" w:space="0" w:color="auto"/>
        <w:left w:val="none" w:sz="0" w:space="0" w:color="auto"/>
        <w:bottom w:val="none" w:sz="0" w:space="0" w:color="auto"/>
        <w:right w:val="none" w:sz="0" w:space="0" w:color="auto"/>
      </w:divBdr>
    </w:div>
    <w:div w:id="1022853087">
      <w:bodyDiv w:val="1"/>
      <w:marLeft w:val="0"/>
      <w:marRight w:val="0"/>
      <w:marTop w:val="0"/>
      <w:marBottom w:val="0"/>
      <w:divBdr>
        <w:top w:val="none" w:sz="0" w:space="0" w:color="auto"/>
        <w:left w:val="none" w:sz="0" w:space="0" w:color="auto"/>
        <w:bottom w:val="none" w:sz="0" w:space="0" w:color="auto"/>
        <w:right w:val="none" w:sz="0" w:space="0" w:color="auto"/>
      </w:divBdr>
    </w:div>
    <w:div w:id="1022901669">
      <w:bodyDiv w:val="1"/>
      <w:marLeft w:val="0"/>
      <w:marRight w:val="0"/>
      <w:marTop w:val="0"/>
      <w:marBottom w:val="0"/>
      <w:divBdr>
        <w:top w:val="none" w:sz="0" w:space="0" w:color="auto"/>
        <w:left w:val="none" w:sz="0" w:space="0" w:color="auto"/>
        <w:bottom w:val="none" w:sz="0" w:space="0" w:color="auto"/>
        <w:right w:val="none" w:sz="0" w:space="0" w:color="auto"/>
      </w:divBdr>
    </w:div>
    <w:div w:id="1023091387">
      <w:bodyDiv w:val="1"/>
      <w:marLeft w:val="0"/>
      <w:marRight w:val="0"/>
      <w:marTop w:val="0"/>
      <w:marBottom w:val="0"/>
      <w:divBdr>
        <w:top w:val="none" w:sz="0" w:space="0" w:color="auto"/>
        <w:left w:val="none" w:sz="0" w:space="0" w:color="auto"/>
        <w:bottom w:val="none" w:sz="0" w:space="0" w:color="auto"/>
        <w:right w:val="none" w:sz="0" w:space="0" w:color="auto"/>
      </w:divBdr>
    </w:div>
    <w:div w:id="1029256760">
      <w:bodyDiv w:val="1"/>
      <w:marLeft w:val="0"/>
      <w:marRight w:val="0"/>
      <w:marTop w:val="0"/>
      <w:marBottom w:val="0"/>
      <w:divBdr>
        <w:top w:val="none" w:sz="0" w:space="0" w:color="auto"/>
        <w:left w:val="none" w:sz="0" w:space="0" w:color="auto"/>
        <w:bottom w:val="none" w:sz="0" w:space="0" w:color="auto"/>
        <w:right w:val="none" w:sz="0" w:space="0" w:color="auto"/>
      </w:divBdr>
    </w:div>
    <w:div w:id="1029913662">
      <w:bodyDiv w:val="1"/>
      <w:marLeft w:val="0"/>
      <w:marRight w:val="0"/>
      <w:marTop w:val="0"/>
      <w:marBottom w:val="0"/>
      <w:divBdr>
        <w:top w:val="none" w:sz="0" w:space="0" w:color="auto"/>
        <w:left w:val="none" w:sz="0" w:space="0" w:color="auto"/>
        <w:bottom w:val="none" w:sz="0" w:space="0" w:color="auto"/>
        <w:right w:val="none" w:sz="0" w:space="0" w:color="auto"/>
      </w:divBdr>
    </w:div>
    <w:div w:id="1034379791">
      <w:bodyDiv w:val="1"/>
      <w:marLeft w:val="0"/>
      <w:marRight w:val="0"/>
      <w:marTop w:val="0"/>
      <w:marBottom w:val="0"/>
      <w:divBdr>
        <w:top w:val="none" w:sz="0" w:space="0" w:color="auto"/>
        <w:left w:val="none" w:sz="0" w:space="0" w:color="auto"/>
        <w:bottom w:val="none" w:sz="0" w:space="0" w:color="auto"/>
        <w:right w:val="none" w:sz="0" w:space="0" w:color="auto"/>
      </w:divBdr>
    </w:div>
    <w:div w:id="1037391813">
      <w:bodyDiv w:val="1"/>
      <w:marLeft w:val="0"/>
      <w:marRight w:val="0"/>
      <w:marTop w:val="0"/>
      <w:marBottom w:val="0"/>
      <w:divBdr>
        <w:top w:val="none" w:sz="0" w:space="0" w:color="auto"/>
        <w:left w:val="none" w:sz="0" w:space="0" w:color="auto"/>
        <w:bottom w:val="none" w:sz="0" w:space="0" w:color="auto"/>
        <w:right w:val="none" w:sz="0" w:space="0" w:color="auto"/>
      </w:divBdr>
    </w:div>
    <w:div w:id="1037437221">
      <w:bodyDiv w:val="1"/>
      <w:marLeft w:val="0"/>
      <w:marRight w:val="0"/>
      <w:marTop w:val="0"/>
      <w:marBottom w:val="0"/>
      <w:divBdr>
        <w:top w:val="none" w:sz="0" w:space="0" w:color="auto"/>
        <w:left w:val="none" w:sz="0" w:space="0" w:color="auto"/>
        <w:bottom w:val="none" w:sz="0" w:space="0" w:color="auto"/>
        <w:right w:val="none" w:sz="0" w:space="0" w:color="auto"/>
      </w:divBdr>
    </w:div>
    <w:div w:id="1037848821">
      <w:bodyDiv w:val="1"/>
      <w:marLeft w:val="0"/>
      <w:marRight w:val="0"/>
      <w:marTop w:val="0"/>
      <w:marBottom w:val="0"/>
      <w:divBdr>
        <w:top w:val="none" w:sz="0" w:space="0" w:color="auto"/>
        <w:left w:val="none" w:sz="0" w:space="0" w:color="auto"/>
        <w:bottom w:val="none" w:sz="0" w:space="0" w:color="auto"/>
        <w:right w:val="none" w:sz="0" w:space="0" w:color="auto"/>
      </w:divBdr>
    </w:div>
    <w:div w:id="1040974116">
      <w:bodyDiv w:val="1"/>
      <w:marLeft w:val="0"/>
      <w:marRight w:val="0"/>
      <w:marTop w:val="0"/>
      <w:marBottom w:val="0"/>
      <w:divBdr>
        <w:top w:val="none" w:sz="0" w:space="0" w:color="auto"/>
        <w:left w:val="none" w:sz="0" w:space="0" w:color="auto"/>
        <w:bottom w:val="none" w:sz="0" w:space="0" w:color="auto"/>
        <w:right w:val="none" w:sz="0" w:space="0" w:color="auto"/>
      </w:divBdr>
    </w:div>
    <w:div w:id="1041906529">
      <w:bodyDiv w:val="1"/>
      <w:marLeft w:val="0"/>
      <w:marRight w:val="0"/>
      <w:marTop w:val="0"/>
      <w:marBottom w:val="0"/>
      <w:divBdr>
        <w:top w:val="none" w:sz="0" w:space="0" w:color="auto"/>
        <w:left w:val="none" w:sz="0" w:space="0" w:color="auto"/>
        <w:bottom w:val="none" w:sz="0" w:space="0" w:color="auto"/>
        <w:right w:val="none" w:sz="0" w:space="0" w:color="auto"/>
      </w:divBdr>
    </w:div>
    <w:div w:id="1041907035">
      <w:bodyDiv w:val="1"/>
      <w:marLeft w:val="0"/>
      <w:marRight w:val="0"/>
      <w:marTop w:val="0"/>
      <w:marBottom w:val="0"/>
      <w:divBdr>
        <w:top w:val="none" w:sz="0" w:space="0" w:color="auto"/>
        <w:left w:val="none" w:sz="0" w:space="0" w:color="auto"/>
        <w:bottom w:val="none" w:sz="0" w:space="0" w:color="auto"/>
        <w:right w:val="none" w:sz="0" w:space="0" w:color="auto"/>
      </w:divBdr>
    </w:div>
    <w:div w:id="1043752069">
      <w:bodyDiv w:val="1"/>
      <w:marLeft w:val="0"/>
      <w:marRight w:val="0"/>
      <w:marTop w:val="0"/>
      <w:marBottom w:val="0"/>
      <w:divBdr>
        <w:top w:val="none" w:sz="0" w:space="0" w:color="auto"/>
        <w:left w:val="none" w:sz="0" w:space="0" w:color="auto"/>
        <w:bottom w:val="none" w:sz="0" w:space="0" w:color="auto"/>
        <w:right w:val="none" w:sz="0" w:space="0" w:color="auto"/>
      </w:divBdr>
    </w:div>
    <w:div w:id="1044020184">
      <w:bodyDiv w:val="1"/>
      <w:marLeft w:val="0"/>
      <w:marRight w:val="0"/>
      <w:marTop w:val="0"/>
      <w:marBottom w:val="0"/>
      <w:divBdr>
        <w:top w:val="none" w:sz="0" w:space="0" w:color="auto"/>
        <w:left w:val="none" w:sz="0" w:space="0" w:color="auto"/>
        <w:bottom w:val="none" w:sz="0" w:space="0" w:color="auto"/>
        <w:right w:val="none" w:sz="0" w:space="0" w:color="auto"/>
      </w:divBdr>
    </w:div>
    <w:div w:id="1045059165">
      <w:bodyDiv w:val="1"/>
      <w:marLeft w:val="0"/>
      <w:marRight w:val="0"/>
      <w:marTop w:val="0"/>
      <w:marBottom w:val="0"/>
      <w:divBdr>
        <w:top w:val="none" w:sz="0" w:space="0" w:color="auto"/>
        <w:left w:val="none" w:sz="0" w:space="0" w:color="auto"/>
        <w:bottom w:val="none" w:sz="0" w:space="0" w:color="auto"/>
        <w:right w:val="none" w:sz="0" w:space="0" w:color="auto"/>
      </w:divBdr>
    </w:div>
    <w:div w:id="1046248807">
      <w:bodyDiv w:val="1"/>
      <w:marLeft w:val="0"/>
      <w:marRight w:val="0"/>
      <w:marTop w:val="0"/>
      <w:marBottom w:val="0"/>
      <w:divBdr>
        <w:top w:val="none" w:sz="0" w:space="0" w:color="auto"/>
        <w:left w:val="none" w:sz="0" w:space="0" w:color="auto"/>
        <w:bottom w:val="none" w:sz="0" w:space="0" w:color="auto"/>
        <w:right w:val="none" w:sz="0" w:space="0" w:color="auto"/>
      </w:divBdr>
    </w:div>
    <w:div w:id="1049037114">
      <w:bodyDiv w:val="1"/>
      <w:marLeft w:val="0"/>
      <w:marRight w:val="0"/>
      <w:marTop w:val="0"/>
      <w:marBottom w:val="0"/>
      <w:divBdr>
        <w:top w:val="none" w:sz="0" w:space="0" w:color="auto"/>
        <w:left w:val="none" w:sz="0" w:space="0" w:color="auto"/>
        <w:bottom w:val="none" w:sz="0" w:space="0" w:color="auto"/>
        <w:right w:val="none" w:sz="0" w:space="0" w:color="auto"/>
      </w:divBdr>
    </w:div>
    <w:div w:id="1049646638">
      <w:bodyDiv w:val="1"/>
      <w:marLeft w:val="0"/>
      <w:marRight w:val="0"/>
      <w:marTop w:val="0"/>
      <w:marBottom w:val="0"/>
      <w:divBdr>
        <w:top w:val="none" w:sz="0" w:space="0" w:color="auto"/>
        <w:left w:val="none" w:sz="0" w:space="0" w:color="auto"/>
        <w:bottom w:val="none" w:sz="0" w:space="0" w:color="auto"/>
        <w:right w:val="none" w:sz="0" w:space="0" w:color="auto"/>
      </w:divBdr>
    </w:div>
    <w:div w:id="1053196131">
      <w:bodyDiv w:val="1"/>
      <w:marLeft w:val="0"/>
      <w:marRight w:val="0"/>
      <w:marTop w:val="0"/>
      <w:marBottom w:val="0"/>
      <w:divBdr>
        <w:top w:val="none" w:sz="0" w:space="0" w:color="auto"/>
        <w:left w:val="none" w:sz="0" w:space="0" w:color="auto"/>
        <w:bottom w:val="none" w:sz="0" w:space="0" w:color="auto"/>
        <w:right w:val="none" w:sz="0" w:space="0" w:color="auto"/>
      </w:divBdr>
    </w:div>
    <w:div w:id="1053196238">
      <w:bodyDiv w:val="1"/>
      <w:marLeft w:val="0"/>
      <w:marRight w:val="0"/>
      <w:marTop w:val="0"/>
      <w:marBottom w:val="0"/>
      <w:divBdr>
        <w:top w:val="none" w:sz="0" w:space="0" w:color="auto"/>
        <w:left w:val="none" w:sz="0" w:space="0" w:color="auto"/>
        <w:bottom w:val="none" w:sz="0" w:space="0" w:color="auto"/>
        <w:right w:val="none" w:sz="0" w:space="0" w:color="auto"/>
      </w:divBdr>
    </w:div>
    <w:div w:id="1058164185">
      <w:bodyDiv w:val="1"/>
      <w:marLeft w:val="0"/>
      <w:marRight w:val="0"/>
      <w:marTop w:val="0"/>
      <w:marBottom w:val="0"/>
      <w:divBdr>
        <w:top w:val="none" w:sz="0" w:space="0" w:color="auto"/>
        <w:left w:val="none" w:sz="0" w:space="0" w:color="auto"/>
        <w:bottom w:val="none" w:sz="0" w:space="0" w:color="auto"/>
        <w:right w:val="none" w:sz="0" w:space="0" w:color="auto"/>
      </w:divBdr>
    </w:div>
    <w:div w:id="1058819233">
      <w:bodyDiv w:val="1"/>
      <w:marLeft w:val="0"/>
      <w:marRight w:val="0"/>
      <w:marTop w:val="0"/>
      <w:marBottom w:val="0"/>
      <w:divBdr>
        <w:top w:val="none" w:sz="0" w:space="0" w:color="auto"/>
        <w:left w:val="none" w:sz="0" w:space="0" w:color="auto"/>
        <w:bottom w:val="none" w:sz="0" w:space="0" w:color="auto"/>
        <w:right w:val="none" w:sz="0" w:space="0" w:color="auto"/>
      </w:divBdr>
    </w:div>
    <w:div w:id="1059137303">
      <w:bodyDiv w:val="1"/>
      <w:marLeft w:val="0"/>
      <w:marRight w:val="0"/>
      <w:marTop w:val="0"/>
      <w:marBottom w:val="0"/>
      <w:divBdr>
        <w:top w:val="none" w:sz="0" w:space="0" w:color="auto"/>
        <w:left w:val="none" w:sz="0" w:space="0" w:color="auto"/>
        <w:bottom w:val="none" w:sz="0" w:space="0" w:color="auto"/>
        <w:right w:val="none" w:sz="0" w:space="0" w:color="auto"/>
      </w:divBdr>
    </w:div>
    <w:div w:id="1061557674">
      <w:bodyDiv w:val="1"/>
      <w:marLeft w:val="0"/>
      <w:marRight w:val="0"/>
      <w:marTop w:val="0"/>
      <w:marBottom w:val="0"/>
      <w:divBdr>
        <w:top w:val="none" w:sz="0" w:space="0" w:color="auto"/>
        <w:left w:val="none" w:sz="0" w:space="0" w:color="auto"/>
        <w:bottom w:val="none" w:sz="0" w:space="0" w:color="auto"/>
        <w:right w:val="none" w:sz="0" w:space="0" w:color="auto"/>
      </w:divBdr>
    </w:div>
    <w:div w:id="1062868793">
      <w:bodyDiv w:val="1"/>
      <w:marLeft w:val="0"/>
      <w:marRight w:val="0"/>
      <w:marTop w:val="0"/>
      <w:marBottom w:val="0"/>
      <w:divBdr>
        <w:top w:val="none" w:sz="0" w:space="0" w:color="auto"/>
        <w:left w:val="none" w:sz="0" w:space="0" w:color="auto"/>
        <w:bottom w:val="none" w:sz="0" w:space="0" w:color="auto"/>
        <w:right w:val="none" w:sz="0" w:space="0" w:color="auto"/>
      </w:divBdr>
    </w:div>
    <w:div w:id="1064910511">
      <w:bodyDiv w:val="1"/>
      <w:marLeft w:val="0"/>
      <w:marRight w:val="0"/>
      <w:marTop w:val="0"/>
      <w:marBottom w:val="0"/>
      <w:divBdr>
        <w:top w:val="none" w:sz="0" w:space="0" w:color="auto"/>
        <w:left w:val="none" w:sz="0" w:space="0" w:color="auto"/>
        <w:bottom w:val="none" w:sz="0" w:space="0" w:color="auto"/>
        <w:right w:val="none" w:sz="0" w:space="0" w:color="auto"/>
      </w:divBdr>
    </w:div>
    <w:div w:id="1065639150">
      <w:bodyDiv w:val="1"/>
      <w:marLeft w:val="0"/>
      <w:marRight w:val="0"/>
      <w:marTop w:val="0"/>
      <w:marBottom w:val="0"/>
      <w:divBdr>
        <w:top w:val="none" w:sz="0" w:space="0" w:color="auto"/>
        <w:left w:val="none" w:sz="0" w:space="0" w:color="auto"/>
        <w:bottom w:val="none" w:sz="0" w:space="0" w:color="auto"/>
        <w:right w:val="none" w:sz="0" w:space="0" w:color="auto"/>
      </w:divBdr>
    </w:div>
    <w:div w:id="1067151267">
      <w:bodyDiv w:val="1"/>
      <w:marLeft w:val="0"/>
      <w:marRight w:val="0"/>
      <w:marTop w:val="0"/>
      <w:marBottom w:val="0"/>
      <w:divBdr>
        <w:top w:val="none" w:sz="0" w:space="0" w:color="auto"/>
        <w:left w:val="none" w:sz="0" w:space="0" w:color="auto"/>
        <w:bottom w:val="none" w:sz="0" w:space="0" w:color="auto"/>
        <w:right w:val="none" w:sz="0" w:space="0" w:color="auto"/>
      </w:divBdr>
    </w:div>
    <w:div w:id="1068844392">
      <w:bodyDiv w:val="1"/>
      <w:marLeft w:val="0"/>
      <w:marRight w:val="0"/>
      <w:marTop w:val="0"/>
      <w:marBottom w:val="0"/>
      <w:divBdr>
        <w:top w:val="none" w:sz="0" w:space="0" w:color="auto"/>
        <w:left w:val="none" w:sz="0" w:space="0" w:color="auto"/>
        <w:bottom w:val="none" w:sz="0" w:space="0" w:color="auto"/>
        <w:right w:val="none" w:sz="0" w:space="0" w:color="auto"/>
      </w:divBdr>
    </w:div>
    <w:div w:id="1069108297">
      <w:bodyDiv w:val="1"/>
      <w:marLeft w:val="0"/>
      <w:marRight w:val="0"/>
      <w:marTop w:val="0"/>
      <w:marBottom w:val="0"/>
      <w:divBdr>
        <w:top w:val="none" w:sz="0" w:space="0" w:color="auto"/>
        <w:left w:val="none" w:sz="0" w:space="0" w:color="auto"/>
        <w:bottom w:val="none" w:sz="0" w:space="0" w:color="auto"/>
        <w:right w:val="none" w:sz="0" w:space="0" w:color="auto"/>
      </w:divBdr>
    </w:div>
    <w:div w:id="1069885999">
      <w:bodyDiv w:val="1"/>
      <w:marLeft w:val="0"/>
      <w:marRight w:val="0"/>
      <w:marTop w:val="0"/>
      <w:marBottom w:val="0"/>
      <w:divBdr>
        <w:top w:val="none" w:sz="0" w:space="0" w:color="auto"/>
        <w:left w:val="none" w:sz="0" w:space="0" w:color="auto"/>
        <w:bottom w:val="none" w:sz="0" w:space="0" w:color="auto"/>
        <w:right w:val="none" w:sz="0" w:space="0" w:color="auto"/>
      </w:divBdr>
    </w:div>
    <w:div w:id="1070424335">
      <w:bodyDiv w:val="1"/>
      <w:marLeft w:val="0"/>
      <w:marRight w:val="0"/>
      <w:marTop w:val="0"/>
      <w:marBottom w:val="0"/>
      <w:divBdr>
        <w:top w:val="none" w:sz="0" w:space="0" w:color="auto"/>
        <w:left w:val="none" w:sz="0" w:space="0" w:color="auto"/>
        <w:bottom w:val="none" w:sz="0" w:space="0" w:color="auto"/>
        <w:right w:val="none" w:sz="0" w:space="0" w:color="auto"/>
      </w:divBdr>
    </w:div>
    <w:div w:id="1074545821">
      <w:bodyDiv w:val="1"/>
      <w:marLeft w:val="0"/>
      <w:marRight w:val="0"/>
      <w:marTop w:val="0"/>
      <w:marBottom w:val="0"/>
      <w:divBdr>
        <w:top w:val="none" w:sz="0" w:space="0" w:color="auto"/>
        <w:left w:val="none" w:sz="0" w:space="0" w:color="auto"/>
        <w:bottom w:val="none" w:sz="0" w:space="0" w:color="auto"/>
        <w:right w:val="none" w:sz="0" w:space="0" w:color="auto"/>
      </w:divBdr>
    </w:div>
    <w:div w:id="1074938370">
      <w:bodyDiv w:val="1"/>
      <w:marLeft w:val="0"/>
      <w:marRight w:val="0"/>
      <w:marTop w:val="0"/>
      <w:marBottom w:val="0"/>
      <w:divBdr>
        <w:top w:val="none" w:sz="0" w:space="0" w:color="auto"/>
        <w:left w:val="none" w:sz="0" w:space="0" w:color="auto"/>
        <w:bottom w:val="none" w:sz="0" w:space="0" w:color="auto"/>
        <w:right w:val="none" w:sz="0" w:space="0" w:color="auto"/>
      </w:divBdr>
    </w:div>
    <w:div w:id="1075591243">
      <w:bodyDiv w:val="1"/>
      <w:marLeft w:val="0"/>
      <w:marRight w:val="0"/>
      <w:marTop w:val="0"/>
      <w:marBottom w:val="0"/>
      <w:divBdr>
        <w:top w:val="none" w:sz="0" w:space="0" w:color="auto"/>
        <w:left w:val="none" w:sz="0" w:space="0" w:color="auto"/>
        <w:bottom w:val="none" w:sz="0" w:space="0" w:color="auto"/>
        <w:right w:val="none" w:sz="0" w:space="0" w:color="auto"/>
      </w:divBdr>
    </w:div>
    <w:div w:id="1080442793">
      <w:bodyDiv w:val="1"/>
      <w:marLeft w:val="0"/>
      <w:marRight w:val="0"/>
      <w:marTop w:val="0"/>
      <w:marBottom w:val="0"/>
      <w:divBdr>
        <w:top w:val="none" w:sz="0" w:space="0" w:color="auto"/>
        <w:left w:val="none" w:sz="0" w:space="0" w:color="auto"/>
        <w:bottom w:val="none" w:sz="0" w:space="0" w:color="auto"/>
        <w:right w:val="none" w:sz="0" w:space="0" w:color="auto"/>
      </w:divBdr>
    </w:div>
    <w:div w:id="1081609154">
      <w:bodyDiv w:val="1"/>
      <w:marLeft w:val="0"/>
      <w:marRight w:val="0"/>
      <w:marTop w:val="0"/>
      <w:marBottom w:val="0"/>
      <w:divBdr>
        <w:top w:val="none" w:sz="0" w:space="0" w:color="auto"/>
        <w:left w:val="none" w:sz="0" w:space="0" w:color="auto"/>
        <w:bottom w:val="none" w:sz="0" w:space="0" w:color="auto"/>
        <w:right w:val="none" w:sz="0" w:space="0" w:color="auto"/>
      </w:divBdr>
    </w:div>
    <w:div w:id="1082677782">
      <w:bodyDiv w:val="1"/>
      <w:marLeft w:val="0"/>
      <w:marRight w:val="0"/>
      <w:marTop w:val="0"/>
      <w:marBottom w:val="0"/>
      <w:divBdr>
        <w:top w:val="none" w:sz="0" w:space="0" w:color="auto"/>
        <w:left w:val="none" w:sz="0" w:space="0" w:color="auto"/>
        <w:bottom w:val="none" w:sz="0" w:space="0" w:color="auto"/>
        <w:right w:val="none" w:sz="0" w:space="0" w:color="auto"/>
      </w:divBdr>
    </w:div>
    <w:div w:id="1083600265">
      <w:bodyDiv w:val="1"/>
      <w:marLeft w:val="0"/>
      <w:marRight w:val="0"/>
      <w:marTop w:val="0"/>
      <w:marBottom w:val="0"/>
      <w:divBdr>
        <w:top w:val="none" w:sz="0" w:space="0" w:color="auto"/>
        <w:left w:val="none" w:sz="0" w:space="0" w:color="auto"/>
        <w:bottom w:val="none" w:sz="0" w:space="0" w:color="auto"/>
        <w:right w:val="none" w:sz="0" w:space="0" w:color="auto"/>
      </w:divBdr>
    </w:div>
    <w:div w:id="1091316357">
      <w:bodyDiv w:val="1"/>
      <w:marLeft w:val="0"/>
      <w:marRight w:val="0"/>
      <w:marTop w:val="0"/>
      <w:marBottom w:val="0"/>
      <w:divBdr>
        <w:top w:val="none" w:sz="0" w:space="0" w:color="auto"/>
        <w:left w:val="none" w:sz="0" w:space="0" w:color="auto"/>
        <w:bottom w:val="none" w:sz="0" w:space="0" w:color="auto"/>
        <w:right w:val="none" w:sz="0" w:space="0" w:color="auto"/>
      </w:divBdr>
    </w:div>
    <w:div w:id="1091465934">
      <w:bodyDiv w:val="1"/>
      <w:marLeft w:val="0"/>
      <w:marRight w:val="0"/>
      <w:marTop w:val="0"/>
      <w:marBottom w:val="0"/>
      <w:divBdr>
        <w:top w:val="none" w:sz="0" w:space="0" w:color="auto"/>
        <w:left w:val="none" w:sz="0" w:space="0" w:color="auto"/>
        <w:bottom w:val="none" w:sz="0" w:space="0" w:color="auto"/>
        <w:right w:val="none" w:sz="0" w:space="0" w:color="auto"/>
      </w:divBdr>
    </w:div>
    <w:div w:id="1091702520">
      <w:bodyDiv w:val="1"/>
      <w:marLeft w:val="0"/>
      <w:marRight w:val="0"/>
      <w:marTop w:val="0"/>
      <w:marBottom w:val="0"/>
      <w:divBdr>
        <w:top w:val="none" w:sz="0" w:space="0" w:color="auto"/>
        <w:left w:val="none" w:sz="0" w:space="0" w:color="auto"/>
        <w:bottom w:val="none" w:sz="0" w:space="0" w:color="auto"/>
        <w:right w:val="none" w:sz="0" w:space="0" w:color="auto"/>
      </w:divBdr>
    </w:div>
    <w:div w:id="1092042679">
      <w:bodyDiv w:val="1"/>
      <w:marLeft w:val="0"/>
      <w:marRight w:val="0"/>
      <w:marTop w:val="0"/>
      <w:marBottom w:val="0"/>
      <w:divBdr>
        <w:top w:val="none" w:sz="0" w:space="0" w:color="auto"/>
        <w:left w:val="none" w:sz="0" w:space="0" w:color="auto"/>
        <w:bottom w:val="none" w:sz="0" w:space="0" w:color="auto"/>
        <w:right w:val="none" w:sz="0" w:space="0" w:color="auto"/>
      </w:divBdr>
    </w:div>
    <w:div w:id="1094786147">
      <w:bodyDiv w:val="1"/>
      <w:marLeft w:val="0"/>
      <w:marRight w:val="0"/>
      <w:marTop w:val="0"/>
      <w:marBottom w:val="0"/>
      <w:divBdr>
        <w:top w:val="none" w:sz="0" w:space="0" w:color="auto"/>
        <w:left w:val="none" w:sz="0" w:space="0" w:color="auto"/>
        <w:bottom w:val="none" w:sz="0" w:space="0" w:color="auto"/>
        <w:right w:val="none" w:sz="0" w:space="0" w:color="auto"/>
      </w:divBdr>
    </w:div>
    <w:div w:id="1094859993">
      <w:bodyDiv w:val="1"/>
      <w:marLeft w:val="0"/>
      <w:marRight w:val="0"/>
      <w:marTop w:val="0"/>
      <w:marBottom w:val="0"/>
      <w:divBdr>
        <w:top w:val="none" w:sz="0" w:space="0" w:color="auto"/>
        <w:left w:val="none" w:sz="0" w:space="0" w:color="auto"/>
        <w:bottom w:val="none" w:sz="0" w:space="0" w:color="auto"/>
        <w:right w:val="none" w:sz="0" w:space="0" w:color="auto"/>
      </w:divBdr>
    </w:div>
    <w:div w:id="1094863705">
      <w:bodyDiv w:val="1"/>
      <w:marLeft w:val="0"/>
      <w:marRight w:val="0"/>
      <w:marTop w:val="0"/>
      <w:marBottom w:val="0"/>
      <w:divBdr>
        <w:top w:val="none" w:sz="0" w:space="0" w:color="auto"/>
        <w:left w:val="none" w:sz="0" w:space="0" w:color="auto"/>
        <w:bottom w:val="none" w:sz="0" w:space="0" w:color="auto"/>
        <w:right w:val="none" w:sz="0" w:space="0" w:color="auto"/>
      </w:divBdr>
    </w:div>
    <w:div w:id="1095438045">
      <w:bodyDiv w:val="1"/>
      <w:marLeft w:val="0"/>
      <w:marRight w:val="0"/>
      <w:marTop w:val="0"/>
      <w:marBottom w:val="0"/>
      <w:divBdr>
        <w:top w:val="none" w:sz="0" w:space="0" w:color="auto"/>
        <w:left w:val="none" w:sz="0" w:space="0" w:color="auto"/>
        <w:bottom w:val="none" w:sz="0" w:space="0" w:color="auto"/>
        <w:right w:val="none" w:sz="0" w:space="0" w:color="auto"/>
      </w:divBdr>
    </w:div>
    <w:div w:id="1096486132">
      <w:bodyDiv w:val="1"/>
      <w:marLeft w:val="0"/>
      <w:marRight w:val="0"/>
      <w:marTop w:val="0"/>
      <w:marBottom w:val="0"/>
      <w:divBdr>
        <w:top w:val="none" w:sz="0" w:space="0" w:color="auto"/>
        <w:left w:val="none" w:sz="0" w:space="0" w:color="auto"/>
        <w:bottom w:val="none" w:sz="0" w:space="0" w:color="auto"/>
        <w:right w:val="none" w:sz="0" w:space="0" w:color="auto"/>
      </w:divBdr>
    </w:div>
    <w:div w:id="1098401763">
      <w:bodyDiv w:val="1"/>
      <w:marLeft w:val="0"/>
      <w:marRight w:val="0"/>
      <w:marTop w:val="0"/>
      <w:marBottom w:val="0"/>
      <w:divBdr>
        <w:top w:val="none" w:sz="0" w:space="0" w:color="auto"/>
        <w:left w:val="none" w:sz="0" w:space="0" w:color="auto"/>
        <w:bottom w:val="none" w:sz="0" w:space="0" w:color="auto"/>
        <w:right w:val="none" w:sz="0" w:space="0" w:color="auto"/>
      </w:divBdr>
    </w:div>
    <w:div w:id="1098407038">
      <w:bodyDiv w:val="1"/>
      <w:marLeft w:val="0"/>
      <w:marRight w:val="0"/>
      <w:marTop w:val="0"/>
      <w:marBottom w:val="0"/>
      <w:divBdr>
        <w:top w:val="none" w:sz="0" w:space="0" w:color="auto"/>
        <w:left w:val="none" w:sz="0" w:space="0" w:color="auto"/>
        <w:bottom w:val="none" w:sz="0" w:space="0" w:color="auto"/>
        <w:right w:val="none" w:sz="0" w:space="0" w:color="auto"/>
      </w:divBdr>
    </w:div>
    <w:div w:id="1099326242">
      <w:bodyDiv w:val="1"/>
      <w:marLeft w:val="0"/>
      <w:marRight w:val="0"/>
      <w:marTop w:val="0"/>
      <w:marBottom w:val="0"/>
      <w:divBdr>
        <w:top w:val="none" w:sz="0" w:space="0" w:color="auto"/>
        <w:left w:val="none" w:sz="0" w:space="0" w:color="auto"/>
        <w:bottom w:val="none" w:sz="0" w:space="0" w:color="auto"/>
        <w:right w:val="none" w:sz="0" w:space="0" w:color="auto"/>
      </w:divBdr>
    </w:div>
    <w:div w:id="1105004252">
      <w:bodyDiv w:val="1"/>
      <w:marLeft w:val="0"/>
      <w:marRight w:val="0"/>
      <w:marTop w:val="0"/>
      <w:marBottom w:val="0"/>
      <w:divBdr>
        <w:top w:val="none" w:sz="0" w:space="0" w:color="auto"/>
        <w:left w:val="none" w:sz="0" w:space="0" w:color="auto"/>
        <w:bottom w:val="none" w:sz="0" w:space="0" w:color="auto"/>
        <w:right w:val="none" w:sz="0" w:space="0" w:color="auto"/>
      </w:divBdr>
    </w:div>
    <w:div w:id="1105928518">
      <w:bodyDiv w:val="1"/>
      <w:marLeft w:val="0"/>
      <w:marRight w:val="0"/>
      <w:marTop w:val="0"/>
      <w:marBottom w:val="0"/>
      <w:divBdr>
        <w:top w:val="none" w:sz="0" w:space="0" w:color="auto"/>
        <w:left w:val="none" w:sz="0" w:space="0" w:color="auto"/>
        <w:bottom w:val="none" w:sz="0" w:space="0" w:color="auto"/>
        <w:right w:val="none" w:sz="0" w:space="0" w:color="auto"/>
      </w:divBdr>
    </w:div>
    <w:div w:id="1107046297">
      <w:bodyDiv w:val="1"/>
      <w:marLeft w:val="0"/>
      <w:marRight w:val="0"/>
      <w:marTop w:val="0"/>
      <w:marBottom w:val="0"/>
      <w:divBdr>
        <w:top w:val="none" w:sz="0" w:space="0" w:color="auto"/>
        <w:left w:val="none" w:sz="0" w:space="0" w:color="auto"/>
        <w:bottom w:val="none" w:sz="0" w:space="0" w:color="auto"/>
        <w:right w:val="none" w:sz="0" w:space="0" w:color="auto"/>
      </w:divBdr>
    </w:div>
    <w:div w:id="1107963935">
      <w:bodyDiv w:val="1"/>
      <w:marLeft w:val="0"/>
      <w:marRight w:val="0"/>
      <w:marTop w:val="0"/>
      <w:marBottom w:val="0"/>
      <w:divBdr>
        <w:top w:val="none" w:sz="0" w:space="0" w:color="auto"/>
        <w:left w:val="none" w:sz="0" w:space="0" w:color="auto"/>
        <w:bottom w:val="none" w:sz="0" w:space="0" w:color="auto"/>
        <w:right w:val="none" w:sz="0" w:space="0" w:color="auto"/>
      </w:divBdr>
    </w:div>
    <w:div w:id="1108697354">
      <w:bodyDiv w:val="1"/>
      <w:marLeft w:val="0"/>
      <w:marRight w:val="0"/>
      <w:marTop w:val="0"/>
      <w:marBottom w:val="0"/>
      <w:divBdr>
        <w:top w:val="none" w:sz="0" w:space="0" w:color="auto"/>
        <w:left w:val="none" w:sz="0" w:space="0" w:color="auto"/>
        <w:bottom w:val="none" w:sz="0" w:space="0" w:color="auto"/>
        <w:right w:val="none" w:sz="0" w:space="0" w:color="auto"/>
      </w:divBdr>
    </w:div>
    <w:div w:id="1111823513">
      <w:bodyDiv w:val="1"/>
      <w:marLeft w:val="0"/>
      <w:marRight w:val="0"/>
      <w:marTop w:val="0"/>
      <w:marBottom w:val="0"/>
      <w:divBdr>
        <w:top w:val="none" w:sz="0" w:space="0" w:color="auto"/>
        <w:left w:val="none" w:sz="0" w:space="0" w:color="auto"/>
        <w:bottom w:val="none" w:sz="0" w:space="0" w:color="auto"/>
        <w:right w:val="none" w:sz="0" w:space="0" w:color="auto"/>
      </w:divBdr>
    </w:div>
    <w:div w:id="1112935541">
      <w:bodyDiv w:val="1"/>
      <w:marLeft w:val="0"/>
      <w:marRight w:val="0"/>
      <w:marTop w:val="0"/>
      <w:marBottom w:val="0"/>
      <w:divBdr>
        <w:top w:val="none" w:sz="0" w:space="0" w:color="auto"/>
        <w:left w:val="none" w:sz="0" w:space="0" w:color="auto"/>
        <w:bottom w:val="none" w:sz="0" w:space="0" w:color="auto"/>
        <w:right w:val="none" w:sz="0" w:space="0" w:color="auto"/>
      </w:divBdr>
    </w:div>
    <w:div w:id="1113356234">
      <w:bodyDiv w:val="1"/>
      <w:marLeft w:val="0"/>
      <w:marRight w:val="0"/>
      <w:marTop w:val="0"/>
      <w:marBottom w:val="0"/>
      <w:divBdr>
        <w:top w:val="none" w:sz="0" w:space="0" w:color="auto"/>
        <w:left w:val="none" w:sz="0" w:space="0" w:color="auto"/>
        <w:bottom w:val="none" w:sz="0" w:space="0" w:color="auto"/>
        <w:right w:val="none" w:sz="0" w:space="0" w:color="auto"/>
      </w:divBdr>
    </w:div>
    <w:div w:id="1113525145">
      <w:bodyDiv w:val="1"/>
      <w:marLeft w:val="0"/>
      <w:marRight w:val="0"/>
      <w:marTop w:val="0"/>
      <w:marBottom w:val="0"/>
      <w:divBdr>
        <w:top w:val="none" w:sz="0" w:space="0" w:color="auto"/>
        <w:left w:val="none" w:sz="0" w:space="0" w:color="auto"/>
        <w:bottom w:val="none" w:sz="0" w:space="0" w:color="auto"/>
        <w:right w:val="none" w:sz="0" w:space="0" w:color="auto"/>
      </w:divBdr>
    </w:div>
    <w:div w:id="1116093941">
      <w:bodyDiv w:val="1"/>
      <w:marLeft w:val="0"/>
      <w:marRight w:val="0"/>
      <w:marTop w:val="0"/>
      <w:marBottom w:val="0"/>
      <w:divBdr>
        <w:top w:val="none" w:sz="0" w:space="0" w:color="auto"/>
        <w:left w:val="none" w:sz="0" w:space="0" w:color="auto"/>
        <w:bottom w:val="none" w:sz="0" w:space="0" w:color="auto"/>
        <w:right w:val="none" w:sz="0" w:space="0" w:color="auto"/>
      </w:divBdr>
    </w:div>
    <w:div w:id="1117454644">
      <w:bodyDiv w:val="1"/>
      <w:marLeft w:val="0"/>
      <w:marRight w:val="0"/>
      <w:marTop w:val="0"/>
      <w:marBottom w:val="0"/>
      <w:divBdr>
        <w:top w:val="none" w:sz="0" w:space="0" w:color="auto"/>
        <w:left w:val="none" w:sz="0" w:space="0" w:color="auto"/>
        <w:bottom w:val="none" w:sz="0" w:space="0" w:color="auto"/>
        <w:right w:val="none" w:sz="0" w:space="0" w:color="auto"/>
      </w:divBdr>
    </w:div>
    <w:div w:id="1122386283">
      <w:bodyDiv w:val="1"/>
      <w:marLeft w:val="0"/>
      <w:marRight w:val="0"/>
      <w:marTop w:val="0"/>
      <w:marBottom w:val="0"/>
      <w:divBdr>
        <w:top w:val="none" w:sz="0" w:space="0" w:color="auto"/>
        <w:left w:val="none" w:sz="0" w:space="0" w:color="auto"/>
        <w:bottom w:val="none" w:sz="0" w:space="0" w:color="auto"/>
        <w:right w:val="none" w:sz="0" w:space="0" w:color="auto"/>
      </w:divBdr>
    </w:div>
    <w:div w:id="1122921978">
      <w:bodyDiv w:val="1"/>
      <w:marLeft w:val="0"/>
      <w:marRight w:val="0"/>
      <w:marTop w:val="0"/>
      <w:marBottom w:val="0"/>
      <w:divBdr>
        <w:top w:val="none" w:sz="0" w:space="0" w:color="auto"/>
        <w:left w:val="none" w:sz="0" w:space="0" w:color="auto"/>
        <w:bottom w:val="none" w:sz="0" w:space="0" w:color="auto"/>
        <w:right w:val="none" w:sz="0" w:space="0" w:color="auto"/>
      </w:divBdr>
    </w:div>
    <w:div w:id="1123038092">
      <w:bodyDiv w:val="1"/>
      <w:marLeft w:val="0"/>
      <w:marRight w:val="0"/>
      <w:marTop w:val="0"/>
      <w:marBottom w:val="0"/>
      <w:divBdr>
        <w:top w:val="none" w:sz="0" w:space="0" w:color="auto"/>
        <w:left w:val="none" w:sz="0" w:space="0" w:color="auto"/>
        <w:bottom w:val="none" w:sz="0" w:space="0" w:color="auto"/>
        <w:right w:val="none" w:sz="0" w:space="0" w:color="auto"/>
      </w:divBdr>
    </w:div>
    <w:div w:id="1124352665">
      <w:bodyDiv w:val="1"/>
      <w:marLeft w:val="0"/>
      <w:marRight w:val="0"/>
      <w:marTop w:val="0"/>
      <w:marBottom w:val="0"/>
      <w:divBdr>
        <w:top w:val="none" w:sz="0" w:space="0" w:color="auto"/>
        <w:left w:val="none" w:sz="0" w:space="0" w:color="auto"/>
        <w:bottom w:val="none" w:sz="0" w:space="0" w:color="auto"/>
        <w:right w:val="none" w:sz="0" w:space="0" w:color="auto"/>
      </w:divBdr>
    </w:div>
    <w:div w:id="1126047644">
      <w:bodyDiv w:val="1"/>
      <w:marLeft w:val="0"/>
      <w:marRight w:val="0"/>
      <w:marTop w:val="0"/>
      <w:marBottom w:val="0"/>
      <w:divBdr>
        <w:top w:val="none" w:sz="0" w:space="0" w:color="auto"/>
        <w:left w:val="none" w:sz="0" w:space="0" w:color="auto"/>
        <w:bottom w:val="none" w:sz="0" w:space="0" w:color="auto"/>
        <w:right w:val="none" w:sz="0" w:space="0" w:color="auto"/>
      </w:divBdr>
    </w:div>
    <w:div w:id="1129781961">
      <w:bodyDiv w:val="1"/>
      <w:marLeft w:val="0"/>
      <w:marRight w:val="0"/>
      <w:marTop w:val="0"/>
      <w:marBottom w:val="0"/>
      <w:divBdr>
        <w:top w:val="none" w:sz="0" w:space="0" w:color="auto"/>
        <w:left w:val="none" w:sz="0" w:space="0" w:color="auto"/>
        <w:bottom w:val="none" w:sz="0" w:space="0" w:color="auto"/>
        <w:right w:val="none" w:sz="0" w:space="0" w:color="auto"/>
      </w:divBdr>
    </w:div>
    <w:div w:id="1129936904">
      <w:bodyDiv w:val="1"/>
      <w:marLeft w:val="0"/>
      <w:marRight w:val="0"/>
      <w:marTop w:val="0"/>
      <w:marBottom w:val="0"/>
      <w:divBdr>
        <w:top w:val="none" w:sz="0" w:space="0" w:color="auto"/>
        <w:left w:val="none" w:sz="0" w:space="0" w:color="auto"/>
        <w:bottom w:val="none" w:sz="0" w:space="0" w:color="auto"/>
        <w:right w:val="none" w:sz="0" w:space="0" w:color="auto"/>
      </w:divBdr>
    </w:div>
    <w:div w:id="1130783835">
      <w:bodyDiv w:val="1"/>
      <w:marLeft w:val="0"/>
      <w:marRight w:val="0"/>
      <w:marTop w:val="0"/>
      <w:marBottom w:val="0"/>
      <w:divBdr>
        <w:top w:val="none" w:sz="0" w:space="0" w:color="auto"/>
        <w:left w:val="none" w:sz="0" w:space="0" w:color="auto"/>
        <w:bottom w:val="none" w:sz="0" w:space="0" w:color="auto"/>
        <w:right w:val="none" w:sz="0" w:space="0" w:color="auto"/>
      </w:divBdr>
    </w:div>
    <w:div w:id="1131048152">
      <w:bodyDiv w:val="1"/>
      <w:marLeft w:val="0"/>
      <w:marRight w:val="0"/>
      <w:marTop w:val="0"/>
      <w:marBottom w:val="0"/>
      <w:divBdr>
        <w:top w:val="none" w:sz="0" w:space="0" w:color="auto"/>
        <w:left w:val="none" w:sz="0" w:space="0" w:color="auto"/>
        <w:bottom w:val="none" w:sz="0" w:space="0" w:color="auto"/>
        <w:right w:val="none" w:sz="0" w:space="0" w:color="auto"/>
      </w:divBdr>
    </w:div>
    <w:div w:id="1132745517">
      <w:bodyDiv w:val="1"/>
      <w:marLeft w:val="0"/>
      <w:marRight w:val="0"/>
      <w:marTop w:val="0"/>
      <w:marBottom w:val="0"/>
      <w:divBdr>
        <w:top w:val="none" w:sz="0" w:space="0" w:color="auto"/>
        <w:left w:val="none" w:sz="0" w:space="0" w:color="auto"/>
        <w:bottom w:val="none" w:sz="0" w:space="0" w:color="auto"/>
        <w:right w:val="none" w:sz="0" w:space="0" w:color="auto"/>
      </w:divBdr>
    </w:div>
    <w:div w:id="1132746880">
      <w:bodyDiv w:val="1"/>
      <w:marLeft w:val="0"/>
      <w:marRight w:val="0"/>
      <w:marTop w:val="0"/>
      <w:marBottom w:val="0"/>
      <w:divBdr>
        <w:top w:val="none" w:sz="0" w:space="0" w:color="auto"/>
        <w:left w:val="none" w:sz="0" w:space="0" w:color="auto"/>
        <w:bottom w:val="none" w:sz="0" w:space="0" w:color="auto"/>
        <w:right w:val="none" w:sz="0" w:space="0" w:color="auto"/>
      </w:divBdr>
    </w:div>
    <w:div w:id="1134759856">
      <w:bodyDiv w:val="1"/>
      <w:marLeft w:val="0"/>
      <w:marRight w:val="0"/>
      <w:marTop w:val="0"/>
      <w:marBottom w:val="0"/>
      <w:divBdr>
        <w:top w:val="none" w:sz="0" w:space="0" w:color="auto"/>
        <w:left w:val="none" w:sz="0" w:space="0" w:color="auto"/>
        <w:bottom w:val="none" w:sz="0" w:space="0" w:color="auto"/>
        <w:right w:val="none" w:sz="0" w:space="0" w:color="auto"/>
      </w:divBdr>
    </w:div>
    <w:div w:id="1134912883">
      <w:bodyDiv w:val="1"/>
      <w:marLeft w:val="0"/>
      <w:marRight w:val="0"/>
      <w:marTop w:val="0"/>
      <w:marBottom w:val="0"/>
      <w:divBdr>
        <w:top w:val="none" w:sz="0" w:space="0" w:color="auto"/>
        <w:left w:val="none" w:sz="0" w:space="0" w:color="auto"/>
        <w:bottom w:val="none" w:sz="0" w:space="0" w:color="auto"/>
        <w:right w:val="none" w:sz="0" w:space="0" w:color="auto"/>
      </w:divBdr>
    </w:div>
    <w:div w:id="1135483394">
      <w:bodyDiv w:val="1"/>
      <w:marLeft w:val="0"/>
      <w:marRight w:val="0"/>
      <w:marTop w:val="0"/>
      <w:marBottom w:val="0"/>
      <w:divBdr>
        <w:top w:val="none" w:sz="0" w:space="0" w:color="auto"/>
        <w:left w:val="none" w:sz="0" w:space="0" w:color="auto"/>
        <w:bottom w:val="none" w:sz="0" w:space="0" w:color="auto"/>
        <w:right w:val="none" w:sz="0" w:space="0" w:color="auto"/>
      </w:divBdr>
    </w:div>
    <w:div w:id="1135678595">
      <w:bodyDiv w:val="1"/>
      <w:marLeft w:val="0"/>
      <w:marRight w:val="0"/>
      <w:marTop w:val="0"/>
      <w:marBottom w:val="0"/>
      <w:divBdr>
        <w:top w:val="none" w:sz="0" w:space="0" w:color="auto"/>
        <w:left w:val="none" w:sz="0" w:space="0" w:color="auto"/>
        <w:bottom w:val="none" w:sz="0" w:space="0" w:color="auto"/>
        <w:right w:val="none" w:sz="0" w:space="0" w:color="auto"/>
      </w:divBdr>
    </w:div>
    <w:div w:id="1137334739">
      <w:bodyDiv w:val="1"/>
      <w:marLeft w:val="0"/>
      <w:marRight w:val="0"/>
      <w:marTop w:val="0"/>
      <w:marBottom w:val="0"/>
      <w:divBdr>
        <w:top w:val="none" w:sz="0" w:space="0" w:color="auto"/>
        <w:left w:val="none" w:sz="0" w:space="0" w:color="auto"/>
        <w:bottom w:val="none" w:sz="0" w:space="0" w:color="auto"/>
        <w:right w:val="none" w:sz="0" w:space="0" w:color="auto"/>
      </w:divBdr>
    </w:div>
    <w:div w:id="1137914498">
      <w:bodyDiv w:val="1"/>
      <w:marLeft w:val="0"/>
      <w:marRight w:val="0"/>
      <w:marTop w:val="0"/>
      <w:marBottom w:val="0"/>
      <w:divBdr>
        <w:top w:val="none" w:sz="0" w:space="0" w:color="auto"/>
        <w:left w:val="none" w:sz="0" w:space="0" w:color="auto"/>
        <w:bottom w:val="none" w:sz="0" w:space="0" w:color="auto"/>
        <w:right w:val="none" w:sz="0" w:space="0" w:color="auto"/>
      </w:divBdr>
    </w:div>
    <w:div w:id="1139230480">
      <w:bodyDiv w:val="1"/>
      <w:marLeft w:val="0"/>
      <w:marRight w:val="0"/>
      <w:marTop w:val="0"/>
      <w:marBottom w:val="0"/>
      <w:divBdr>
        <w:top w:val="none" w:sz="0" w:space="0" w:color="auto"/>
        <w:left w:val="none" w:sz="0" w:space="0" w:color="auto"/>
        <w:bottom w:val="none" w:sz="0" w:space="0" w:color="auto"/>
        <w:right w:val="none" w:sz="0" w:space="0" w:color="auto"/>
      </w:divBdr>
    </w:div>
    <w:div w:id="1142305291">
      <w:bodyDiv w:val="1"/>
      <w:marLeft w:val="0"/>
      <w:marRight w:val="0"/>
      <w:marTop w:val="0"/>
      <w:marBottom w:val="0"/>
      <w:divBdr>
        <w:top w:val="none" w:sz="0" w:space="0" w:color="auto"/>
        <w:left w:val="none" w:sz="0" w:space="0" w:color="auto"/>
        <w:bottom w:val="none" w:sz="0" w:space="0" w:color="auto"/>
        <w:right w:val="none" w:sz="0" w:space="0" w:color="auto"/>
      </w:divBdr>
    </w:div>
    <w:div w:id="1146749537">
      <w:bodyDiv w:val="1"/>
      <w:marLeft w:val="0"/>
      <w:marRight w:val="0"/>
      <w:marTop w:val="0"/>
      <w:marBottom w:val="0"/>
      <w:divBdr>
        <w:top w:val="none" w:sz="0" w:space="0" w:color="auto"/>
        <w:left w:val="none" w:sz="0" w:space="0" w:color="auto"/>
        <w:bottom w:val="none" w:sz="0" w:space="0" w:color="auto"/>
        <w:right w:val="none" w:sz="0" w:space="0" w:color="auto"/>
      </w:divBdr>
    </w:div>
    <w:div w:id="1147480025">
      <w:bodyDiv w:val="1"/>
      <w:marLeft w:val="0"/>
      <w:marRight w:val="0"/>
      <w:marTop w:val="0"/>
      <w:marBottom w:val="0"/>
      <w:divBdr>
        <w:top w:val="none" w:sz="0" w:space="0" w:color="auto"/>
        <w:left w:val="none" w:sz="0" w:space="0" w:color="auto"/>
        <w:bottom w:val="none" w:sz="0" w:space="0" w:color="auto"/>
        <w:right w:val="none" w:sz="0" w:space="0" w:color="auto"/>
      </w:divBdr>
    </w:div>
    <w:div w:id="1149202578">
      <w:bodyDiv w:val="1"/>
      <w:marLeft w:val="0"/>
      <w:marRight w:val="0"/>
      <w:marTop w:val="0"/>
      <w:marBottom w:val="0"/>
      <w:divBdr>
        <w:top w:val="none" w:sz="0" w:space="0" w:color="auto"/>
        <w:left w:val="none" w:sz="0" w:space="0" w:color="auto"/>
        <w:bottom w:val="none" w:sz="0" w:space="0" w:color="auto"/>
        <w:right w:val="none" w:sz="0" w:space="0" w:color="auto"/>
      </w:divBdr>
    </w:div>
    <w:div w:id="1150168546">
      <w:bodyDiv w:val="1"/>
      <w:marLeft w:val="0"/>
      <w:marRight w:val="0"/>
      <w:marTop w:val="0"/>
      <w:marBottom w:val="0"/>
      <w:divBdr>
        <w:top w:val="none" w:sz="0" w:space="0" w:color="auto"/>
        <w:left w:val="none" w:sz="0" w:space="0" w:color="auto"/>
        <w:bottom w:val="none" w:sz="0" w:space="0" w:color="auto"/>
        <w:right w:val="none" w:sz="0" w:space="0" w:color="auto"/>
      </w:divBdr>
    </w:div>
    <w:div w:id="1152017296">
      <w:bodyDiv w:val="1"/>
      <w:marLeft w:val="0"/>
      <w:marRight w:val="0"/>
      <w:marTop w:val="0"/>
      <w:marBottom w:val="0"/>
      <w:divBdr>
        <w:top w:val="none" w:sz="0" w:space="0" w:color="auto"/>
        <w:left w:val="none" w:sz="0" w:space="0" w:color="auto"/>
        <w:bottom w:val="none" w:sz="0" w:space="0" w:color="auto"/>
        <w:right w:val="none" w:sz="0" w:space="0" w:color="auto"/>
      </w:divBdr>
    </w:div>
    <w:div w:id="1153521646">
      <w:bodyDiv w:val="1"/>
      <w:marLeft w:val="0"/>
      <w:marRight w:val="0"/>
      <w:marTop w:val="0"/>
      <w:marBottom w:val="0"/>
      <w:divBdr>
        <w:top w:val="none" w:sz="0" w:space="0" w:color="auto"/>
        <w:left w:val="none" w:sz="0" w:space="0" w:color="auto"/>
        <w:bottom w:val="none" w:sz="0" w:space="0" w:color="auto"/>
        <w:right w:val="none" w:sz="0" w:space="0" w:color="auto"/>
      </w:divBdr>
    </w:div>
    <w:div w:id="1154447268">
      <w:bodyDiv w:val="1"/>
      <w:marLeft w:val="0"/>
      <w:marRight w:val="0"/>
      <w:marTop w:val="0"/>
      <w:marBottom w:val="0"/>
      <w:divBdr>
        <w:top w:val="none" w:sz="0" w:space="0" w:color="auto"/>
        <w:left w:val="none" w:sz="0" w:space="0" w:color="auto"/>
        <w:bottom w:val="none" w:sz="0" w:space="0" w:color="auto"/>
        <w:right w:val="none" w:sz="0" w:space="0" w:color="auto"/>
      </w:divBdr>
    </w:div>
    <w:div w:id="1154906735">
      <w:bodyDiv w:val="1"/>
      <w:marLeft w:val="0"/>
      <w:marRight w:val="0"/>
      <w:marTop w:val="0"/>
      <w:marBottom w:val="0"/>
      <w:divBdr>
        <w:top w:val="none" w:sz="0" w:space="0" w:color="auto"/>
        <w:left w:val="none" w:sz="0" w:space="0" w:color="auto"/>
        <w:bottom w:val="none" w:sz="0" w:space="0" w:color="auto"/>
        <w:right w:val="none" w:sz="0" w:space="0" w:color="auto"/>
      </w:divBdr>
    </w:div>
    <w:div w:id="1155924008">
      <w:bodyDiv w:val="1"/>
      <w:marLeft w:val="0"/>
      <w:marRight w:val="0"/>
      <w:marTop w:val="0"/>
      <w:marBottom w:val="0"/>
      <w:divBdr>
        <w:top w:val="none" w:sz="0" w:space="0" w:color="auto"/>
        <w:left w:val="none" w:sz="0" w:space="0" w:color="auto"/>
        <w:bottom w:val="none" w:sz="0" w:space="0" w:color="auto"/>
        <w:right w:val="none" w:sz="0" w:space="0" w:color="auto"/>
      </w:divBdr>
    </w:div>
    <w:div w:id="1158378662">
      <w:bodyDiv w:val="1"/>
      <w:marLeft w:val="0"/>
      <w:marRight w:val="0"/>
      <w:marTop w:val="0"/>
      <w:marBottom w:val="0"/>
      <w:divBdr>
        <w:top w:val="none" w:sz="0" w:space="0" w:color="auto"/>
        <w:left w:val="none" w:sz="0" w:space="0" w:color="auto"/>
        <w:bottom w:val="none" w:sz="0" w:space="0" w:color="auto"/>
        <w:right w:val="none" w:sz="0" w:space="0" w:color="auto"/>
      </w:divBdr>
    </w:div>
    <w:div w:id="1159149675">
      <w:bodyDiv w:val="1"/>
      <w:marLeft w:val="0"/>
      <w:marRight w:val="0"/>
      <w:marTop w:val="0"/>
      <w:marBottom w:val="0"/>
      <w:divBdr>
        <w:top w:val="none" w:sz="0" w:space="0" w:color="auto"/>
        <w:left w:val="none" w:sz="0" w:space="0" w:color="auto"/>
        <w:bottom w:val="none" w:sz="0" w:space="0" w:color="auto"/>
        <w:right w:val="none" w:sz="0" w:space="0" w:color="auto"/>
      </w:divBdr>
    </w:div>
    <w:div w:id="1160659143">
      <w:bodyDiv w:val="1"/>
      <w:marLeft w:val="0"/>
      <w:marRight w:val="0"/>
      <w:marTop w:val="0"/>
      <w:marBottom w:val="0"/>
      <w:divBdr>
        <w:top w:val="none" w:sz="0" w:space="0" w:color="auto"/>
        <w:left w:val="none" w:sz="0" w:space="0" w:color="auto"/>
        <w:bottom w:val="none" w:sz="0" w:space="0" w:color="auto"/>
        <w:right w:val="none" w:sz="0" w:space="0" w:color="auto"/>
      </w:divBdr>
    </w:div>
    <w:div w:id="1160854227">
      <w:bodyDiv w:val="1"/>
      <w:marLeft w:val="0"/>
      <w:marRight w:val="0"/>
      <w:marTop w:val="0"/>
      <w:marBottom w:val="0"/>
      <w:divBdr>
        <w:top w:val="none" w:sz="0" w:space="0" w:color="auto"/>
        <w:left w:val="none" w:sz="0" w:space="0" w:color="auto"/>
        <w:bottom w:val="none" w:sz="0" w:space="0" w:color="auto"/>
        <w:right w:val="none" w:sz="0" w:space="0" w:color="auto"/>
      </w:divBdr>
    </w:div>
    <w:div w:id="1160998062">
      <w:bodyDiv w:val="1"/>
      <w:marLeft w:val="0"/>
      <w:marRight w:val="0"/>
      <w:marTop w:val="0"/>
      <w:marBottom w:val="0"/>
      <w:divBdr>
        <w:top w:val="none" w:sz="0" w:space="0" w:color="auto"/>
        <w:left w:val="none" w:sz="0" w:space="0" w:color="auto"/>
        <w:bottom w:val="none" w:sz="0" w:space="0" w:color="auto"/>
        <w:right w:val="none" w:sz="0" w:space="0" w:color="auto"/>
      </w:divBdr>
    </w:div>
    <w:div w:id="1166675177">
      <w:bodyDiv w:val="1"/>
      <w:marLeft w:val="0"/>
      <w:marRight w:val="0"/>
      <w:marTop w:val="0"/>
      <w:marBottom w:val="0"/>
      <w:divBdr>
        <w:top w:val="none" w:sz="0" w:space="0" w:color="auto"/>
        <w:left w:val="none" w:sz="0" w:space="0" w:color="auto"/>
        <w:bottom w:val="none" w:sz="0" w:space="0" w:color="auto"/>
        <w:right w:val="none" w:sz="0" w:space="0" w:color="auto"/>
      </w:divBdr>
    </w:div>
    <w:div w:id="1167212612">
      <w:bodyDiv w:val="1"/>
      <w:marLeft w:val="0"/>
      <w:marRight w:val="0"/>
      <w:marTop w:val="0"/>
      <w:marBottom w:val="0"/>
      <w:divBdr>
        <w:top w:val="none" w:sz="0" w:space="0" w:color="auto"/>
        <w:left w:val="none" w:sz="0" w:space="0" w:color="auto"/>
        <w:bottom w:val="none" w:sz="0" w:space="0" w:color="auto"/>
        <w:right w:val="none" w:sz="0" w:space="0" w:color="auto"/>
      </w:divBdr>
    </w:div>
    <w:div w:id="1169561069">
      <w:bodyDiv w:val="1"/>
      <w:marLeft w:val="0"/>
      <w:marRight w:val="0"/>
      <w:marTop w:val="0"/>
      <w:marBottom w:val="0"/>
      <w:divBdr>
        <w:top w:val="none" w:sz="0" w:space="0" w:color="auto"/>
        <w:left w:val="none" w:sz="0" w:space="0" w:color="auto"/>
        <w:bottom w:val="none" w:sz="0" w:space="0" w:color="auto"/>
        <w:right w:val="none" w:sz="0" w:space="0" w:color="auto"/>
      </w:divBdr>
    </w:div>
    <w:div w:id="1171332378">
      <w:bodyDiv w:val="1"/>
      <w:marLeft w:val="0"/>
      <w:marRight w:val="0"/>
      <w:marTop w:val="0"/>
      <w:marBottom w:val="0"/>
      <w:divBdr>
        <w:top w:val="none" w:sz="0" w:space="0" w:color="auto"/>
        <w:left w:val="none" w:sz="0" w:space="0" w:color="auto"/>
        <w:bottom w:val="none" w:sz="0" w:space="0" w:color="auto"/>
        <w:right w:val="none" w:sz="0" w:space="0" w:color="auto"/>
      </w:divBdr>
    </w:div>
    <w:div w:id="1172069889">
      <w:bodyDiv w:val="1"/>
      <w:marLeft w:val="0"/>
      <w:marRight w:val="0"/>
      <w:marTop w:val="0"/>
      <w:marBottom w:val="0"/>
      <w:divBdr>
        <w:top w:val="none" w:sz="0" w:space="0" w:color="auto"/>
        <w:left w:val="none" w:sz="0" w:space="0" w:color="auto"/>
        <w:bottom w:val="none" w:sz="0" w:space="0" w:color="auto"/>
        <w:right w:val="none" w:sz="0" w:space="0" w:color="auto"/>
      </w:divBdr>
    </w:div>
    <w:div w:id="1172137238">
      <w:bodyDiv w:val="1"/>
      <w:marLeft w:val="0"/>
      <w:marRight w:val="0"/>
      <w:marTop w:val="0"/>
      <w:marBottom w:val="0"/>
      <w:divBdr>
        <w:top w:val="none" w:sz="0" w:space="0" w:color="auto"/>
        <w:left w:val="none" w:sz="0" w:space="0" w:color="auto"/>
        <w:bottom w:val="none" w:sz="0" w:space="0" w:color="auto"/>
        <w:right w:val="none" w:sz="0" w:space="0" w:color="auto"/>
      </w:divBdr>
    </w:div>
    <w:div w:id="1178234831">
      <w:bodyDiv w:val="1"/>
      <w:marLeft w:val="0"/>
      <w:marRight w:val="0"/>
      <w:marTop w:val="0"/>
      <w:marBottom w:val="0"/>
      <w:divBdr>
        <w:top w:val="none" w:sz="0" w:space="0" w:color="auto"/>
        <w:left w:val="none" w:sz="0" w:space="0" w:color="auto"/>
        <w:bottom w:val="none" w:sz="0" w:space="0" w:color="auto"/>
        <w:right w:val="none" w:sz="0" w:space="0" w:color="auto"/>
      </w:divBdr>
    </w:div>
    <w:div w:id="1182859948">
      <w:bodyDiv w:val="1"/>
      <w:marLeft w:val="0"/>
      <w:marRight w:val="0"/>
      <w:marTop w:val="0"/>
      <w:marBottom w:val="0"/>
      <w:divBdr>
        <w:top w:val="none" w:sz="0" w:space="0" w:color="auto"/>
        <w:left w:val="none" w:sz="0" w:space="0" w:color="auto"/>
        <w:bottom w:val="none" w:sz="0" w:space="0" w:color="auto"/>
        <w:right w:val="none" w:sz="0" w:space="0" w:color="auto"/>
      </w:divBdr>
    </w:div>
    <w:div w:id="1183518820">
      <w:bodyDiv w:val="1"/>
      <w:marLeft w:val="0"/>
      <w:marRight w:val="0"/>
      <w:marTop w:val="0"/>
      <w:marBottom w:val="0"/>
      <w:divBdr>
        <w:top w:val="none" w:sz="0" w:space="0" w:color="auto"/>
        <w:left w:val="none" w:sz="0" w:space="0" w:color="auto"/>
        <w:bottom w:val="none" w:sz="0" w:space="0" w:color="auto"/>
        <w:right w:val="none" w:sz="0" w:space="0" w:color="auto"/>
      </w:divBdr>
    </w:div>
    <w:div w:id="1184630665">
      <w:bodyDiv w:val="1"/>
      <w:marLeft w:val="0"/>
      <w:marRight w:val="0"/>
      <w:marTop w:val="0"/>
      <w:marBottom w:val="0"/>
      <w:divBdr>
        <w:top w:val="none" w:sz="0" w:space="0" w:color="auto"/>
        <w:left w:val="none" w:sz="0" w:space="0" w:color="auto"/>
        <w:bottom w:val="none" w:sz="0" w:space="0" w:color="auto"/>
        <w:right w:val="none" w:sz="0" w:space="0" w:color="auto"/>
      </w:divBdr>
    </w:div>
    <w:div w:id="1186094887">
      <w:bodyDiv w:val="1"/>
      <w:marLeft w:val="0"/>
      <w:marRight w:val="0"/>
      <w:marTop w:val="0"/>
      <w:marBottom w:val="0"/>
      <w:divBdr>
        <w:top w:val="none" w:sz="0" w:space="0" w:color="auto"/>
        <w:left w:val="none" w:sz="0" w:space="0" w:color="auto"/>
        <w:bottom w:val="none" w:sz="0" w:space="0" w:color="auto"/>
        <w:right w:val="none" w:sz="0" w:space="0" w:color="auto"/>
      </w:divBdr>
    </w:div>
    <w:div w:id="1186553397">
      <w:bodyDiv w:val="1"/>
      <w:marLeft w:val="0"/>
      <w:marRight w:val="0"/>
      <w:marTop w:val="0"/>
      <w:marBottom w:val="0"/>
      <w:divBdr>
        <w:top w:val="none" w:sz="0" w:space="0" w:color="auto"/>
        <w:left w:val="none" w:sz="0" w:space="0" w:color="auto"/>
        <w:bottom w:val="none" w:sz="0" w:space="0" w:color="auto"/>
        <w:right w:val="none" w:sz="0" w:space="0" w:color="auto"/>
      </w:divBdr>
    </w:div>
    <w:div w:id="1186871780">
      <w:bodyDiv w:val="1"/>
      <w:marLeft w:val="0"/>
      <w:marRight w:val="0"/>
      <w:marTop w:val="0"/>
      <w:marBottom w:val="0"/>
      <w:divBdr>
        <w:top w:val="none" w:sz="0" w:space="0" w:color="auto"/>
        <w:left w:val="none" w:sz="0" w:space="0" w:color="auto"/>
        <w:bottom w:val="none" w:sz="0" w:space="0" w:color="auto"/>
        <w:right w:val="none" w:sz="0" w:space="0" w:color="auto"/>
      </w:divBdr>
      <w:divsChild>
        <w:div w:id="152599442">
          <w:marLeft w:val="547"/>
          <w:marRight w:val="0"/>
          <w:marTop w:val="0"/>
          <w:marBottom w:val="0"/>
          <w:divBdr>
            <w:top w:val="none" w:sz="0" w:space="0" w:color="auto"/>
            <w:left w:val="none" w:sz="0" w:space="0" w:color="auto"/>
            <w:bottom w:val="none" w:sz="0" w:space="0" w:color="auto"/>
            <w:right w:val="none" w:sz="0" w:space="0" w:color="auto"/>
          </w:divBdr>
        </w:div>
      </w:divsChild>
    </w:div>
    <w:div w:id="1187215258">
      <w:bodyDiv w:val="1"/>
      <w:marLeft w:val="0"/>
      <w:marRight w:val="0"/>
      <w:marTop w:val="0"/>
      <w:marBottom w:val="0"/>
      <w:divBdr>
        <w:top w:val="none" w:sz="0" w:space="0" w:color="auto"/>
        <w:left w:val="none" w:sz="0" w:space="0" w:color="auto"/>
        <w:bottom w:val="none" w:sz="0" w:space="0" w:color="auto"/>
        <w:right w:val="none" w:sz="0" w:space="0" w:color="auto"/>
      </w:divBdr>
    </w:div>
    <w:div w:id="1191526402">
      <w:bodyDiv w:val="1"/>
      <w:marLeft w:val="0"/>
      <w:marRight w:val="0"/>
      <w:marTop w:val="0"/>
      <w:marBottom w:val="0"/>
      <w:divBdr>
        <w:top w:val="none" w:sz="0" w:space="0" w:color="auto"/>
        <w:left w:val="none" w:sz="0" w:space="0" w:color="auto"/>
        <w:bottom w:val="none" w:sz="0" w:space="0" w:color="auto"/>
        <w:right w:val="none" w:sz="0" w:space="0" w:color="auto"/>
      </w:divBdr>
    </w:div>
    <w:div w:id="1191530436">
      <w:bodyDiv w:val="1"/>
      <w:marLeft w:val="0"/>
      <w:marRight w:val="0"/>
      <w:marTop w:val="0"/>
      <w:marBottom w:val="0"/>
      <w:divBdr>
        <w:top w:val="none" w:sz="0" w:space="0" w:color="auto"/>
        <w:left w:val="none" w:sz="0" w:space="0" w:color="auto"/>
        <w:bottom w:val="none" w:sz="0" w:space="0" w:color="auto"/>
        <w:right w:val="none" w:sz="0" w:space="0" w:color="auto"/>
      </w:divBdr>
    </w:div>
    <w:div w:id="1191797920">
      <w:bodyDiv w:val="1"/>
      <w:marLeft w:val="0"/>
      <w:marRight w:val="0"/>
      <w:marTop w:val="0"/>
      <w:marBottom w:val="0"/>
      <w:divBdr>
        <w:top w:val="none" w:sz="0" w:space="0" w:color="auto"/>
        <w:left w:val="none" w:sz="0" w:space="0" w:color="auto"/>
        <w:bottom w:val="none" w:sz="0" w:space="0" w:color="auto"/>
        <w:right w:val="none" w:sz="0" w:space="0" w:color="auto"/>
      </w:divBdr>
    </w:div>
    <w:div w:id="1195654009">
      <w:bodyDiv w:val="1"/>
      <w:marLeft w:val="0"/>
      <w:marRight w:val="0"/>
      <w:marTop w:val="0"/>
      <w:marBottom w:val="0"/>
      <w:divBdr>
        <w:top w:val="none" w:sz="0" w:space="0" w:color="auto"/>
        <w:left w:val="none" w:sz="0" w:space="0" w:color="auto"/>
        <w:bottom w:val="none" w:sz="0" w:space="0" w:color="auto"/>
        <w:right w:val="none" w:sz="0" w:space="0" w:color="auto"/>
      </w:divBdr>
    </w:div>
    <w:div w:id="1197162563">
      <w:bodyDiv w:val="1"/>
      <w:marLeft w:val="0"/>
      <w:marRight w:val="0"/>
      <w:marTop w:val="0"/>
      <w:marBottom w:val="0"/>
      <w:divBdr>
        <w:top w:val="none" w:sz="0" w:space="0" w:color="auto"/>
        <w:left w:val="none" w:sz="0" w:space="0" w:color="auto"/>
        <w:bottom w:val="none" w:sz="0" w:space="0" w:color="auto"/>
        <w:right w:val="none" w:sz="0" w:space="0" w:color="auto"/>
      </w:divBdr>
    </w:div>
    <w:div w:id="1197277302">
      <w:bodyDiv w:val="1"/>
      <w:marLeft w:val="0"/>
      <w:marRight w:val="0"/>
      <w:marTop w:val="0"/>
      <w:marBottom w:val="0"/>
      <w:divBdr>
        <w:top w:val="none" w:sz="0" w:space="0" w:color="auto"/>
        <w:left w:val="none" w:sz="0" w:space="0" w:color="auto"/>
        <w:bottom w:val="none" w:sz="0" w:space="0" w:color="auto"/>
        <w:right w:val="none" w:sz="0" w:space="0" w:color="auto"/>
      </w:divBdr>
    </w:div>
    <w:div w:id="1198810189">
      <w:bodyDiv w:val="1"/>
      <w:marLeft w:val="0"/>
      <w:marRight w:val="0"/>
      <w:marTop w:val="0"/>
      <w:marBottom w:val="0"/>
      <w:divBdr>
        <w:top w:val="none" w:sz="0" w:space="0" w:color="auto"/>
        <w:left w:val="none" w:sz="0" w:space="0" w:color="auto"/>
        <w:bottom w:val="none" w:sz="0" w:space="0" w:color="auto"/>
        <w:right w:val="none" w:sz="0" w:space="0" w:color="auto"/>
      </w:divBdr>
    </w:div>
    <w:div w:id="1198934600">
      <w:bodyDiv w:val="1"/>
      <w:marLeft w:val="0"/>
      <w:marRight w:val="0"/>
      <w:marTop w:val="0"/>
      <w:marBottom w:val="0"/>
      <w:divBdr>
        <w:top w:val="none" w:sz="0" w:space="0" w:color="auto"/>
        <w:left w:val="none" w:sz="0" w:space="0" w:color="auto"/>
        <w:bottom w:val="none" w:sz="0" w:space="0" w:color="auto"/>
        <w:right w:val="none" w:sz="0" w:space="0" w:color="auto"/>
      </w:divBdr>
    </w:div>
    <w:div w:id="1200315965">
      <w:bodyDiv w:val="1"/>
      <w:marLeft w:val="0"/>
      <w:marRight w:val="0"/>
      <w:marTop w:val="0"/>
      <w:marBottom w:val="0"/>
      <w:divBdr>
        <w:top w:val="none" w:sz="0" w:space="0" w:color="auto"/>
        <w:left w:val="none" w:sz="0" w:space="0" w:color="auto"/>
        <w:bottom w:val="none" w:sz="0" w:space="0" w:color="auto"/>
        <w:right w:val="none" w:sz="0" w:space="0" w:color="auto"/>
      </w:divBdr>
    </w:div>
    <w:div w:id="1202400456">
      <w:bodyDiv w:val="1"/>
      <w:marLeft w:val="0"/>
      <w:marRight w:val="0"/>
      <w:marTop w:val="0"/>
      <w:marBottom w:val="0"/>
      <w:divBdr>
        <w:top w:val="none" w:sz="0" w:space="0" w:color="auto"/>
        <w:left w:val="none" w:sz="0" w:space="0" w:color="auto"/>
        <w:bottom w:val="none" w:sz="0" w:space="0" w:color="auto"/>
        <w:right w:val="none" w:sz="0" w:space="0" w:color="auto"/>
      </w:divBdr>
    </w:div>
    <w:div w:id="1206138672">
      <w:bodyDiv w:val="1"/>
      <w:marLeft w:val="0"/>
      <w:marRight w:val="0"/>
      <w:marTop w:val="0"/>
      <w:marBottom w:val="0"/>
      <w:divBdr>
        <w:top w:val="none" w:sz="0" w:space="0" w:color="auto"/>
        <w:left w:val="none" w:sz="0" w:space="0" w:color="auto"/>
        <w:bottom w:val="none" w:sz="0" w:space="0" w:color="auto"/>
        <w:right w:val="none" w:sz="0" w:space="0" w:color="auto"/>
      </w:divBdr>
    </w:div>
    <w:div w:id="1206602599">
      <w:bodyDiv w:val="1"/>
      <w:marLeft w:val="0"/>
      <w:marRight w:val="0"/>
      <w:marTop w:val="0"/>
      <w:marBottom w:val="0"/>
      <w:divBdr>
        <w:top w:val="none" w:sz="0" w:space="0" w:color="auto"/>
        <w:left w:val="none" w:sz="0" w:space="0" w:color="auto"/>
        <w:bottom w:val="none" w:sz="0" w:space="0" w:color="auto"/>
        <w:right w:val="none" w:sz="0" w:space="0" w:color="auto"/>
      </w:divBdr>
    </w:div>
    <w:div w:id="1207990894">
      <w:bodyDiv w:val="1"/>
      <w:marLeft w:val="0"/>
      <w:marRight w:val="0"/>
      <w:marTop w:val="0"/>
      <w:marBottom w:val="0"/>
      <w:divBdr>
        <w:top w:val="none" w:sz="0" w:space="0" w:color="auto"/>
        <w:left w:val="none" w:sz="0" w:space="0" w:color="auto"/>
        <w:bottom w:val="none" w:sz="0" w:space="0" w:color="auto"/>
        <w:right w:val="none" w:sz="0" w:space="0" w:color="auto"/>
      </w:divBdr>
    </w:div>
    <w:div w:id="1209489666">
      <w:bodyDiv w:val="1"/>
      <w:marLeft w:val="0"/>
      <w:marRight w:val="0"/>
      <w:marTop w:val="0"/>
      <w:marBottom w:val="0"/>
      <w:divBdr>
        <w:top w:val="none" w:sz="0" w:space="0" w:color="auto"/>
        <w:left w:val="none" w:sz="0" w:space="0" w:color="auto"/>
        <w:bottom w:val="none" w:sz="0" w:space="0" w:color="auto"/>
        <w:right w:val="none" w:sz="0" w:space="0" w:color="auto"/>
      </w:divBdr>
    </w:div>
    <w:div w:id="1209997740">
      <w:bodyDiv w:val="1"/>
      <w:marLeft w:val="0"/>
      <w:marRight w:val="0"/>
      <w:marTop w:val="0"/>
      <w:marBottom w:val="0"/>
      <w:divBdr>
        <w:top w:val="none" w:sz="0" w:space="0" w:color="auto"/>
        <w:left w:val="none" w:sz="0" w:space="0" w:color="auto"/>
        <w:bottom w:val="none" w:sz="0" w:space="0" w:color="auto"/>
        <w:right w:val="none" w:sz="0" w:space="0" w:color="auto"/>
      </w:divBdr>
    </w:div>
    <w:div w:id="1213275699">
      <w:bodyDiv w:val="1"/>
      <w:marLeft w:val="0"/>
      <w:marRight w:val="0"/>
      <w:marTop w:val="0"/>
      <w:marBottom w:val="0"/>
      <w:divBdr>
        <w:top w:val="none" w:sz="0" w:space="0" w:color="auto"/>
        <w:left w:val="none" w:sz="0" w:space="0" w:color="auto"/>
        <w:bottom w:val="none" w:sz="0" w:space="0" w:color="auto"/>
        <w:right w:val="none" w:sz="0" w:space="0" w:color="auto"/>
      </w:divBdr>
    </w:div>
    <w:div w:id="1216045407">
      <w:bodyDiv w:val="1"/>
      <w:marLeft w:val="0"/>
      <w:marRight w:val="0"/>
      <w:marTop w:val="0"/>
      <w:marBottom w:val="0"/>
      <w:divBdr>
        <w:top w:val="none" w:sz="0" w:space="0" w:color="auto"/>
        <w:left w:val="none" w:sz="0" w:space="0" w:color="auto"/>
        <w:bottom w:val="none" w:sz="0" w:space="0" w:color="auto"/>
        <w:right w:val="none" w:sz="0" w:space="0" w:color="auto"/>
      </w:divBdr>
    </w:div>
    <w:div w:id="1219898159">
      <w:bodyDiv w:val="1"/>
      <w:marLeft w:val="0"/>
      <w:marRight w:val="0"/>
      <w:marTop w:val="0"/>
      <w:marBottom w:val="0"/>
      <w:divBdr>
        <w:top w:val="none" w:sz="0" w:space="0" w:color="auto"/>
        <w:left w:val="none" w:sz="0" w:space="0" w:color="auto"/>
        <w:bottom w:val="none" w:sz="0" w:space="0" w:color="auto"/>
        <w:right w:val="none" w:sz="0" w:space="0" w:color="auto"/>
      </w:divBdr>
    </w:div>
    <w:div w:id="1221134173">
      <w:bodyDiv w:val="1"/>
      <w:marLeft w:val="0"/>
      <w:marRight w:val="0"/>
      <w:marTop w:val="0"/>
      <w:marBottom w:val="0"/>
      <w:divBdr>
        <w:top w:val="none" w:sz="0" w:space="0" w:color="auto"/>
        <w:left w:val="none" w:sz="0" w:space="0" w:color="auto"/>
        <w:bottom w:val="none" w:sz="0" w:space="0" w:color="auto"/>
        <w:right w:val="none" w:sz="0" w:space="0" w:color="auto"/>
      </w:divBdr>
    </w:div>
    <w:div w:id="1223711776">
      <w:bodyDiv w:val="1"/>
      <w:marLeft w:val="0"/>
      <w:marRight w:val="0"/>
      <w:marTop w:val="0"/>
      <w:marBottom w:val="0"/>
      <w:divBdr>
        <w:top w:val="none" w:sz="0" w:space="0" w:color="auto"/>
        <w:left w:val="none" w:sz="0" w:space="0" w:color="auto"/>
        <w:bottom w:val="none" w:sz="0" w:space="0" w:color="auto"/>
        <w:right w:val="none" w:sz="0" w:space="0" w:color="auto"/>
      </w:divBdr>
    </w:div>
    <w:div w:id="1224213333">
      <w:bodyDiv w:val="1"/>
      <w:marLeft w:val="0"/>
      <w:marRight w:val="0"/>
      <w:marTop w:val="0"/>
      <w:marBottom w:val="0"/>
      <w:divBdr>
        <w:top w:val="none" w:sz="0" w:space="0" w:color="auto"/>
        <w:left w:val="none" w:sz="0" w:space="0" w:color="auto"/>
        <w:bottom w:val="none" w:sz="0" w:space="0" w:color="auto"/>
        <w:right w:val="none" w:sz="0" w:space="0" w:color="auto"/>
      </w:divBdr>
    </w:div>
    <w:div w:id="1228804333">
      <w:bodyDiv w:val="1"/>
      <w:marLeft w:val="0"/>
      <w:marRight w:val="0"/>
      <w:marTop w:val="0"/>
      <w:marBottom w:val="0"/>
      <w:divBdr>
        <w:top w:val="none" w:sz="0" w:space="0" w:color="auto"/>
        <w:left w:val="none" w:sz="0" w:space="0" w:color="auto"/>
        <w:bottom w:val="none" w:sz="0" w:space="0" w:color="auto"/>
        <w:right w:val="none" w:sz="0" w:space="0" w:color="auto"/>
      </w:divBdr>
    </w:div>
    <w:div w:id="1230111624">
      <w:bodyDiv w:val="1"/>
      <w:marLeft w:val="0"/>
      <w:marRight w:val="0"/>
      <w:marTop w:val="0"/>
      <w:marBottom w:val="0"/>
      <w:divBdr>
        <w:top w:val="none" w:sz="0" w:space="0" w:color="auto"/>
        <w:left w:val="none" w:sz="0" w:space="0" w:color="auto"/>
        <w:bottom w:val="none" w:sz="0" w:space="0" w:color="auto"/>
        <w:right w:val="none" w:sz="0" w:space="0" w:color="auto"/>
      </w:divBdr>
    </w:div>
    <w:div w:id="1230648422">
      <w:bodyDiv w:val="1"/>
      <w:marLeft w:val="0"/>
      <w:marRight w:val="0"/>
      <w:marTop w:val="0"/>
      <w:marBottom w:val="0"/>
      <w:divBdr>
        <w:top w:val="none" w:sz="0" w:space="0" w:color="auto"/>
        <w:left w:val="none" w:sz="0" w:space="0" w:color="auto"/>
        <w:bottom w:val="none" w:sz="0" w:space="0" w:color="auto"/>
        <w:right w:val="none" w:sz="0" w:space="0" w:color="auto"/>
      </w:divBdr>
    </w:div>
    <w:div w:id="1231189078">
      <w:bodyDiv w:val="1"/>
      <w:marLeft w:val="0"/>
      <w:marRight w:val="0"/>
      <w:marTop w:val="0"/>
      <w:marBottom w:val="0"/>
      <w:divBdr>
        <w:top w:val="none" w:sz="0" w:space="0" w:color="auto"/>
        <w:left w:val="none" w:sz="0" w:space="0" w:color="auto"/>
        <w:bottom w:val="none" w:sz="0" w:space="0" w:color="auto"/>
        <w:right w:val="none" w:sz="0" w:space="0" w:color="auto"/>
      </w:divBdr>
    </w:div>
    <w:div w:id="1231308589">
      <w:bodyDiv w:val="1"/>
      <w:marLeft w:val="0"/>
      <w:marRight w:val="0"/>
      <w:marTop w:val="0"/>
      <w:marBottom w:val="0"/>
      <w:divBdr>
        <w:top w:val="none" w:sz="0" w:space="0" w:color="auto"/>
        <w:left w:val="none" w:sz="0" w:space="0" w:color="auto"/>
        <w:bottom w:val="none" w:sz="0" w:space="0" w:color="auto"/>
        <w:right w:val="none" w:sz="0" w:space="0" w:color="auto"/>
      </w:divBdr>
    </w:div>
    <w:div w:id="1231384736">
      <w:bodyDiv w:val="1"/>
      <w:marLeft w:val="0"/>
      <w:marRight w:val="0"/>
      <w:marTop w:val="0"/>
      <w:marBottom w:val="0"/>
      <w:divBdr>
        <w:top w:val="none" w:sz="0" w:space="0" w:color="auto"/>
        <w:left w:val="none" w:sz="0" w:space="0" w:color="auto"/>
        <w:bottom w:val="none" w:sz="0" w:space="0" w:color="auto"/>
        <w:right w:val="none" w:sz="0" w:space="0" w:color="auto"/>
      </w:divBdr>
    </w:div>
    <w:div w:id="1231580542">
      <w:bodyDiv w:val="1"/>
      <w:marLeft w:val="0"/>
      <w:marRight w:val="0"/>
      <w:marTop w:val="0"/>
      <w:marBottom w:val="0"/>
      <w:divBdr>
        <w:top w:val="none" w:sz="0" w:space="0" w:color="auto"/>
        <w:left w:val="none" w:sz="0" w:space="0" w:color="auto"/>
        <w:bottom w:val="none" w:sz="0" w:space="0" w:color="auto"/>
        <w:right w:val="none" w:sz="0" w:space="0" w:color="auto"/>
      </w:divBdr>
    </w:div>
    <w:div w:id="1231886268">
      <w:bodyDiv w:val="1"/>
      <w:marLeft w:val="0"/>
      <w:marRight w:val="0"/>
      <w:marTop w:val="0"/>
      <w:marBottom w:val="0"/>
      <w:divBdr>
        <w:top w:val="none" w:sz="0" w:space="0" w:color="auto"/>
        <w:left w:val="none" w:sz="0" w:space="0" w:color="auto"/>
        <w:bottom w:val="none" w:sz="0" w:space="0" w:color="auto"/>
        <w:right w:val="none" w:sz="0" w:space="0" w:color="auto"/>
      </w:divBdr>
    </w:div>
    <w:div w:id="1233009094">
      <w:bodyDiv w:val="1"/>
      <w:marLeft w:val="0"/>
      <w:marRight w:val="0"/>
      <w:marTop w:val="0"/>
      <w:marBottom w:val="0"/>
      <w:divBdr>
        <w:top w:val="none" w:sz="0" w:space="0" w:color="auto"/>
        <w:left w:val="none" w:sz="0" w:space="0" w:color="auto"/>
        <w:bottom w:val="none" w:sz="0" w:space="0" w:color="auto"/>
        <w:right w:val="none" w:sz="0" w:space="0" w:color="auto"/>
      </w:divBdr>
    </w:div>
    <w:div w:id="1236554974">
      <w:bodyDiv w:val="1"/>
      <w:marLeft w:val="0"/>
      <w:marRight w:val="0"/>
      <w:marTop w:val="0"/>
      <w:marBottom w:val="0"/>
      <w:divBdr>
        <w:top w:val="none" w:sz="0" w:space="0" w:color="auto"/>
        <w:left w:val="none" w:sz="0" w:space="0" w:color="auto"/>
        <w:bottom w:val="none" w:sz="0" w:space="0" w:color="auto"/>
        <w:right w:val="none" w:sz="0" w:space="0" w:color="auto"/>
      </w:divBdr>
    </w:div>
    <w:div w:id="1237548993">
      <w:bodyDiv w:val="1"/>
      <w:marLeft w:val="0"/>
      <w:marRight w:val="0"/>
      <w:marTop w:val="0"/>
      <w:marBottom w:val="0"/>
      <w:divBdr>
        <w:top w:val="none" w:sz="0" w:space="0" w:color="auto"/>
        <w:left w:val="none" w:sz="0" w:space="0" w:color="auto"/>
        <w:bottom w:val="none" w:sz="0" w:space="0" w:color="auto"/>
        <w:right w:val="none" w:sz="0" w:space="0" w:color="auto"/>
      </w:divBdr>
    </w:div>
    <w:div w:id="1237782427">
      <w:bodyDiv w:val="1"/>
      <w:marLeft w:val="0"/>
      <w:marRight w:val="0"/>
      <w:marTop w:val="0"/>
      <w:marBottom w:val="0"/>
      <w:divBdr>
        <w:top w:val="none" w:sz="0" w:space="0" w:color="auto"/>
        <w:left w:val="none" w:sz="0" w:space="0" w:color="auto"/>
        <w:bottom w:val="none" w:sz="0" w:space="0" w:color="auto"/>
        <w:right w:val="none" w:sz="0" w:space="0" w:color="auto"/>
      </w:divBdr>
    </w:div>
    <w:div w:id="1238131976">
      <w:bodyDiv w:val="1"/>
      <w:marLeft w:val="0"/>
      <w:marRight w:val="0"/>
      <w:marTop w:val="0"/>
      <w:marBottom w:val="0"/>
      <w:divBdr>
        <w:top w:val="none" w:sz="0" w:space="0" w:color="auto"/>
        <w:left w:val="none" w:sz="0" w:space="0" w:color="auto"/>
        <w:bottom w:val="none" w:sz="0" w:space="0" w:color="auto"/>
        <w:right w:val="none" w:sz="0" w:space="0" w:color="auto"/>
      </w:divBdr>
    </w:div>
    <w:div w:id="1238133900">
      <w:bodyDiv w:val="1"/>
      <w:marLeft w:val="0"/>
      <w:marRight w:val="0"/>
      <w:marTop w:val="0"/>
      <w:marBottom w:val="0"/>
      <w:divBdr>
        <w:top w:val="none" w:sz="0" w:space="0" w:color="auto"/>
        <w:left w:val="none" w:sz="0" w:space="0" w:color="auto"/>
        <w:bottom w:val="none" w:sz="0" w:space="0" w:color="auto"/>
        <w:right w:val="none" w:sz="0" w:space="0" w:color="auto"/>
      </w:divBdr>
    </w:div>
    <w:div w:id="1238713931">
      <w:bodyDiv w:val="1"/>
      <w:marLeft w:val="0"/>
      <w:marRight w:val="0"/>
      <w:marTop w:val="0"/>
      <w:marBottom w:val="0"/>
      <w:divBdr>
        <w:top w:val="none" w:sz="0" w:space="0" w:color="auto"/>
        <w:left w:val="none" w:sz="0" w:space="0" w:color="auto"/>
        <w:bottom w:val="none" w:sz="0" w:space="0" w:color="auto"/>
        <w:right w:val="none" w:sz="0" w:space="0" w:color="auto"/>
      </w:divBdr>
    </w:div>
    <w:div w:id="1239099228">
      <w:bodyDiv w:val="1"/>
      <w:marLeft w:val="0"/>
      <w:marRight w:val="0"/>
      <w:marTop w:val="0"/>
      <w:marBottom w:val="0"/>
      <w:divBdr>
        <w:top w:val="none" w:sz="0" w:space="0" w:color="auto"/>
        <w:left w:val="none" w:sz="0" w:space="0" w:color="auto"/>
        <w:bottom w:val="none" w:sz="0" w:space="0" w:color="auto"/>
        <w:right w:val="none" w:sz="0" w:space="0" w:color="auto"/>
      </w:divBdr>
    </w:div>
    <w:div w:id="1241015133">
      <w:bodyDiv w:val="1"/>
      <w:marLeft w:val="0"/>
      <w:marRight w:val="0"/>
      <w:marTop w:val="0"/>
      <w:marBottom w:val="0"/>
      <w:divBdr>
        <w:top w:val="none" w:sz="0" w:space="0" w:color="auto"/>
        <w:left w:val="none" w:sz="0" w:space="0" w:color="auto"/>
        <w:bottom w:val="none" w:sz="0" w:space="0" w:color="auto"/>
        <w:right w:val="none" w:sz="0" w:space="0" w:color="auto"/>
      </w:divBdr>
    </w:div>
    <w:div w:id="1241140185">
      <w:bodyDiv w:val="1"/>
      <w:marLeft w:val="0"/>
      <w:marRight w:val="0"/>
      <w:marTop w:val="0"/>
      <w:marBottom w:val="0"/>
      <w:divBdr>
        <w:top w:val="none" w:sz="0" w:space="0" w:color="auto"/>
        <w:left w:val="none" w:sz="0" w:space="0" w:color="auto"/>
        <w:bottom w:val="none" w:sz="0" w:space="0" w:color="auto"/>
        <w:right w:val="none" w:sz="0" w:space="0" w:color="auto"/>
      </w:divBdr>
    </w:div>
    <w:div w:id="1241522972">
      <w:bodyDiv w:val="1"/>
      <w:marLeft w:val="0"/>
      <w:marRight w:val="0"/>
      <w:marTop w:val="0"/>
      <w:marBottom w:val="0"/>
      <w:divBdr>
        <w:top w:val="none" w:sz="0" w:space="0" w:color="auto"/>
        <w:left w:val="none" w:sz="0" w:space="0" w:color="auto"/>
        <w:bottom w:val="none" w:sz="0" w:space="0" w:color="auto"/>
        <w:right w:val="none" w:sz="0" w:space="0" w:color="auto"/>
      </w:divBdr>
    </w:div>
    <w:div w:id="1242370010">
      <w:bodyDiv w:val="1"/>
      <w:marLeft w:val="0"/>
      <w:marRight w:val="0"/>
      <w:marTop w:val="0"/>
      <w:marBottom w:val="0"/>
      <w:divBdr>
        <w:top w:val="none" w:sz="0" w:space="0" w:color="auto"/>
        <w:left w:val="none" w:sz="0" w:space="0" w:color="auto"/>
        <w:bottom w:val="none" w:sz="0" w:space="0" w:color="auto"/>
        <w:right w:val="none" w:sz="0" w:space="0" w:color="auto"/>
      </w:divBdr>
    </w:div>
    <w:div w:id="1245917977">
      <w:bodyDiv w:val="1"/>
      <w:marLeft w:val="0"/>
      <w:marRight w:val="0"/>
      <w:marTop w:val="0"/>
      <w:marBottom w:val="0"/>
      <w:divBdr>
        <w:top w:val="none" w:sz="0" w:space="0" w:color="auto"/>
        <w:left w:val="none" w:sz="0" w:space="0" w:color="auto"/>
        <w:bottom w:val="none" w:sz="0" w:space="0" w:color="auto"/>
        <w:right w:val="none" w:sz="0" w:space="0" w:color="auto"/>
      </w:divBdr>
    </w:div>
    <w:div w:id="1247887992">
      <w:bodyDiv w:val="1"/>
      <w:marLeft w:val="0"/>
      <w:marRight w:val="0"/>
      <w:marTop w:val="0"/>
      <w:marBottom w:val="0"/>
      <w:divBdr>
        <w:top w:val="none" w:sz="0" w:space="0" w:color="auto"/>
        <w:left w:val="none" w:sz="0" w:space="0" w:color="auto"/>
        <w:bottom w:val="none" w:sz="0" w:space="0" w:color="auto"/>
        <w:right w:val="none" w:sz="0" w:space="0" w:color="auto"/>
      </w:divBdr>
    </w:div>
    <w:div w:id="1248342797">
      <w:bodyDiv w:val="1"/>
      <w:marLeft w:val="0"/>
      <w:marRight w:val="0"/>
      <w:marTop w:val="0"/>
      <w:marBottom w:val="0"/>
      <w:divBdr>
        <w:top w:val="none" w:sz="0" w:space="0" w:color="auto"/>
        <w:left w:val="none" w:sz="0" w:space="0" w:color="auto"/>
        <w:bottom w:val="none" w:sz="0" w:space="0" w:color="auto"/>
        <w:right w:val="none" w:sz="0" w:space="0" w:color="auto"/>
      </w:divBdr>
    </w:div>
    <w:div w:id="1249459217">
      <w:bodyDiv w:val="1"/>
      <w:marLeft w:val="0"/>
      <w:marRight w:val="0"/>
      <w:marTop w:val="0"/>
      <w:marBottom w:val="0"/>
      <w:divBdr>
        <w:top w:val="none" w:sz="0" w:space="0" w:color="auto"/>
        <w:left w:val="none" w:sz="0" w:space="0" w:color="auto"/>
        <w:bottom w:val="none" w:sz="0" w:space="0" w:color="auto"/>
        <w:right w:val="none" w:sz="0" w:space="0" w:color="auto"/>
      </w:divBdr>
    </w:div>
    <w:div w:id="1249734036">
      <w:bodyDiv w:val="1"/>
      <w:marLeft w:val="0"/>
      <w:marRight w:val="0"/>
      <w:marTop w:val="0"/>
      <w:marBottom w:val="0"/>
      <w:divBdr>
        <w:top w:val="none" w:sz="0" w:space="0" w:color="auto"/>
        <w:left w:val="none" w:sz="0" w:space="0" w:color="auto"/>
        <w:bottom w:val="none" w:sz="0" w:space="0" w:color="auto"/>
        <w:right w:val="none" w:sz="0" w:space="0" w:color="auto"/>
      </w:divBdr>
    </w:div>
    <w:div w:id="1249848163">
      <w:bodyDiv w:val="1"/>
      <w:marLeft w:val="0"/>
      <w:marRight w:val="0"/>
      <w:marTop w:val="0"/>
      <w:marBottom w:val="0"/>
      <w:divBdr>
        <w:top w:val="none" w:sz="0" w:space="0" w:color="auto"/>
        <w:left w:val="none" w:sz="0" w:space="0" w:color="auto"/>
        <w:bottom w:val="none" w:sz="0" w:space="0" w:color="auto"/>
        <w:right w:val="none" w:sz="0" w:space="0" w:color="auto"/>
      </w:divBdr>
    </w:div>
    <w:div w:id="1250574811">
      <w:bodyDiv w:val="1"/>
      <w:marLeft w:val="0"/>
      <w:marRight w:val="0"/>
      <w:marTop w:val="0"/>
      <w:marBottom w:val="0"/>
      <w:divBdr>
        <w:top w:val="none" w:sz="0" w:space="0" w:color="auto"/>
        <w:left w:val="none" w:sz="0" w:space="0" w:color="auto"/>
        <w:bottom w:val="none" w:sz="0" w:space="0" w:color="auto"/>
        <w:right w:val="none" w:sz="0" w:space="0" w:color="auto"/>
      </w:divBdr>
    </w:div>
    <w:div w:id="1257056330">
      <w:bodyDiv w:val="1"/>
      <w:marLeft w:val="0"/>
      <w:marRight w:val="0"/>
      <w:marTop w:val="0"/>
      <w:marBottom w:val="0"/>
      <w:divBdr>
        <w:top w:val="none" w:sz="0" w:space="0" w:color="auto"/>
        <w:left w:val="none" w:sz="0" w:space="0" w:color="auto"/>
        <w:bottom w:val="none" w:sz="0" w:space="0" w:color="auto"/>
        <w:right w:val="none" w:sz="0" w:space="0" w:color="auto"/>
      </w:divBdr>
    </w:div>
    <w:div w:id="1257326199">
      <w:bodyDiv w:val="1"/>
      <w:marLeft w:val="0"/>
      <w:marRight w:val="0"/>
      <w:marTop w:val="0"/>
      <w:marBottom w:val="0"/>
      <w:divBdr>
        <w:top w:val="none" w:sz="0" w:space="0" w:color="auto"/>
        <w:left w:val="none" w:sz="0" w:space="0" w:color="auto"/>
        <w:bottom w:val="none" w:sz="0" w:space="0" w:color="auto"/>
        <w:right w:val="none" w:sz="0" w:space="0" w:color="auto"/>
      </w:divBdr>
    </w:div>
    <w:div w:id="1258292533">
      <w:bodyDiv w:val="1"/>
      <w:marLeft w:val="0"/>
      <w:marRight w:val="0"/>
      <w:marTop w:val="0"/>
      <w:marBottom w:val="0"/>
      <w:divBdr>
        <w:top w:val="none" w:sz="0" w:space="0" w:color="auto"/>
        <w:left w:val="none" w:sz="0" w:space="0" w:color="auto"/>
        <w:bottom w:val="none" w:sz="0" w:space="0" w:color="auto"/>
        <w:right w:val="none" w:sz="0" w:space="0" w:color="auto"/>
      </w:divBdr>
    </w:div>
    <w:div w:id="1258638513">
      <w:bodyDiv w:val="1"/>
      <w:marLeft w:val="0"/>
      <w:marRight w:val="0"/>
      <w:marTop w:val="0"/>
      <w:marBottom w:val="0"/>
      <w:divBdr>
        <w:top w:val="none" w:sz="0" w:space="0" w:color="auto"/>
        <w:left w:val="none" w:sz="0" w:space="0" w:color="auto"/>
        <w:bottom w:val="none" w:sz="0" w:space="0" w:color="auto"/>
        <w:right w:val="none" w:sz="0" w:space="0" w:color="auto"/>
      </w:divBdr>
    </w:div>
    <w:div w:id="1263416178">
      <w:bodyDiv w:val="1"/>
      <w:marLeft w:val="0"/>
      <w:marRight w:val="0"/>
      <w:marTop w:val="0"/>
      <w:marBottom w:val="0"/>
      <w:divBdr>
        <w:top w:val="none" w:sz="0" w:space="0" w:color="auto"/>
        <w:left w:val="none" w:sz="0" w:space="0" w:color="auto"/>
        <w:bottom w:val="none" w:sz="0" w:space="0" w:color="auto"/>
        <w:right w:val="none" w:sz="0" w:space="0" w:color="auto"/>
      </w:divBdr>
    </w:div>
    <w:div w:id="1263731702">
      <w:bodyDiv w:val="1"/>
      <w:marLeft w:val="0"/>
      <w:marRight w:val="0"/>
      <w:marTop w:val="0"/>
      <w:marBottom w:val="0"/>
      <w:divBdr>
        <w:top w:val="none" w:sz="0" w:space="0" w:color="auto"/>
        <w:left w:val="none" w:sz="0" w:space="0" w:color="auto"/>
        <w:bottom w:val="none" w:sz="0" w:space="0" w:color="auto"/>
        <w:right w:val="none" w:sz="0" w:space="0" w:color="auto"/>
      </w:divBdr>
    </w:div>
    <w:div w:id="1264412829">
      <w:bodyDiv w:val="1"/>
      <w:marLeft w:val="0"/>
      <w:marRight w:val="0"/>
      <w:marTop w:val="0"/>
      <w:marBottom w:val="0"/>
      <w:divBdr>
        <w:top w:val="none" w:sz="0" w:space="0" w:color="auto"/>
        <w:left w:val="none" w:sz="0" w:space="0" w:color="auto"/>
        <w:bottom w:val="none" w:sz="0" w:space="0" w:color="auto"/>
        <w:right w:val="none" w:sz="0" w:space="0" w:color="auto"/>
      </w:divBdr>
    </w:div>
    <w:div w:id="1265725868">
      <w:bodyDiv w:val="1"/>
      <w:marLeft w:val="0"/>
      <w:marRight w:val="0"/>
      <w:marTop w:val="0"/>
      <w:marBottom w:val="0"/>
      <w:divBdr>
        <w:top w:val="none" w:sz="0" w:space="0" w:color="auto"/>
        <w:left w:val="none" w:sz="0" w:space="0" w:color="auto"/>
        <w:bottom w:val="none" w:sz="0" w:space="0" w:color="auto"/>
        <w:right w:val="none" w:sz="0" w:space="0" w:color="auto"/>
      </w:divBdr>
    </w:div>
    <w:div w:id="1269896810">
      <w:bodyDiv w:val="1"/>
      <w:marLeft w:val="0"/>
      <w:marRight w:val="0"/>
      <w:marTop w:val="0"/>
      <w:marBottom w:val="0"/>
      <w:divBdr>
        <w:top w:val="none" w:sz="0" w:space="0" w:color="auto"/>
        <w:left w:val="none" w:sz="0" w:space="0" w:color="auto"/>
        <w:bottom w:val="none" w:sz="0" w:space="0" w:color="auto"/>
        <w:right w:val="none" w:sz="0" w:space="0" w:color="auto"/>
      </w:divBdr>
    </w:div>
    <w:div w:id="1270089079">
      <w:bodyDiv w:val="1"/>
      <w:marLeft w:val="0"/>
      <w:marRight w:val="0"/>
      <w:marTop w:val="0"/>
      <w:marBottom w:val="0"/>
      <w:divBdr>
        <w:top w:val="none" w:sz="0" w:space="0" w:color="auto"/>
        <w:left w:val="none" w:sz="0" w:space="0" w:color="auto"/>
        <w:bottom w:val="none" w:sz="0" w:space="0" w:color="auto"/>
        <w:right w:val="none" w:sz="0" w:space="0" w:color="auto"/>
      </w:divBdr>
    </w:div>
    <w:div w:id="1270158012">
      <w:bodyDiv w:val="1"/>
      <w:marLeft w:val="0"/>
      <w:marRight w:val="0"/>
      <w:marTop w:val="0"/>
      <w:marBottom w:val="0"/>
      <w:divBdr>
        <w:top w:val="none" w:sz="0" w:space="0" w:color="auto"/>
        <w:left w:val="none" w:sz="0" w:space="0" w:color="auto"/>
        <w:bottom w:val="none" w:sz="0" w:space="0" w:color="auto"/>
        <w:right w:val="none" w:sz="0" w:space="0" w:color="auto"/>
      </w:divBdr>
    </w:div>
    <w:div w:id="1273323048">
      <w:bodyDiv w:val="1"/>
      <w:marLeft w:val="0"/>
      <w:marRight w:val="0"/>
      <w:marTop w:val="0"/>
      <w:marBottom w:val="0"/>
      <w:divBdr>
        <w:top w:val="none" w:sz="0" w:space="0" w:color="auto"/>
        <w:left w:val="none" w:sz="0" w:space="0" w:color="auto"/>
        <w:bottom w:val="none" w:sz="0" w:space="0" w:color="auto"/>
        <w:right w:val="none" w:sz="0" w:space="0" w:color="auto"/>
      </w:divBdr>
    </w:div>
    <w:div w:id="1273510108">
      <w:bodyDiv w:val="1"/>
      <w:marLeft w:val="0"/>
      <w:marRight w:val="0"/>
      <w:marTop w:val="0"/>
      <w:marBottom w:val="0"/>
      <w:divBdr>
        <w:top w:val="none" w:sz="0" w:space="0" w:color="auto"/>
        <w:left w:val="none" w:sz="0" w:space="0" w:color="auto"/>
        <w:bottom w:val="none" w:sz="0" w:space="0" w:color="auto"/>
        <w:right w:val="none" w:sz="0" w:space="0" w:color="auto"/>
      </w:divBdr>
    </w:div>
    <w:div w:id="1275819048">
      <w:bodyDiv w:val="1"/>
      <w:marLeft w:val="0"/>
      <w:marRight w:val="0"/>
      <w:marTop w:val="0"/>
      <w:marBottom w:val="0"/>
      <w:divBdr>
        <w:top w:val="none" w:sz="0" w:space="0" w:color="auto"/>
        <w:left w:val="none" w:sz="0" w:space="0" w:color="auto"/>
        <w:bottom w:val="none" w:sz="0" w:space="0" w:color="auto"/>
        <w:right w:val="none" w:sz="0" w:space="0" w:color="auto"/>
      </w:divBdr>
    </w:div>
    <w:div w:id="1276865588">
      <w:bodyDiv w:val="1"/>
      <w:marLeft w:val="0"/>
      <w:marRight w:val="0"/>
      <w:marTop w:val="0"/>
      <w:marBottom w:val="0"/>
      <w:divBdr>
        <w:top w:val="none" w:sz="0" w:space="0" w:color="auto"/>
        <w:left w:val="none" w:sz="0" w:space="0" w:color="auto"/>
        <w:bottom w:val="none" w:sz="0" w:space="0" w:color="auto"/>
        <w:right w:val="none" w:sz="0" w:space="0" w:color="auto"/>
      </w:divBdr>
    </w:div>
    <w:div w:id="1281838248">
      <w:bodyDiv w:val="1"/>
      <w:marLeft w:val="0"/>
      <w:marRight w:val="0"/>
      <w:marTop w:val="0"/>
      <w:marBottom w:val="0"/>
      <w:divBdr>
        <w:top w:val="none" w:sz="0" w:space="0" w:color="auto"/>
        <w:left w:val="none" w:sz="0" w:space="0" w:color="auto"/>
        <w:bottom w:val="none" w:sz="0" w:space="0" w:color="auto"/>
        <w:right w:val="none" w:sz="0" w:space="0" w:color="auto"/>
      </w:divBdr>
    </w:div>
    <w:div w:id="1285387072">
      <w:bodyDiv w:val="1"/>
      <w:marLeft w:val="0"/>
      <w:marRight w:val="0"/>
      <w:marTop w:val="0"/>
      <w:marBottom w:val="0"/>
      <w:divBdr>
        <w:top w:val="none" w:sz="0" w:space="0" w:color="auto"/>
        <w:left w:val="none" w:sz="0" w:space="0" w:color="auto"/>
        <w:bottom w:val="none" w:sz="0" w:space="0" w:color="auto"/>
        <w:right w:val="none" w:sz="0" w:space="0" w:color="auto"/>
      </w:divBdr>
    </w:div>
    <w:div w:id="1286042365">
      <w:bodyDiv w:val="1"/>
      <w:marLeft w:val="0"/>
      <w:marRight w:val="0"/>
      <w:marTop w:val="0"/>
      <w:marBottom w:val="0"/>
      <w:divBdr>
        <w:top w:val="none" w:sz="0" w:space="0" w:color="auto"/>
        <w:left w:val="none" w:sz="0" w:space="0" w:color="auto"/>
        <w:bottom w:val="none" w:sz="0" w:space="0" w:color="auto"/>
        <w:right w:val="none" w:sz="0" w:space="0" w:color="auto"/>
      </w:divBdr>
    </w:div>
    <w:div w:id="1286735446">
      <w:bodyDiv w:val="1"/>
      <w:marLeft w:val="0"/>
      <w:marRight w:val="0"/>
      <w:marTop w:val="0"/>
      <w:marBottom w:val="0"/>
      <w:divBdr>
        <w:top w:val="none" w:sz="0" w:space="0" w:color="auto"/>
        <w:left w:val="none" w:sz="0" w:space="0" w:color="auto"/>
        <w:bottom w:val="none" w:sz="0" w:space="0" w:color="auto"/>
        <w:right w:val="none" w:sz="0" w:space="0" w:color="auto"/>
      </w:divBdr>
    </w:div>
    <w:div w:id="1288511265">
      <w:bodyDiv w:val="1"/>
      <w:marLeft w:val="0"/>
      <w:marRight w:val="0"/>
      <w:marTop w:val="0"/>
      <w:marBottom w:val="0"/>
      <w:divBdr>
        <w:top w:val="none" w:sz="0" w:space="0" w:color="auto"/>
        <w:left w:val="none" w:sz="0" w:space="0" w:color="auto"/>
        <w:bottom w:val="none" w:sz="0" w:space="0" w:color="auto"/>
        <w:right w:val="none" w:sz="0" w:space="0" w:color="auto"/>
      </w:divBdr>
    </w:div>
    <w:div w:id="1290865048">
      <w:bodyDiv w:val="1"/>
      <w:marLeft w:val="0"/>
      <w:marRight w:val="0"/>
      <w:marTop w:val="0"/>
      <w:marBottom w:val="0"/>
      <w:divBdr>
        <w:top w:val="none" w:sz="0" w:space="0" w:color="auto"/>
        <w:left w:val="none" w:sz="0" w:space="0" w:color="auto"/>
        <w:bottom w:val="none" w:sz="0" w:space="0" w:color="auto"/>
        <w:right w:val="none" w:sz="0" w:space="0" w:color="auto"/>
      </w:divBdr>
    </w:div>
    <w:div w:id="1291283813">
      <w:bodyDiv w:val="1"/>
      <w:marLeft w:val="0"/>
      <w:marRight w:val="0"/>
      <w:marTop w:val="0"/>
      <w:marBottom w:val="0"/>
      <w:divBdr>
        <w:top w:val="none" w:sz="0" w:space="0" w:color="auto"/>
        <w:left w:val="none" w:sz="0" w:space="0" w:color="auto"/>
        <w:bottom w:val="none" w:sz="0" w:space="0" w:color="auto"/>
        <w:right w:val="none" w:sz="0" w:space="0" w:color="auto"/>
      </w:divBdr>
    </w:div>
    <w:div w:id="1291789352">
      <w:bodyDiv w:val="1"/>
      <w:marLeft w:val="0"/>
      <w:marRight w:val="0"/>
      <w:marTop w:val="0"/>
      <w:marBottom w:val="0"/>
      <w:divBdr>
        <w:top w:val="none" w:sz="0" w:space="0" w:color="auto"/>
        <w:left w:val="none" w:sz="0" w:space="0" w:color="auto"/>
        <w:bottom w:val="none" w:sz="0" w:space="0" w:color="auto"/>
        <w:right w:val="none" w:sz="0" w:space="0" w:color="auto"/>
      </w:divBdr>
    </w:div>
    <w:div w:id="1294216397">
      <w:bodyDiv w:val="1"/>
      <w:marLeft w:val="0"/>
      <w:marRight w:val="0"/>
      <w:marTop w:val="0"/>
      <w:marBottom w:val="0"/>
      <w:divBdr>
        <w:top w:val="none" w:sz="0" w:space="0" w:color="auto"/>
        <w:left w:val="none" w:sz="0" w:space="0" w:color="auto"/>
        <w:bottom w:val="none" w:sz="0" w:space="0" w:color="auto"/>
        <w:right w:val="none" w:sz="0" w:space="0" w:color="auto"/>
      </w:divBdr>
    </w:div>
    <w:div w:id="1295019811">
      <w:bodyDiv w:val="1"/>
      <w:marLeft w:val="0"/>
      <w:marRight w:val="0"/>
      <w:marTop w:val="0"/>
      <w:marBottom w:val="0"/>
      <w:divBdr>
        <w:top w:val="none" w:sz="0" w:space="0" w:color="auto"/>
        <w:left w:val="none" w:sz="0" w:space="0" w:color="auto"/>
        <w:bottom w:val="none" w:sz="0" w:space="0" w:color="auto"/>
        <w:right w:val="none" w:sz="0" w:space="0" w:color="auto"/>
      </w:divBdr>
    </w:div>
    <w:div w:id="1297416690">
      <w:bodyDiv w:val="1"/>
      <w:marLeft w:val="0"/>
      <w:marRight w:val="0"/>
      <w:marTop w:val="0"/>
      <w:marBottom w:val="0"/>
      <w:divBdr>
        <w:top w:val="none" w:sz="0" w:space="0" w:color="auto"/>
        <w:left w:val="none" w:sz="0" w:space="0" w:color="auto"/>
        <w:bottom w:val="none" w:sz="0" w:space="0" w:color="auto"/>
        <w:right w:val="none" w:sz="0" w:space="0" w:color="auto"/>
      </w:divBdr>
    </w:div>
    <w:div w:id="1297640982">
      <w:bodyDiv w:val="1"/>
      <w:marLeft w:val="0"/>
      <w:marRight w:val="0"/>
      <w:marTop w:val="0"/>
      <w:marBottom w:val="0"/>
      <w:divBdr>
        <w:top w:val="none" w:sz="0" w:space="0" w:color="auto"/>
        <w:left w:val="none" w:sz="0" w:space="0" w:color="auto"/>
        <w:bottom w:val="none" w:sz="0" w:space="0" w:color="auto"/>
        <w:right w:val="none" w:sz="0" w:space="0" w:color="auto"/>
      </w:divBdr>
    </w:div>
    <w:div w:id="1298492912">
      <w:bodyDiv w:val="1"/>
      <w:marLeft w:val="0"/>
      <w:marRight w:val="0"/>
      <w:marTop w:val="0"/>
      <w:marBottom w:val="0"/>
      <w:divBdr>
        <w:top w:val="none" w:sz="0" w:space="0" w:color="auto"/>
        <w:left w:val="none" w:sz="0" w:space="0" w:color="auto"/>
        <w:bottom w:val="none" w:sz="0" w:space="0" w:color="auto"/>
        <w:right w:val="none" w:sz="0" w:space="0" w:color="auto"/>
      </w:divBdr>
    </w:div>
    <w:div w:id="1301614375">
      <w:bodyDiv w:val="1"/>
      <w:marLeft w:val="0"/>
      <w:marRight w:val="0"/>
      <w:marTop w:val="0"/>
      <w:marBottom w:val="0"/>
      <w:divBdr>
        <w:top w:val="none" w:sz="0" w:space="0" w:color="auto"/>
        <w:left w:val="none" w:sz="0" w:space="0" w:color="auto"/>
        <w:bottom w:val="none" w:sz="0" w:space="0" w:color="auto"/>
        <w:right w:val="none" w:sz="0" w:space="0" w:color="auto"/>
      </w:divBdr>
    </w:div>
    <w:div w:id="1301886788">
      <w:bodyDiv w:val="1"/>
      <w:marLeft w:val="0"/>
      <w:marRight w:val="0"/>
      <w:marTop w:val="0"/>
      <w:marBottom w:val="0"/>
      <w:divBdr>
        <w:top w:val="none" w:sz="0" w:space="0" w:color="auto"/>
        <w:left w:val="none" w:sz="0" w:space="0" w:color="auto"/>
        <w:bottom w:val="none" w:sz="0" w:space="0" w:color="auto"/>
        <w:right w:val="none" w:sz="0" w:space="0" w:color="auto"/>
      </w:divBdr>
    </w:div>
    <w:div w:id="1306351269">
      <w:bodyDiv w:val="1"/>
      <w:marLeft w:val="0"/>
      <w:marRight w:val="0"/>
      <w:marTop w:val="0"/>
      <w:marBottom w:val="0"/>
      <w:divBdr>
        <w:top w:val="none" w:sz="0" w:space="0" w:color="auto"/>
        <w:left w:val="none" w:sz="0" w:space="0" w:color="auto"/>
        <w:bottom w:val="none" w:sz="0" w:space="0" w:color="auto"/>
        <w:right w:val="none" w:sz="0" w:space="0" w:color="auto"/>
      </w:divBdr>
    </w:div>
    <w:div w:id="1308047521">
      <w:bodyDiv w:val="1"/>
      <w:marLeft w:val="0"/>
      <w:marRight w:val="0"/>
      <w:marTop w:val="0"/>
      <w:marBottom w:val="0"/>
      <w:divBdr>
        <w:top w:val="none" w:sz="0" w:space="0" w:color="auto"/>
        <w:left w:val="none" w:sz="0" w:space="0" w:color="auto"/>
        <w:bottom w:val="none" w:sz="0" w:space="0" w:color="auto"/>
        <w:right w:val="none" w:sz="0" w:space="0" w:color="auto"/>
      </w:divBdr>
    </w:div>
    <w:div w:id="1308701144">
      <w:bodyDiv w:val="1"/>
      <w:marLeft w:val="0"/>
      <w:marRight w:val="0"/>
      <w:marTop w:val="0"/>
      <w:marBottom w:val="0"/>
      <w:divBdr>
        <w:top w:val="none" w:sz="0" w:space="0" w:color="auto"/>
        <w:left w:val="none" w:sz="0" w:space="0" w:color="auto"/>
        <w:bottom w:val="none" w:sz="0" w:space="0" w:color="auto"/>
        <w:right w:val="none" w:sz="0" w:space="0" w:color="auto"/>
      </w:divBdr>
    </w:div>
    <w:div w:id="1308777920">
      <w:bodyDiv w:val="1"/>
      <w:marLeft w:val="0"/>
      <w:marRight w:val="0"/>
      <w:marTop w:val="0"/>
      <w:marBottom w:val="0"/>
      <w:divBdr>
        <w:top w:val="none" w:sz="0" w:space="0" w:color="auto"/>
        <w:left w:val="none" w:sz="0" w:space="0" w:color="auto"/>
        <w:bottom w:val="none" w:sz="0" w:space="0" w:color="auto"/>
        <w:right w:val="none" w:sz="0" w:space="0" w:color="auto"/>
      </w:divBdr>
    </w:div>
    <w:div w:id="1308819999">
      <w:bodyDiv w:val="1"/>
      <w:marLeft w:val="0"/>
      <w:marRight w:val="0"/>
      <w:marTop w:val="0"/>
      <w:marBottom w:val="0"/>
      <w:divBdr>
        <w:top w:val="none" w:sz="0" w:space="0" w:color="auto"/>
        <w:left w:val="none" w:sz="0" w:space="0" w:color="auto"/>
        <w:bottom w:val="none" w:sz="0" w:space="0" w:color="auto"/>
        <w:right w:val="none" w:sz="0" w:space="0" w:color="auto"/>
      </w:divBdr>
    </w:div>
    <w:div w:id="1309095479">
      <w:bodyDiv w:val="1"/>
      <w:marLeft w:val="0"/>
      <w:marRight w:val="0"/>
      <w:marTop w:val="0"/>
      <w:marBottom w:val="0"/>
      <w:divBdr>
        <w:top w:val="none" w:sz="0" w:space="0" w:color="auto"/>
        <w:left w:val="none" w:sz="0" w:space="0" w:color="auto"/>
        <w:bottom w:val="none" w:sz="0" w:space="0" w:color="auto"/>
        <w:right w:val="none" w:sz="0" w:space="0" w:color="auto"/>
      </w:divBdr>
    </w:div>
    <w:div w:id="1310550286">
      <w:bodyDiv w:val="1"/>
      <w:marLeft w:val="0"/>
      <w:marRight w:val="0"/>
      <w:marTop w:val="0"/>
      <w:marBottom w:val="0"/>
      <w:divBdr>
        <w:top w:val="none" w:sz="0" w:space="0" w:color="auto"/>
        <w:left w:val="none" w:sz="0" w:space="0" w:color="auto"/>
        <w:bottom w:val="none" w:sz="0" w:space="0" w:color="auto"/>
        <w:right w:val="none" w:sz="0" w:space="0" w:color="auto"/>
      </w:divBdr>
    </w:div>
    <w:div w:id="1311599909">
      <w:bodyDiv w:val="1"/>
      <w:marLeft w:val="0"/>
      <w:marRight w:val="0"/>
      <w:marTop w:val="0"/>
      <w:marBottom w:val="0"/>
      <w:divBdr>
        <w:top w:val="none" w:sz="0" w:space="0" w:color="auto"/>
        <w:left w:val="none" w:sz="0" w:space="0" w:color="auto"/>
        <w:bottom w:val="none" w:sz="0" w:space="0" w:color="auto"/>
        <w:right w:val="none" w:sz="0" w:space="0" w:color="auto"/>
      </w:divBdr>
    </w:div>
    <w:div w:id="1312714416">
      <w:bodyDiv w:val="1"/>
      <w:marLeft w:val="0"/>
      <w:marRight w:val="0"/>
      <w:marTop w:val="0"/>
      <w:marBottom w:val="0"/>
      <w:divBdr>
        <w:top w:val="none" w:sz="0" w:space="0" w:color="auto"/>
        <w:left w:val="none" w:sz="0" w:space="0" w:color="auto"/>
        <w:bottom w:val="none" w:sz="0" w:space="0" w:color="auto"/>
        <w:right w:val="none" w:sz="0" w:space="0" w:color="auto"/>
      </w:divBdr>
    </w:div>
    <w:div w:id="1314023475">
      <w:bodyDiv w:val="1"/>
      <w:marLeft w:val="0"/>
      <w:marRight w:val="0"/>
      <w:marTop w:val="0"/>
      <w:marBottom w:val="0"/>
      <w:divBdr>
        <w:top w:val="none" w:sz="0" w:space="0" w:color="auto"/>
        <w:left w:val="none" w:sz="0" w:space="0" w:color="auto"/>
        <w:bottom w:val="none" w:sz="0" w:space="0" w:color="auto"/>
        <w:right w:val="none" w:sz="0" w:space="0" w:color="auto"/>
      </w:divBdr>
    </w:div>
    <w:div w:id="1315137762">
      <w:bodyDiv w:val="1"/>
      <w:marLeft w:val="0"/>
      <w:marRight w:val="0"/>
      <w:marTop w:val="0"/>
      <w:marBottom w:val="0"/>
      <w:divBdr>
        <w:top w:val="none" w:sz="0" w:space="0" w:color="auto"/>
        <w:left w:val="none" w:sz="0" w:space="0" w:color="auto"/>
        <w:bottom w:val="none" w:sz="0" w:space="0" w:color="auto"/>
        <w:right w:val="none" w:sz="0" w:space="0" w:color="auto"/>
      </w:divBdr>
    </w:div>
    <w:div w:id="1316030334">
      <w:bodyDiv w:val="1"/>
      <w:marLeft w:val="0"/>
      <w:marRight w:val="0"/>
      <w:marTop w:val="0"/>
      <w:marBottom w:val="0"/>
      <w:divBdr>
        <w:top w:val="none" w:sz="0" w:space="0" w:color="auto"/>
        <w:left w:val="none" w:sz="0" w:space="0" w:color="auto"/>
        <w:bottom w:val="none" w:sz="0" w:space="0" w:color="auto"/>
        <w:right w:val="none" w:sz="0" w:space="0" w:color="auto"/>
      </w:divBdr>
    </w:div>
    <w:div w:id="1318146077">
      <w:bodyDiv w:val="1"/>
      <w:marLeft w:val="0"/>
      <w:marRight w:val="0"/>
      <w:marTop w:val="0"/>
      <w:marBottom w:val="0"/>
      <w:divBdr>
        <w:top w:val="none" w:sz="0" w:space="0" w:color="auto"/>
        <w:left w:val="none" w:sz="0" w:space="0" w:color="auto"/>
        <w:bottom w:val="none" w:sz="0" w:space="0" w:color="auto"/>
        <w:right w:val="none" w:sz="0" w:space="0" w:color="auto"/>
      </w:divBdr>
    </w:div>
    <w:div w:id="1320884065">
      <w:bodyDiv w:val="1"/>
      <w:marLeft w:val="0"/>
      <w:marRight w:val="0"/>
      <w:marTop w:val="0"/>
      <w:marBottom w:val="0"/>
      <w:divBdr>
        <w:top w:val="none" w:sz="0" w:space="0" w:color="auto"/>
        <w:left w:val="none" w:sz="0" w:space="0" w:color="auto"/>
        <w:bottom w:val="none" w:sz="0" w:space="0" w:color="auto"/>
        <w:right w:val="none" w:sz="0" w:space="0" w:color="auto"/>
      </w:divBdr>
    </w:div>
    <w:div w:id="1321076096">
      <w:bodyDiv w:val="1"/>
      <w:marLeft w:val="0"/>
      <w:marRight w:val="0"/>
      <w:marTop w:val="0"/>
      <w:marBottom w:val="0"/>
      <w:divBdr>
        <w:top w:val="none" w:sz="0" w:space="0" w:color="auto"/>
        <w:left w:val="none" w:sz="0" w:space="0" w:color="auto"/>
        <w:bottom w:val="none" w:sz="0" w:space="0" w:color="auto"/>
        <w:right w:val="none" w:sz="0" w:space="0" w:color="auto"/>
      </w:divBdr>
    </w:div>
    <w:div w:id="1322194303">
      <w:bodyDiv w:val="1"/>
      <w:marLeft w:val="0"/>
      <w:marRight w:val="0"/>
      <w:marTop w:val="0"/>
      <w:marBottom w:val="0"/>
      <w:divBdr>
        <w:top w:val="none" w:sz="0" w:space="0" w:color="auto"/>
        <w:left w:val="none" w:sz="0" w:space="0" w:color="auto"/>
        <w:bottom w:val="none" w:sz="0" w:space="0" w:color="auto"/>
        <w:right w:val="none" w:sz="0" w:space="0" w:color="auto"/>
      </w:divBdr>
      <w:divsChild>
        <w:div w:id="1342202629">
          <w:marLeft w:val="547"/>
          <w:marRight w:val="0"/>
          <w:marTop w:val="0"/>
          <w:marBottom w:val="0"/>
          <w:divBdr>
            <w:top w:val="none" w:sz="0" w:space="0" w:color="auto"/>
            <w:left w:val="none" w:sz="0" w:space="0" w:color="auto"/>
            <w:bottom w:val="none" w:sz="0" w:space="0" w:color="auto"/>
            <w:right w:val="none" w:sz="0" w:space="0" w:color="auto"/>
          </w:divBdr>
        </w:div>
      </w:divsChild>
    </w:div>
    <w:div w:id="1322269470">
      <w:bodyDiv w:val="1"/>
      <w:marLeft w:val="0"/>
      <w:marRight w:val="0"/>
      <w:marTop w:val="0"/>
      <w:marBottom w:val="0"/>
      <w:divBdr>
        <w:top w:val="none" w:sz="0" w:space="0" w:color="auto"/>
        <w:left w:val="none" w:sz="0" w:space="0" w:color="auto"/>
        <w:bottom w:val="none" w:sz="0" w:space="0" w:color="auto"/>
        <w:right w:val="none" w:sz="0" w:space="0" w:color="auto"/>
      </w:divBdr>
    </w:div>
    <w:div w:id="1323198686">
      <w:bodyDiv w:val="1"/>
      <w:marLeft w:val="0"/>
      <w:marRight w:val="0"/>
      <w:marTop w:val="0"/>
      <w:marBottom w:val="0"/>
      <w:divBdr>
        <w:top w:val="none" w:sz="0" w:space="0" w:color="auto"/>
        <w:left w:val="none" w:sz="0" w:space="0" w:color="auto"/>
        <w:bottom w:val="none" w:sz="0" w:space="0" w:color="auto"/>
        <w:right w:val="none" w:sz="0" w:space="0" w:color="auto"/>
      </w:divBdr>
    </w:div>
    <w:div w:id="1326590990">
      <w:bodyDiv w:val="1"/>
      <w:marLeft w:val="0"/>
      <w:marRight w:val="0"/>
      <w:marTop w:val="0"/>
      <w:marBottom w:val="0"/>
      <w:divBdr>
        <w:top w:val="none" w:sz="0" w:space="0" w:color="auto"/>
        <w:left w:val="none" w:sz="0" w:space="0" w:color="auto"/>
        <w:bottom w:val="none" w:sz="0" w:space="0" w:color="auto"/>
        <w:right w:val="none" w:sz="0" w:space="0" w:color="auto"/>
      </w:divBdr>
    </w:div>
    <w:div w:id="1328753517">
      <w:bodyDiv w:val="1"/>
      <w:marLeft w:val="0"/>
      <w:marRight w:val="0"/>
      <w:marTop w:val="0"/>
      <w:marBottom w:val="0"/>
      <w:divBdr>
        <w:top w:val="none" w:sz="0" w:space="0" w:color="auto"/>
        <w:left w:val="none" w:sz="0" w:space="0" w:color="auto"/>
        <w:bottom w:val="none" w:sz="0" w:space="0" w:color="auto"/>
        <w:right w:val="none" w:sz="0" w:space="0" w:color="auto"/>
      </w:divBdr>
    </w:div>
    <w:div w:id="1329557416">
      <w:bodyDiv w:val="1"/>
      <w:marLeft w:val="0"/>
      <w:marRight w:val="0"/>
      <w:marTop w:val="0"/>
      <w:marBottom w:val="0"/>
      <w:divBdr>
        <w:top w:val="none" w:sz="0" w:space="0" w:color="auto"/>
        <w:left w:val="none" w:sz="0" w:space="0" w:color="auto"/>
        <w:bottom w:val="none" w:sz="0" w:space="0" w:color="auto"/>
        <w:right w:val="none" w:sz="0" w:space="0" w:color="auto"/>
      </w:divBdr>
    </w:div>
    <w:div w:id="1329821332">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3023476">
      <w:bodyDiv w:val="1"/>
      <w:marLeft w:val="0"/>
      <w:marRight w:val="0"/>
      <w:marTop w:val="0"/>
      <w:marBottom w:val="0"/>
      <w:divBdr>
        <w:top w:val="none" w:sz="0" w:space="0" w:color="auto"/>
        <w:left w:val="none" w:sz="0" w:space="0" w:color="auto"/>
        <w:bottom w:val="none" w:sz="0" w:space="0" w:color="auto"/>
        <w:right w:val="none" w:sz="0" w:space="0" w:color="auto"/>
      </w:divBdr>
    </w:div>
    <w:div w:id="1333291852">
      <w:bodyDiv w:val="1"/>
      <w:marLeft w:val="0"/>
      <w:marRight w:val="0"/>
      <w:marTop w:val="0"/>
      <w:marBottom w:val="0"/>
      <w:divBdr>
        <w:top w:val="none" w:sz="0" w:space="0" w:color="auto"/>
        <w:left w:val="none" w:sz="0" w:space="0" w:color="auto"/>
        <w:bottom w:val="none" w:sz="0" w:space="0" w:color="auto"/>
        <w:right w:val="none" w:sz="0" w:space="0" w:color="auto"/>
      </w:divBdr>
    </w:div>
    <w:div w:id="1333332593">
      <w:bodyDiv w:val="1"/>
      <w:marLeft w:val="0"/>
      <w:marRight w:val="0"/>
      <w:marTop w:val="0"/>
      <w:marBottom w:val="0"/>
      <w:divBdr>
        <w:top w:val="none" w:sz="0" w:space="0" w:color="auto"/>
        <w:left w:val="none" w:sz="0" w:space="0" w:color="auto"/>
        <w:bottom w:val="none" w:sz="0" w:space="0" w:color="auto"/>
        <w:right w:val="none" w:sz="0" w:space="0" w:color="auto"/>
      </w:divBdr>
    </w:div>
    <w:div w:id="1334726674">
      <w:bodyDiv w:val="1"/>
      <w:marLeft w:val="0"/>
      <w:marRight w:val="0"/>
      <w:marTop w:val="0"/>
      <w:marBottom w:val="0"/>
      <w:divBdr>
        <w:top w:val="none" w:sz="0" w:space="0" w:color="auto"/>
        <w:left w:val="none" w:sz="0" w:space="0" w:color="auto"/>
        <w:bottom w:val="none" w:sz="0" w:space="0" w:color="auto"/>
        <w:right w:val="none" w:sz="0" w:space="0" w:color="auto"/>
      </w:divBdr>
    </w:div>
    <w:div w:id="1334915528">
      <w:bodyDiv w:val="1"/>
      <w:marLeft w:val="0"/>
      <w:marRight w:val="0"/>
      <w:marTop w:val="0"/>
      <w:marBottom w:val="0"/>
      <w:divBdr>
        <w:top w:val="none" w:sz="0" w:space="0" w:color="auto"/>
        <w:left w:val="none" w:sz="0" w:space="0" w:color="auto"/>
        <w:bottom w:val="none" w:sz="0" w:space="0" w:color="auto"/>
        <w:right w:val="none" w:sz="0" w:space="0" w:color="auto"/>
      </w:divBdr>
    </w:div>
    <w:div w:id="1335300029">
      <w:bodyDiv w:val="1"/>
      <w:marLeft w:val="0"/>
      <w:marRight w:val="0"/>
      <w:marTop w:val="0"/>
      <w:marBottom w:val="0"/>
      <w:divBdr>
        <w:top w:val="none" w:sz="0" w:space="0" w:color="auto"/>
        <w:left w:val="none" w:sz="0" w:space="0" w:color="auto"/>
        <w:bottom w:val="none" w:sz="0" w:space="0" w:color="auto"/>
        <w:right w:val="none" w:sz="0" w:space="0" w:color="auto"/>
      </w:divBdr>
    </w:div>
    <w:div w:id="1335495588">
      <w:bodyDiv w:val="1"/>
      <w:marLeft w:val="0"/>
      <w:marRight w:val="0"/>
      <w:marTop w:val="0"/>
      <w:marBottom w:val="0"/>
      <w:divBdr>
        <w:top w:val="none" w:sz="0" w:space="0" w:color="auto"/>
        <w:left w:val="none" w:sz="0" w:space="0" w:color="auto"/>
        <w:bottom w:val="none" w:sz="0" w:space="0" w:color="auto"/>
        <w:right w:val="none" w:sz="0" w:space="0" w:color="auto"/>
      </w:divBdr>
    </w:div>
    <w:div w:id="1341005883">
      <w:bodyDiv w:val="1"/>
      <w:marLeft w:val="0"/>
      <w:marRight w:val="0"/>
      <w:marTop w:val="0"/>
      <w:marBottom w:val="0"/>
      <w:divBdr>
        <w:top w:val="none" w:sz="0" w:space="0" w:color="auto"/>
        <w:left w:val="none" w:sz="0" w:space="0" w:color="auto"/>
        <w:bottom w:val="none" w:sz="0" w:space="0" w:color="auto"/>
        <w:right w:val="none" w:sz="0" w:space="0" w:color="auto"/>
      </w:divBdr>
    </w:div>
    <w:div w:id="1346786438">
      <w:bodyDiv w:val="1"/>
      <w:marLeft w:val="0"/>
      <w:marRight w:val="0"/>
      <w:marTop w:val="0"/>
      <w:marBottom w:val="0"/>
      <w:divBdr>
        <w:top w:val="none" w:sz="0" w:space="0" w:color="auto"/>
        <w:left w:val="none" w:sz="0" w:space="0" w:color="auto"/>
        <w:bottom w:val="none" w:sz="0" w:space="0" w:color="auto"/>
        <w:right w:val="none" w:sz="0" w:space="0" w:color="auto"/>
      </w:divBdr>
    </w:div>
    <w:div w:id="1347711625">
      <w:bodyDiv w:val="1"/>
      <w:marLeft w:val="0"/>
      <w:marRight w:val="0"/>
      <w:marTop w:val="0"/>
      <w:marBottom w:val="0"/>
      <w:divBdr>
        <w:top w:val="none" w:sz="0" w:space="0" w:color="auto"/>
        <w:left w:val="none" w:sz="0" w:space="0" w:color="auto"/>
        <w:bottom w:val="none" w:sz="0" w:space="0" w:color="auto"/>
        <w:right w:val="none" w:sz="0" w:space="0" w:color="auto"/>
      </w:divBdr>
    </w:div>
    <w:div w:id="1351375955">
      <w:bodyDiv w:val="1"/>
      <w:marLeft w:val="0"/>
      <w:marRight w:val="0"/>
      <w:marTop w:val="0"/>
      <w:marBottom w:val="0"/>
      <w:divBdr>
        <w:top w:val="none" w:sz="0" w:space="0" w:color="auto"/>
        <w:left w:val="none" w:sz="0" w:space="0" w:color="auto"/>
        <w:bottom w:val="none" w:sz="0" w:space="0" w:color="auto"/>
        <w:right w:val="none" w:sz="0" w:space="0" w:color="auto"/>
      </w:divBdr>
    </w:div>
    <w:div w:id="1351758382">
      <w:bodyDiv w:val="1"/>
      <w:marLeft w:val="0"/>
      <w:marRight w:val="0"/>
      <w:marTop w:val="0"/>
      <w:marBottom w:val="0"/>
      <w:divBdr>
        <w:top w:val="none" w:sz="0" w:space="0" w:color="auto"/>
        <w:left w:val="none" w:sz="0" w:space="0" w:color="auto"/>
        <w:bottom w:val="none" w:sz="0" w:space="0" w:color="auto"/>
        <w:right w:val="none" w:sz="0" w:space="0" w:color="auto"/>
      </w:divBdr>
    </w:div>
    <w:div w:id="1353190726">
      <w:bodyDiv w:val="1"/>
      <w:marLeft w:val="0"/>
      <w:marRight w:val="0"/>
      <w:marTop w:val="0"/>
      <w:marBottom w:val="0"/>
      <w:divBdr>
        <w:top w:val="none" w:sz="0" w:space="0" w:color="auto"/>
        <w:left w:val="none" w:sz="0" w:space="0" w:color="auto"/>
        <w:bottom w:val="none" w:sz="0" w:space="0" w:color="auto"/>
        <w:right w:val="none" w:sz="0" w:space="0" w:color="auto"/>
      </w:divBdr>
    </w:div>
    <w:div w:id="1353191611">
      <w:bodyDiv w:val="1"/>
      <w:marLeft w:val="0"/>
      <w:marRight w:val="0"/>
      <w:marTop w:val="0"/>
      <w:marBottom w:val="0"/>
      <w:divBdr>
        <w:top w:val="none" w:sz="0" w:space="0" w:color="auto"/>
        <w:left w:val="none" w:sz="0" w:space="0" w:color="auto"/>
        <w:bottom w:val="none" w:sz="0" w:space="0" w:color="auto"/>
        <w:right w:val="none" w:sz="0" w:space="0" w:color="auto"/>
      </w:divBdr>
    </w:div>
    <w:div w:id="1353610306">
      <w:bodyDiv w:val="1"/>
      <w:marLeft w:val="0"/>
      <w:marRight w:val="0"/>
      <w:marTop w:val="0"/>
      <w:marBottom w:val="0"/>
      <w:divBdr>
        <w:top w:val="none" w:sz="0" w:space="0" w:color="auto"/>
        <w:left w:val="none" w:sz="0" w:space="0" w:color="auto"/>
        <w:bottom w:val="none" w:sz="0" w:space="0" w:color="auto"/>
        <w:right w:val="none" w:sz="0" w:space="0" w:color="auto"/>
      </w:divBdr>
    </w:div>
    <w:div w:id="1358698184">
      <w:bodyDiv w:val="1"/>
      <w:marLeft w:val="0"/>
      <w:marRight w:val="0"/>
      <w:marTop w:val="0"/>
      <w:marBottom w:val="0"/>
      <w:divBdr>
        <w:top w:val="none" w:sz="0" w:space="0" w:color="auto"/>
        <w:left w:val="none" w:sz="0" w:space="0" w:color="auto"/>
        <w:bottom w:val="none" w:sz="0" w:space="0" w:color="auto"/>
        <w:right w:val="none" w:sz="0" w:space="0" w:color="auto"/>
      </w:divBdr>
    </w:div>
    <w:div w:id="1360427665">
      <w:bodyDiv w:val="1"/>
      <w:marLeft w:val="0"/>
      <w:marRight w:val="0"/>
      <w:marTop w:val="0"/>
      <w:marBottom w:val="0"/>
      <w:divBdr>
        <w:top w:val="none" w:sz="0" w:space="0" w:color="auto"/>
        <w:left w:val="none" w:sz="0" w:space="0" w:color="auto"/>
        <w:bottom w:val="none" w:sz="0" w:space="0" w:color="auto"/>
        <w:right w:val="none" w:sz="0" w:space="0" w:color="auto"/>
      </w:divBdr>
    </w:div>
    <w:div w:id="1362972786">
      <w:bodyDiv w:val="1"/>
      <w:marLeft w:val="0"/>
      <w:marRight w:val="0"/>
      <w:marTop w:val="0"/>
      <w:marBottom w:val="0"/>
      <w:divBdr>
        <w:top w:val="none" w:sz="0" w:space="0" w:color="auto"/>
        <w:left w:val="none" w:sz="0" w:space="0" w:color="auto"/>
        <w:bottom w:val="none" w:sz="0" w:space="0" w:color="auto"/>
        <w:right w:val="none" w:sz="0" w:space="0" w:color="auto"/>
      </w:divBdr>
    </w:div>
    <w:div w:id="1363362111">
      <w:bodyDiv w:val="1"/>
      <w:marLeft w:val="0"/>
      <w:marRight w:val="0"/>
      <w:marTop w:val="0"/>
      <w:marBottom w:val="0"/>
      <w:divBdr>
        <w:top w:val="none" w:sz="0" w:space="0" w:color="auto"/>
        <w:left w:val="none" w:sz="0" w:space="0" w:color="auto"/>
        <w:bottom w:val="none" w:sz="0" w:space="0" w:color="auto"/>
        <w:right w:val="none" w:sz="0" w:space="0" w:color="auto"/>
      </w:divBdr>
    </w:div>
    <w:div w:id="1364556054">
      <w:bodyDiv w:val="1"/>
      <w:marLeft w:val="0"/>
      <w:marRight w:val="0"/>
      <w:marTop w:val="0"/>
      <w:marBottom w:val="0"/>
      <w:divBdr>
        <w:top w:val="none" w:sz="0" w:space="0" w:color="auto"/>
        <w:left w:val="none" w:sz="0" w:space="0" w:color="auto"/>
        <w:bottom w:val="none" w:sz="0" w:space="0" w:color="auto"/>
        <w:right w:val="none" w:sz="0" w:space="0" w:color="auto"/>
      </w:divBdr>
    </w:div>
    <w:div w:id="1365326501">
      <w:bodyDiv w:val="1"/>
      <w:marLeft w:val="0"/>
      <w:marRight w:val="0"/>
      <w:marTop w:val="0"/>
      <w:marBottom w:val="0"/>
      <w:divBdr>
        <w:top w:val="none" w:sz="0" w:space="0" w:color="auto"/>
        <w:left w:val="none" w:sz="0" w:space="0" w:color="auto"/>
        <w:bottom w:val="none" w:sz="0" w:space="0" w:color="auto"/>
        <w:right w:val="none" w:sz="0" w:space="0" w:color="auto"/>
      </w:divBdr>
    </w:div>
    <w:div w:id="1366641236">
      <w:bodyDiv w:val="1"/>
      <w:marLeft w:val="0"/>
      <w:marRight w:val="0"/>
      <w:marTop w:val="0"/>
      <w:marBottom w:val="0"/>
      <w:divBdr>
        <w:top w:val="none" w:sz="0" w:space="0" w:color="auto"/>
        <w:left w:val="none" w:sz="0" w:space="0" w:color="auto"/>
        <w:bottom w:val="none" w:sz="0" w:space="0" w:color="auto"/>
        <w:right w:val="none" w:sz="0" w:space="0" w:color="auto"/>
      </w:divBdr>
    </w:div>
    <w:div w:id="1371227077">
      <w:bodyDiv w:val="1"/>
      <w:marLeft w:val="0"/>
      <w:marRight w:val="0"/>
      <w:marTop w:val="0"/>
      <w:marBottom w:val="0"/>
      <w:divBdr>
        <w:top w:val="none" w:sz="0" w:space="0" w:color="auto"/>
        <w:left w:val="none" w:sz="0" w:space="0" w:color="auto"/>
        <w:bottom w:val="none" w:sz="0" w:space="0" w:color="auto"/>
        <w:right w:val="none" w:sz="0" w:space="0" w:color="auto"/>
      </w:divBdr>
    </w:div>
    <w:div w:id="1372614563">
      <w:bodyDiv w:val="1"/>
      <w:marLeft w:val="0"/>
      <w:marRight w:val="0"/>
      <w:marTop w:val="0"/>
      <w:marBottom w:val="0"/>
      <w:divBdr>
        <w:top w:val="none" w:sz="0" w:space="0" w:color="auto"/>
        <w:left w:val="none" w:sz="0" w:space="0" w:color="auto"/>
        <w:bottom w:val="none" w:sz="0" w:space="0" w:color="auto"/>
        <w:right w:val="none" w:sz="0" w:space="0" w:color="auto"/>
      </w:divBdr>
    </w:div>
    <w:div w:id="1374580412">
      <w:bodyDiv w:val="1"/>
      <w:marLeft w:val="0"/>
      <w:marRight w:val="0"/>
      <w:marTop w:val="0"/>
      <w:marBottom w:val="0"/>
      <w:divBdr>
        <w:top w:val="none" w:sz="0" w:space="0" w:color="auto"/>
        <w:left w:val="none" w:sz="0" w:space="0" w:color="auto"/>
        <w:bottom w:val="none" w:sz="0" w:space="0" w:color="auto"/>
        <w:right w:val="none" w:sz="0" w:space="0" w:color="auto"/>
      </w:divBdr>
    </w:div>
    <w:div w:id="1376663544">
      <w:bodyDiv w:val="1"/>
      <w:marLeft w:val="0"/>
      <w:marRight w:val="0"/>
      <w:marTop w:val="0"/>
      <w:marBottom w:val="0"/>
      <w:divBdr>
        <w:top w:val="none" w:sz="0" w:space="0" w:color="auto"/>
        <w:left w:val="none" w:sz="0" w:space="0" w:color="auto"/>
        <w:bottom w:val="none" w:sz="0" w:space="0" w:color="auto"/>
        <w:right w:val="none" w:sz="0" w:space="0" w:color="auto"/>
      </w:divBdr>
    </w:div>
    <w:div w:id="1376782195">
      <w:bodyDiv w:val="1"/>
      <w:marLeft w:val="0"/>
      <w:marRight w:val="0"/>
      <w:marTop w:val="0"/>
      <w:marBottom w:val="0"/>
      <w:divBdr>
        <w:top w:val="none" w:sz="0" w:space="0" w:color="auto"/>
        <w:left w:val="none" w:sz="0" w:space="0" w:color="auto"/>
        <w:bottom w:val="none" w:sz="0" w:space="0" w:color="auto"/>
        <w:right w:val="none" w:sz="0" w:space="0" w:color="auto"/>
      </w:divBdr>
    </w:div>
    <w:div w:id="1377774546">
      <w:bodyDiv w:val="1"/>
      <w:marLeft w:val="0"/>
      <w:marRight w:val="0"/>
      <w:marTop w:val="0"/>
      <w:marBottom w:val="0"/>
      <w:divBdr>
        <w:top w:val="none" w:sz="0" w:space="0" w:color="auto"/>
        <w:left w:val="none" w:sz="0" w:space="0" w:color="auto"/>
        <w:bottom w:val="none" w:sz="0" w:space="0" w:color="auto"/>
        <w:right w:val="none" w:sz="0" w:space="0" w:color="auto"/>
      </w:divBdr>
    </w:div>
    <w:div w:id="1378312623">
      <w:bodyDiv w:val="1"/>
      <w:marLeft w:val="0"/>
      <w:marRight w:val="0"/>
      <w:marTop w:val="0"/>
      <w:marBottom w:val="0"/>
      <w:divBdr>
        <w:top w:val="none" w:sz="0" w:space="0" w:color="auto"/>
        <w:left w:val="none" w:sz="0" w:space="0" w:color="auto"/>
        <w:bottom w:val="none" w:sz="0" w:space="0" w:color="auto"/>
        <w:right w:val="none" w:sz="0" w:space="0" w:color="auto"/>
      </w:divBdr>
    </w:div>
    <w:div w:id="1378433220">
      <w:bodyDiv w:val="1"/>
      <w:marLeft w:val="0"/>
      <w:marRight w:val="0"/>
      <w:marTop w:val="0"/>
      <w:marBottom w:val="0"/>
      <w:divBdr>
        <w:top w:val="none" w:sz="0" w:space="0" w:color="auto"/>
        <w:left w:val="none" w:sz="0" w:space="0" w:color="auto"/>
        <w:bottom w:val="none" w:sz="0" w:space="0" w:color="auto"/>
        <w:right w:val="none" w:sz="0" w:space="0" w:color="auto"/>
      </w:divBdr>
    </w:div>
    <w:div w:id="1382248156">
      <w:bodyDiv w:val="1"/>
      <w:marLeft w:val="0"/>
      <w:marRight w:val="0"/>
      <w:marTop w:val="0"/>
      <w:marBottom w:val="0"/>
      <w:divBdr>
        <w:top w:val="none" w:sz="0" w:space="0" w:color="auto"/>
        <w:left w:val="none" w:sz="0" w:space="0" w:color="auto"/>
        <w:bottom w:val="none" w:sz="0" w:space="0" w:color="auto"/>
        <w:right w:val="none" w:sz="0" w:space="0" w:color="auto"/>
      </w:divBdr>
    </w:div>
    <w:div w:id="1383402204">
      <w:bodyDiv w:val="1"/>
      <w:marLeft w:val="0"/>
      <w:marRight w:val="0"/>
      <w:marTop w:val="0"/>
      <w:marBottom w:val="0"/>
      <w:divBdr>
        <w:top w:val="none" w:sz="0" w:space="0" w:color="auto"/>
        <w:left w:val="none" w:sz="0" w:space="0" w:color="auto"/>
        <w:bottom w:val="none" w:sz="0" w:space="0" w:color="auto"/>
        <w:right w:val="none" w:sz="0" w:space="0" w:color="auto"/>
      </w:divBdr>
    </w:div>
    <w:div w:id="1385104474">
      <w:bodyDiv w:val="1"/>
      <w:marLeft w:val="0"/>
      <w:marRight w:val="0"/>
      <w:marTop w:val="0"/>
      <w:marBottom w:val="0"/>
      <w:divBdr>
        <w:top w:val="none" w:sz="0" w:space="0" w:color="auto"/>
        <w:left w:val="none" w:sz="0" w:space="0" w:color="auto"/>
        <w:bottom w:val="none" w:sz="0" w:space="0" w:color="auto"/>
        <w:right w:val="none" w:sz="0" w:space="0" w:color="auto"/>
      </w:divBdr>
    </w:div>
    <w:div w:id="1385331461">
      <w:bodyDiv w:val="1"/>
      <w:marLeft w:val="0"/>
      <w:marRight w:val="0"/>
      <w:marTop w:val="0"/>
      <w:marBottom w:val="0"/>
      <w:divBdr>
        <w:top w:val="none" w:sz="0" w:space="0" w:color="auto"/>
        <w:left w:val="none" w:sz="0" w:space="0" w:color="auto"/>
        <w:bottom w:val="none" w:sz="0" w:space="0" w:color="auto"/>
        <w:right w:val="none" w:sz="0" w:space="0" w:color="auto"/>
      </w:divBdr>
    </w:div>
    <w:div w:id="1386678765">
      <w:bodyDiv w:val="1"/>
      <w:marLeft w:val="0"/>
      <w:marRight w:val="0"/>
      <w:marTop w:val="0"/>
      <w:marBottom w:val="0"/>
      <w:divBdr>
        <w:top w:val="none" w:sz="0" w:space="0" w:color="auto"/>
        <w:left w:val="none" w:sz="0" w:space="0" w:color="auto"/>
        <w:bottom w:val="none" w:sz="0" w:space="0" w:color="auto"/>
        <w:right w:val="none" w:sz="0" w:space="0" w:color="auto"/>
      </w:divBdr>
    </w:div>
    <w:div w:id="1388916757">
      <w:bodyDiv w:val="1"/>
      <w:marLeft w:val="0"/>
      <w:marRight w:val="0"/>
      <w:marTop w:val="0"/>
      <w:marBottom w:val="0"/>
      <w:divBdr>
        <w:top w:val="none" w:sz="0" w:space="0" w:color="auto"/>
        <w:left w:val="none" w:sz="0" w:space="0" w:color="auto"/>
        <w:bottom w:val="none" w:sz="0" w:space="0" w:color="auto"/>
        <w:right w:val="none" w:sz="0" w:space="0" w:color="auto"/>
      </w:divBdr>
    </w:div>
    <w:div w:id="1392197716">
      <w:bodyDiv w:val="1"/>
      <w:marLeft w:val="0"/>
      <w:marRight w:val="0"/>
      <w:marTop w:val="0"/>
      <w:marBottom w:val="0"/>
      <w:divBdr>
        <w:top w:val="none" w:sz="0" w:space="0" w:color="auto"/>
        <w:left w:val="none" w:sz="0" w:space="0" w:color="auto"/>
        <w:bottom w:val="none" w:sz="0" w:space="0" w:color="auto"/>
        <w:right w:val="none" w:sz="0" w:space="0" w:color="auto"/>
      </w:divBdr>
    </w:div>
    <w:div w:id="1392536913">
      <w:bodyDiv w:val="1"/>
      <w:marLeft w:val="0"/>
      <w:marRight w:val="0"/>
      <w:marTop w:val="0"/>
      <w:marBottom w:val="0"/>
      <w:divBdr>
        <w:top w:val="none" w:sz="0" w:space="0" w:color="auto"/>
        <w:left w:val="none" w:sz="0" w:space="0" w:color="auto"/>
        <w:bottom w:val="none" w:sz="0" w:space="0" w:color="auto"/>
        <w:right w:val="none" w:sz="0" w:space="0" w:color="auto"/>
      </w:divBdr>
    </w:div>
    <w:div w:id="1393313734">
      <w:bodyDiv w:val="1"/>
      <w:marLeft w:val="0"/>
      <w:marRight w:val="0"/>
      <w:marTop w:val="0"/>
      <w:marBottom w:val="0"/>
      <w:divBdr>
        <w:top w:val="none" w:sz="0" w:space="0" w:color="auto"/>
        <w:left w:val="none" w:sz="0" w:space="0" w:color="auto"/>
        <w:bottom w:val="none" w:sz="0" w:space="0" w:color="auto"/>
        <w:right w:val="none" w:sz="0" w:space="0" w:color="auto"/>
      </w:divBdr>
    </w:div>
    <w:div w:id="1393887816">
      <w:bodyDiv w:val="1"/>
      <w:marLeft w:val="0"/>
      <w:marRight w:val="0"/>
      <w:marTop w:val="0"/>
      <w:marBottom w:val="0"/>
      <w:divBdr>
        <w:top w:val="none" w:sz="0" w:space="0" w:color="auto"/>
        <w:left w:val="none" w:sz="0" w:space="0" w:color="auto"/>
        <w:bottom w:val="none" w:sz="0" w:space="0" w:color="auto"/>
        <w:right w:val="none" w:sz="0" w:space="0" w:color="auto"/>
      </w:divBdr>
    </w:div>
    <w:div w:id="1398551071">
      <w:bodyDiv w:val="1"/>
      <w:marLeft w:val="0"/>
      <w:marRight w:val="0"/>
      <w:marTop w:val="0"/>
      <w:marBottom w:val="0"/>
      <w:divBdr>
        <w:top w:val="none" w:sz="0" w:space="0" w:color="auto"/>
        <w:left w:val="none" w:sz="0" w:space="0" w:color="auto"/>
        <w:bottom w:val="none" w:sz="0" w:space="0" w:color="auto"/>
        <w:right w:val="none" w:sz="0" w:space="0" w:color="auto"/>
      </w:divBdr>
    </w:div>
    <w:div w:id="1402564162">
      <w:bodyDiv w:val="1"/>
      <w:marLeft w:val="0"/>
      <w:marRight w:val="0"/>
      <w:marTop w:val="0"/>
      <w:marBottom w:val="0"/>
      <w:divBdr>
        <w:top w:val="none" w:sz="0" w:space="0" w:color="auto"/>
        <w:left w:val="none" w:sz="0" w:space="0" w:color="auto"/>
        <w:bottom w:val="none" w:sz="0" w:space="0" w:color="auto"/>
        <w:right w:val="none" w:sz="0" w:space="0" w:color="auto"/>
      </w:divBdr>
    </w:div>
    <w:div w:id="1403985174">
      <w:bodyDiv w:val="1"/>
      <w:marLeft w:val="0"/>
      <w:marRight w:val="0"/>
      <w:marTop w:val="0"/>
      <w:marBottom w:val="0"/>
      <w:divBdr>
        <w:top w:val="none" w:sz="0" w:space="0" w:color="auto"/>
        <w:left w:val="none" w:sz="0" w:space="0" w:color="auto"/>
        <w:bottom w:val="none" w:sz="0" w:space="0" w:color="auto"/>
        <w:right w:val="none" w:sz="0" w:space="0" w:color="auto"/>
      </w:divBdr>
    </w:div>
    <w:div w:id="1404796661">
      <w:bodyDiv w:val="1"/>
      <w:marLeft w:val="0"/>
      <w:marRight w:val="0"/>
      <w:marTop w:val="0"/>
      <w:marBottom w:val="0"/>
      <w:divBdr>
        <w:top w:val="none" w:sz="0" w:space="0" w:color="auto"/>
        <w:left w:val="none" w:sz="0" w:space="0" w:color="auto"/>
        <w:bottom w:val="none" w:sz="0" w:space="0" w:color="auto"/>
        <w:right w:val="none" w:sz="0" w:space="0" w:color="auto"/>
      </w:divBdr>
    </w:div>
    <w:div w:id="1405226184">
      <w:bodyDiv w:val="1"/>
      <w:marLeft w:val="0"/>
      <w:marRight w:val="0"/>
      <w:marTop w:val="0"/>
      <w:marBottom w:val="0"/>
      <w:divBdr>
        <w:top w:val="none" w:sz="0" w:space="0" w:color="auto"/>
        <w:left w:val="none" w:sz="0" w:space="0" w:color="auto"/>
        <w:bottom w:val="none" w:sz="0" w:space="0" w:color="auto"/>
        <w:right w:val="none" w:sz="0" w:space="0" w:color="auto"/>
      </w:divBdr>
    </w:div>
    <w:div w:id="1406562392">
      <w:bodyDiv w:val="1"/>
      <w:marLeft w:val="0"/>
      <w:marRight w:val="0"/>
      <w:marTop w:val="0"/>
      <w:marBottom w:val="0"/>
      <w:divBdr>
        <w:top w:val="none" w:sz="0" w:space="0" w:color="auto"/>
        <w:left w:val="none" w:sz="0" w:space="0" w:color="auto"/>
        <w:bottom w:val="none" w:sz="0" w:space="0" w:color="auto"/>
        <w:right w:val="none" w:sz="0" w:space="0" w:color="auto"/>
      </w:divBdr>
    </w:div>
    <w:div w:id="1406800302">
      <w:bodyDiv w:val="1"/>
      <w:marLeft w:val="0"/>
      <w:marRight w:val="0"/>
      <w:marTop w:val="0"/>
      <w:marBottom w:val="0"/>
      <w:divBdr>
        <w:top w:val="none" w:sz="0" w:space="0" w:color="auto"/>
        <w:left w:val="none" w:sz="0" w:space="0" w:color="auto"/>
        <w:bottom w:val="none" w:sz="0" w:space="0" w:color="auto"/>
        <w:right w:val="none" w:sz="0" w:space="0" w:color="auto"/>
      </w:divBdr>
    </w:div>
    <w:div w:id="1408964047">
      <w:bodyDiv w:val="1"/>
      <w:marLeft w:val="0"/>
      <w:marRight w:val="0"/>
      <w:marTop w:val="0"/>
      <w:marBottom w:val="0"/>
      <w:divBdr>
        <w:top w:val="none" w:sz="0" w:space="0" w:color="auto"/>
        <w:left w:val="none" w:sz="0" w:space="0" w:color="auto"/>
        <w:bottom w:val="none" w:sz="0" w:space="0" w:color="auto"/>
        <w:right w:val="none" w:sz="0" w:space="0" w:color="auto"/>
      </w:divBdr>
    </w:div>
    <w:div w:id="1409615015">
      <w:bodyDiv w:val="1"/>
      <w:marLeft w:val="0"/>
      <w:marRight w:val="0"/>
      <w:marTop w:val="0"/>
      <w:marBottom w:val="0"/>
      <w:divBdr>
        <w:top w:val="none" w:sz="0" w:space="0" w:color="auto"/>
        <w:left w:val="none" w:sz="0" w:space="0" w:color="auto"/>
        <w:bottom w:val="none" w:sz="0" w:space="0" w:color="auto"/>
        <w:right w:val="none" w:sz="0" w:space="0" w:color="auto"/>
      </w:divBdr>
    </w:div>
    <w:div w:id="1411808191">
      <w:bodyDiv w:val="1"/>
      <w:marLeft w:val="0"/>
      <w:marRight w:val="0"/>
      <w:marTop w:val="0"/>
      <w:marBottom w:val="0"/>
      <w:divBdr>
        <w:top w:val="none" w:sz="0" w:space="0" w:color="auto"/>
        <w:left w:val="none" w:sz="0" w:space="0" w:color="auto"/>
        <w:bottom w:val="none" w:sz="0" w:space="0" w:color="auto"/>
        <w:right w:val="none" w:sz="0" w:space="0" w:color="auto"/>
      </w:divBdr>
    </w:div>
    <w:div w:id="1413039676">
      <w:bodyDiv w:val="1"/>
      <w:marLeft w:val="0"/>
      <w:marRight w:val="0"/>
      <w:marTop w:val="0"/>
      <w:marBottom w:val="0"/>
      <w:divBdr>
        <w:top w:val="none" w:sz="0" w:space="0" w:color="auto"/>
        <w:left w:val="none" w:sz="0" w:space="0" w:color="auto"/>
        <w:bottom w:val="none" w:sz="0" w:space="0" w:color="auto"/>
        <w:right w:val="none" w:sz="0" w:space="0" w:color="auto"/>
      </w:divBdr>
    </w:div>
    <w:div w:id="1413047948">
      <w:bodyDiv w:val="1"/>
      <w:marLeft w:val="0"/>
      <w:marRight w:val="0"/>
      <w:marTop w:val="0"/>
      <w:marBottom w:val="0"/>
      <w:divBdr>
        <w:top w:val="none" w:sz="0" w:space="0" w:color="auto"/>
        <w:left w:val="none" w:sz="0" w:space="0" w:color="auto"/>
        <w:bottom w:val="none" w:sz="0" w:space="0" w:color="auto"/>
        <w:right w:val="none" w:sz="0" w:space="0" w:color="auto"/>
      </w:divBdr>
    </w:div>
    <w:div w:id="1416629551">
      <w:bodyDiv w:val="1"/>
      <w:marLeft w:val="0"/>
      <w:marRight w:val="0"/>
      <w:marTop w:val="0"/>
      <w:marBottom w:val="0"/>
      <w:divBdr>
        <w:top w:val="none" w:sz="0" w:space="0" w:color="auto"/>
        <w:left w:val="none" w:sz="0" w:space="0" w:color="auto"/>
        <w:bottom w:val="none" w:sz="0" w:space="0" w:color="auto"/>
        <w:right w:val="none" w:sz="0" w:space="0" w:color="auto"/>
      </w:divBdr>
    </w:div>
    <w:div w:id="1417049759">
      <w:bodyDiv w:val="1"/>
      <w:marLeft w:val="0"/>
      <w:marRight w:val="0"/>
      <w:marTop w:val="0"/>
      <w:marBottom w:val="0"/>
      <w:divBdr>
        <w:top w:val="none" w:sz="0" w:space="0" w:color="auto"/>
        <w:left w:val="none" w:sz="0" w:space="0" w:color="auto"/>
        <w:bottom w:val="none" w:sz="0" w:space="0" w:color="auto"/>
        <w:right w:val="none" w:sz="0" w:space="0" w:color="auto"/>
      </w:divBdr>
    </w:div>
    <w:div w:id="1418672146">
      <w:bodyDiv w:val="1"/>
      <w:marLeft w:val="0"/>
      <w:marRight w:val="0"/>
      <w:marTop w:val="0"/>
      <w:marBottom w:val="0"/>
      <w:divBdr>
        <w:top w:val="none" w:sz="0" w:space="0" w:color="auto"/>
        <w:left w:val="none" w:sz="0" w:space="0" w:color="auto"/>
        <w:bottom w:val="none" w:sz="0" w:space="0" w:color="auto"/>
        <w:right w:val="none" w:sz="0" w:space="0" w:color="auto"/>
      </w:divBdr>
    </w:div>
    <w:div w:id="1419474144">
      <w:bodyDiv w:val="1"/>
      <w:marLeft w:val="0"/>
      <w:marRight w:val="0"/>
      <w:marTop w:val="0"/>
      <w:marBottom w:val="0"/>
      <w:divBdr>
        <w:top w:val="none" w:sz="0" w:space="0" w:color="auto"/>
        <w:left w:val="none" w:sz="0" w:space="0" w:color="auto"/>
        <w:bottom w:val="none" w:sz="0" w:space="0" w:color="auto"/>
        <w:right w:val="none" w:sz="0" w:space="0" w:color="auto"/>
      </w:divBdr>
    </w:div>
    <w:div w:id="1419591858">
      <w:bodyDiv w:val="1"/>
      <w:marLeft w:val="0"/>
      <w:marRight w:val="0"/>
      <w:marTop w:val="0"/>
      <w:marBottom w:val="0"/>
      <w:divBdr>
        <w:top w:val="none" w:sz="0" w:space="0" w:color="auto"/>
        <w:left w:val="none" w:sz="0" w:space="0" w:color="auto"/>
        <w:bottom w:val="none" w:sz="0" w:space="0" w:color="auto"/>
        <w:right w:val="none" w:sz="0" w:space="0" w:color="auto"/>
      </w:divBdr>
    </w:div>
    <w:div w:id="1420446798">
      <w:bodyDiv w:val="1"/>
      <w:marLeft w:val="0"/>
      <w:marRight w:val="0"/>
      <w:marTop w:val="0"/>
      <w:marBottom w:val="0"/>
      <w:divBdr>
        <w:top w:val="none" w:sz="0" w:space="0" w:color="auto"/>
        <w:left w:val="none" w:sz="0" w:space="0" w:color="auto"/>
        <w:bottom w:val="none" w:sz="0" w:space="0" w:color="auto"/>
        <w:right w:val="none" w:sz="0" w:space="0" w:color="auto"/>
      </w:divBdr>
    </w:div>
    <w:div w:id="1422531369">
      <w:bodyDiv w:val="1"/>
      <w:marLeft w:val="0"/>
      <w:marRight w:val="0"/>
      <w:marTop w:val="0"/>
      <w:marBottom w:val="0"/>
      <w:divBdr>
        <w:top w:val="none" w:sz="0" w:space="0" w:color="auto"/>
        <w:left w:val="none" w:sz="0" w:space="0" w:color="auto"/>
        <w:bottom w:val="none" w:sz="0" w:space="0" w:color="auto"/>
        <w:right w:val="none" w:sz="0" w:space="0" w:color="auto"/>
      </w:divBdr>
    </w:div>
    <w:div w:id="1423185540">
      <w:bodyDiv w:val="1"/>
      <w:marLeft w:val="0"/>
      <w:marRight w:val="0"/>
      <w:marTop w:val="0"/>
      <w:marBottom w:val="0"/>
      <w:divBdr>
        <w:top w:val="none" w:sz="0" w:space="0" w:color="auto"/>
        <w:left w:val="none" w:sz="0" w:space="0" w:color="auto"/>
        <w:bottom w:val="none" w:sz="0" w:space="0" w:color="auto"/>
        <w:right w:val="none" w:sz="0" w:space="0" w:color="auto"/>
      </w:divBdr>
    </w:div>
    <w:div w:id="1426421191">
      <w:bodyDiv w:val="1"/>
      <w:marLeft w:val="0"/>
      <w:marRight w:val="0"/>
      <w:marTop w:val="0"/>
      <w:marBottom w:val="0"/>
      <w:divBdr>
        <w:top w:val="none" w:sz="0" w:space="0" w:color="auto"/>
        <w:left w:val="none" w:sz="0" w:space="0" w:color="auto"/>
        <w:bottom w:val="none" w:sz="0" w:space="0" w:color="auto"/>
        <w:right w:val="none" w:sz="0" w:space="0" w:color="auto"/>
      </w:divBdr>
    </w:div>
    <w:div w:id="1427916859">
      <w:bodyDiv w:val="1"/>
      <w:marLeft w:val="0"/>
      <w:marRight w:val="0"/>
      <w:marTop w:val="0"/>
      <w:marBottom w:val="0"/>
      <w:divBdr>
        <w:top w:val="none" w:sz="0" w:space="0" w:color="auto"/>
        <w:left w:val="none" w:sz="0" w:space="0" w:color="auto"/>
        <w:bottom w:val="none" w:sz="0" w:space="0" w:color="auto"/>
        <w:right w:val="none" w:sz="0" w:space="0" w:color="auto"/>
      </w:divBdr>
    </w:div>
    <w:div w:id="1427925506">
      <w:bodyDiv w:val="1"/>
      <w:marLeft w:val="0"/>
      <w:marRight w:val="0"/>
      <w:marTop w:val="0"/>
      <w:marBottom w:val="0"/>
      <w:divBdr>
        <w:top w:val="none" w:sz="0" w:space="0" w:color="auto"/>
        <w:left w:val="none" w:sz="0" w:space="0" w:color="auto"/>
        <w:bottom w:val="none" w:sz="0" w:space="0" w:color="auto"/>
        <w:right w:val="none" w:sz="0" w:space="0" w:color="auto"/>
      </w:divBdr>
    </w:div>
    <w:div w:id="1428186608">
      <w:bodyDiv w:val="1"/>
      <w:marLeft w:val="0"/>
      <w:marRight w:val="0"/>
      <w:marTop w:val="0"/>
      <w:marBottom w:val="0"/>
      <w:divBdr>
        <w:top w:val="none" w:sz="0" w:space="0" w:color="auto"/>
        <w:left w:val="none" w:sz="0" w:space="0" w:color="auto"/>
        <w:bottom w:val="none" w:sz="0" w:space="0" w:color="auto"/>
        <w:right w:val="none" w:sz="0" w:space="0" w:color="auto"/>
      </w:divBdr>
    </w:div>
    <w:div w:id="1429153780">
      <w:bodyDiv w:val="1"/>
      <w:marLeft w:val="0"/>
      <w:marRight w:val="0"/>
      <w:marTop w:val="0"/>
      <w:marBottom w:val="0"/>
      <w:divBdr>
        <w:top w:val="none" w:sz="0" w:space="0" w:color="auto"/>
        <w:left w:val="none" w:sz="0" w:space="0" w:color="auto"/>
        <w:bottom w:val="none" w:sz="0" w:space="0" w:color="auto"/>
        <w:right w:val="none" w:sz="0" w:space="0" w:color="auto"/>
      </w:divBdr>
    </w:div>
    <w:div w:id="1433893667">
      <w:bodyDiv w:val="1"/>
      <w:marLeft w:val="0"/>
      <w:marRight w:val="0"/>
      <w:marTop w:val="0"/>
      <w:marBottom w:val="0"/>
      <w:divBdr>
        <w:top w:val="none" w:sz="0" w:space="0" w:color="auto"/>
        <w:left w:val="none" w:sz="0" w:space="0" w:color="auto"/>
        <w:bottom w:val="none" w:sz="0" w:space="0" w:color="auto"/>
        <w:right w:val="none" w:sz="0" w:space="0" w:color="auto"/>
      </w:divBdr>
    </w:div>
    <w:div w:id="1435712102">
      <w:bodyDiv w:val="1"/>
      <w:marLeft w:val="0"/>
      <w:marRight w:val="0"/>
      <w:marTop w:val="0"/>
      <w:marBottom w:val="0"/>
      <w:divBdr>
        <w:top w:val="none" w:sz="0" w:space="0" w:color="auto"/>
        <w:left w:val="none" w:sz="0" w:space="0" w:color="auto"/>
        <w:bottom w:val="none" w:sz="0" w:space="0" w:color="auto"/>
        <w:right w:val="none" w:sz="0" w:space="0" w:color="auto"/>
      </w:divBdr>
    </w:div>
    <w:div w:id="1443040232">
      <w:bodyDiv w:val="1"/>
      <w:marLeft w:val="0"/>
      <w:marRight w:val="0"/>
      <w:marTop w:val="0"/>
      <w:marBottom w:val="0"/>
      <w:divBdr>
        <w:top w:val="none" w:sz="0" w:space="0" w:color="auto"/>
        <w:left w:val="none" w:sz="0" w:space="0" w:color="auto"/>
        <w:bottom w:val="none" w:sz="0" w:space="0" w:color="auto"/>
        <w:right w:val="none" w:sz="0" w:space="0" w:color="auto"/>
      </w:divBdr>
    </w:div>
    <w:div w:id="1443107811">
      <w:bodyDiv w:val="1"/>
      <w:marLeft w:val="0"/>
      <w:marRight w:val="0"/>
      <w:marTop w:val="0"/>
      <w:marBottom w:val="0"/>
      <w:divBdr>
        <w:top w:val="none" w:sz="0" w:space="0" w:color="auto"/>
        <w:left w:val="none" w:sz="0" w:space="0" w:color="auto"/>
        <w:bottom w:val="none" w:sz="0" w:space="0" w:color="auto"/>
        <w:right w:val="none" w:sz="0" w:space="0" w:color="auto"/>
      </w:divBdr>
    </w:div>
    <w:div w:id="1443187237">
      <w:bodyDiv w:val="1"/>
      <w:marLeft w:val="0"/>
      <w:marRight w:val="0"/>
      <w:marTop w:val="0"/>
      <w:marBottom w:val="0"/>
      <w:divBdr>
        <w:top w:val="none" w:sz="0" w:space="0" w:color="auto"/>
        <w:left w:val="none" w:sz="0" w:space="0" w:color="auto"/>
        <w:bottom w:val="none" w:sz="0" w:space="0" w:color="auto"/>
        <w:right w:val="none" w:sz="0" w:space="0" w:color="auto"/>
      </w:divBdr>
    </w:div>
    <w:div w:id="1443962679">
      <w:bodyDiv w:val="1"/>
      <w:marLeft w:val="0"/>
      <w:marRight w:val="0"/>
      <w:marTop w:val="0"/>
      <w:marBottom w:val="0"/>
      <w:divBdr>
        <w:top w:val="none" w:sz="0" w:space="0" w:color="auto"/>
        <w:left w:val="none" w:sz="0" w:space="0" w:color="auto"/>
        <w:bottom w:val="none" w:sz="0" w:space="0" w:color="auto"/>
        <w:right w:val="none" w:sz="0" w:space="0" w:color="auto"/>
      </w:divBdr>
    </w:div>
    <w:div w:id="1445031242">
      <w:bodyDiv w:val="1"/>
      <w:marLeft w:val="0"/>
      <w:marRight w:val="0"/>
      <w:marTop w:val="0"/>
      <w:marBottom w:val="0"/>
      <w:divBdr>
        <w:top w:val="none" w:sz="0" w:space="0" w:color="auto"/>
        <w:left w:val="none" w:sz="0" w:space="0" w:color="auto"/>
        <w:bottom w:val="none" w:sz="0" w:space="0" w:color="auto"/>
        <w:right w:val="none" w:sz="0" w:space="0" w:color="auto"/>
      </w:divBdr>
    </w:div>
    <w:div w:id="1447430306">
      <w:bodyDiv w:val="1"/>
      <w:marLeft w:val="0"/>
      <w:marRight w:val="0"/>
      <w:marTop w:val="0"/>
      <w:marBottom w:val="0"/>
      <w:divBdr>
        <w:top w:val="none" w:sz="0" w:space="0" w:color="auto"/>
        <w:left w:val="none" w:sz="0" w:space="0" w:color="auto"/>
        <w:bottom w:val="none" w:sz="0" w:space="0" w:color="auto"/>
        <w:right w:val="none" w:sz="0" w:space="0" w:color="auto"/>
      </w:divBdr>
    </w:div>
    <w:div w:id="1449812425">
      <w:bodyDiv w:val="1"/>
      <w:marLeft w:val="0"/>
      <w:marRight w:val="0"/>
      <w:marTop w:val="0"/>
      <w:marBottom w:val="0"/>
      <w:divBdr>
        <w:top w:val="none" w:sz="0" w:space="0" w:color="auto"/>
        <w:left w:val="none" w:sz="0" w:space="0" w:color="auto"/>
        <w:bottom w:val="none" w:sz="0" w:space="0" w:color="auto"/>
        <w:right w:val="none" w:sz="0" w:space="0" w:color="auto"/>
      </w:divBdr>
    </w:div>
    <w:div w:id="1450467738">
      <w:bodyDiv w:val="1"/>
      <w:marLeft w:val="0"/>
      <w:marRight w:val="0"/>
      <w:marTop w:val="0"/>
      <w:marBottom w:val="0"/>
      <w:divBdr>
        <w:top w:val="none" w:sz="0" w:space="0" w:color="auto"/>
        <w:left w:val="none" w:sz="0" w:space="0" w:color="auto"/>
        <w:bottom w:val="none" w:sz="0" w:space="0" w:color="auto"/>
        <w:right w:val="none" w:sz="0" w:space="0" w:color="auto"/>
      </w:divBdr>
    </w:div>
    <w:div w:id="1451240338">
      <w:bodyDiv w:val="1"/>
      <w:marLeft w:val="0"/>
      <w:marRight w:val="0"/>
      <w:marTop w:val="0"/>
      <w:marBottom w:val="0"/>
      <w:divBdr>
        <w:top w:val="none" w:sz="0" w:space="0" w:color="auto"/>
        <w:left w:val="none" w:sz="0" w:space="0" w:color="auto"/>
        <w:bottom w:val="none" w:sz="0" w:space="0" w:color="auto"/>
        <w:right w:val="none" w:sz="0" w:space="0" w:color="auto"/>
      </w:divBdr>
    </w:div>
    <w:div w:id="1452749202">
      <w:bodyDiv w:val="1"/>
      <w:marLeft w:val="0"/>
      <w:marRight w:val="0"/>
      <w:marTop w:val="0"/>
      <w:marBottom w:val="0"/>
      <w:divBdr>
        <w:top w:val="none" w:sz="0" w:space="0" w:color="auto"/>
        <w:left w:val="none" w:sz="0" w:space="0" w:color="auto"/>
        <w:bottom w:val="none" w:sz="0" w:space="0" w:color="auto"/>
        <w:right w:val="none" w:sz="0" w:space="0" w:color="auto"/>
      </w:divBdr>
    </w:div>
    <w:div w:id="1455060202">
      <w:bodyDiv w:val="1"/>
      <w:marLeft w:val="0"/>
      <w:marRight w:val="0"/>
      <w:marTop w:val="0"/>
      <w:marBottom w:val="0"/>
      <w:divBdr>
        <w:top w:val="none" w:sz="0" w:space="0" w:color="auto"/>
        <w:left w:val="none" w:sz="0" w:space="0" w:color="auto"/>
        <w:bottom w:val="none" w:sz="0" w:space="0" w:color="auto"/>
        <w:right w:val="none" w:sz="0" w:space="0" w:color="auto"/>
      </w:divBdr>
    </w:div>
    <w:div w:id="1455513619">
      <w:bodyDiv w:val="1"/>
      <w:marLeft w:val="0"/>
      <w:marRight w:val="0"/>
      <w:marTop w:val="0"/>
      <w:marBottom w:val="0"/>
      <w:divBdr>
        <w:top w:val="none" w:sz="0" w:space="0" w:color="auto"/>
        <w:left w:val="none" w:sz="0" w:space="0" w:color="auto"/>
        <w:bottom w:val="none" w:sz="0" w:space="0" w:color="auto"/>
        <w:right w:val="none" w:sz="0" w:space="0" w:color="auto"/>
      </w:divBdr>
    </w:div>
    <w:div w:id="1457065949">
      <w:bodyDiv w:val="1"/>
      <w:marLeft w:val="0"/>
      <w:marRight w:val="0"/>
      <w:marTop w:val="0"/>
      <w:marBottom w:val="0"/>
      <w:divBdr>
        <w:top w:val="none" w:sz="0" w:space="0" w:color="auto"/>
        <w:left w:val="none" w:sz="0" w:space="0" w:color="auto"/>
        <w:bottom w:val="none" w:sz="0" w:space="0" w:color="auto"/>
        <w:right w:val="none" w:sz="0" w:space="0" w:color="auto"/>
      </w:divBdr>
    </w:div>
    <w:div w:id="1457722987">
      <w:bodyDiv w:val="1"/>
      <w:marLeft w:val="0"/>
      <w:marRight w:val="0"/>
      <w:marTop w:val="0"/>
      <w:marBottom w:val="0"/>
      <w:divBdr>
        <w:top w:val="none" w:sz="0" w:space="0" w:color="auto"/>
        <w:left w:val="none" w:sz="0" w:space="0" w:color="auto"/>
        <w:bottom w:val="none" w:sz="0" w:space="0" w:color="auto"/>
        <w:right w:val="none" w:sz="0" w:space="0" w:color="auto"/>
      </w:divBdr>
    </w:div>
    <w:div w:id="1457795706">
      <w:bodyDiv w:val="1"/>
      <w:marLeft w:val="0"/>
      <w:marRight w:val="0"/>
      <w:marTop w:val="0"/>
      <w:marBottom w:val="0"/>
      <w:divBdr>
        <w:top w:val="none" w:sz="0" w:space="0" w:color="auto"/>
        <w:left w:val="none" w:sz="0" w:space="0" w:color="auto"/>
        <w:bottom w:val="none" w:sz="0" w:space="0" w:color="auto"/>
        <w:right w:val="none" w:sz="0" w:space="0" w:color="auto"/>
      </w:divBdr>
    </w:div>
    <w:div w:id="1458986091">
      <w:bodyDiv w:val="1"/>
      <w:marLeft w:val="0"/>
      <w:marRight w:val="0"/>
      <w:marTop w:val="0"/>
      <w:marBottom w:val="0"/>
      <w:divBdr>
        <w:top w:val="none" w:sz="0" w:space="0" w:color="auto"/>
        <w:left w:val="none" w:sz="0" w:space="0" w:color="auto"/>
        <w:bottom w:val="none" w:sz="0" w:space="0" w:color="auto"/>
        <w:right w:val="none" w:sz="0" w:space="0" w:color="auto"/>
      </w:divBdr>
    </w:div>
    <w:div w:id="1459956681">
      <w:bodyDiv w:val="1"/>
      <w:marLeft w:val="0"/>
      <w:marRight w:val="0"/>
      <w:marTop w:val="0"/>
      <w:marBottom w:val="0"/>
      <w:divBdr>
        <w:top w:val="none" w:sz="0" w:space="0" w:color="auto"/>
        <w:left w:val="none" w:sz="0" w:space="0" w:color="auto"/>
        <w:bottom w:val="none" w:sz="0" w:space="0" w:color="auto"/>
        <w:right w:val="none" w:sz="0" w:space="0" w:color="auto"/>
      </w:divBdr>
    </w:div>
    <w:div w:id="1460220716">
      <w:bodyDiv w:val="1"/>
      <w:marLeft w:val="0"/>
      <w:marRight w:val="0"/>
      <w:marTop w:val="0"/>
      <w:marBottom w:val="0"/>
      <w:divBdr>
        <w:top w:val="none" w:sz="0" w:space="0" w:color="auto"/>
        <w:left w:val="none" w:sz="0" w:space="0" w:color="auto"/>
        <w:bottom w:val="none" w:sz="0" w:space="0" w:color="auto"/>
        <w:right w:val="none" w:sz="0" w:space="0" w:color="auto"/>
      </w:divBdr>
    </w:div>
    <w:div w:id="1460491698">
      <w:bodyDiv w:val="1"/>
      <w:marLeft w:val="0"/>
      <w:marRight w:val="0"/>
      <w:marTop w:val="0"/>
      <w:marBottom w:val="0"/>
      <w:divBdr>
        <w:top w:val="none" w:sz="0" w:space="0" w:color="auto"/>
        <w:left w:val="none" w:sz="0" w:space="0" w:color="auto"/>
        <w:bottom w:val="none" w:sz="0" w:space="0" w:color="auto"/>
        <w:right w:val="none" w:sz="0" w:space="0" w:color="auto"/>
      </w:divBdr>
    </w:div>
    <w:div w:id="1460957084">
      <w:bodyDiv w:val="1"/>
      <w:marLeft w:val="0"/>
      <w:marRight w:val="0"/>
      <w:marTop w:val="0"/>
      <w:marBottom w:val="0"/>
      <w:divBdr>
        <w:top w:val="none" w:sz="0" w:space="0" w:color="auto"/>
        <w:left w:val="none" w:sz="0" w:space="0" w:color="auto"/>
        <w:bottom w:val="none" w:sz="0" w:space="0" w:color="auto"/>
        <w:right w:val="none" w:sz="0" w:space="0" w:color="auto"/>
      </w:divBdr>
    </w:div>
    <w:div w:id="1462922202">
      <w:bodyDiv w:val="1"/>
      <w:marLeft w:val="0"/>
      <w:marRight w:val="0"/>
      <w:marTop w:val="0"/>
      <w:marBottom w:val="0"/>
      <w:divBdr>
        <w:top w:val="none" w:sz="0" w:space="0" w:color="auto"/>
        <w:left w:val="none" w:sz="0" w:space="0" w:color="auto"/>
        <w:bottom w:val="none" w:sz="0" w:space="0" w:color="auto"/>
        <w:right w:val="none" w:sz="0" w:space="0" w:color="auto"/>
      </w:divBdr>
    </w:div>
    <w:div w:id="1464738988">
      <w:bodyDiv w:val="1"/>
      <w:marLeft w:val="0"/>
      <w:marRight w:val="0"/>
      <w:marTop w:val="0"/>
      <w:marBottom w:val="0"/>
      <w:divBdr>
        <w:top w:val="none" w:sz="0" w:space="0" w:color="auto"/>
        <w:left w:val="none" w:sz="0" w:space="0" w:color="auto"/>
        <w:bottom w:val="none" w:sz="0" w:space="0" w:color="auto"/>
        <w:right w:val="none" w:sz="0" w:space="0" w:color="auto"/>
      </w:divBdr>
    </w:div>
    <w:div w:id="1465926048">
      <w:bodyDiv w:val="1"/>
      <w:marLeft w:val="0"/>
      <w:marRight w:val="0"/>
      <w:marTop w:val="0"/>
      <w:marBottom w:val="0"/>
      <w:divBdr>
        <w:top w:val="none" w:sz="0" w:space="0" w:color="auto"/>
        <w:left w:val="none" w:sz="0" w:space="0" w:color="auto"/>
        <w:bottom w:val="none" w:sz="0" w:space="0" w:color="auto"/>
        <w:right w:val="none" w:sz="0" w:space="0" w:color="auto"/>
      </w:divBdr>
    </w:div>
    <w:div w:id="1466897961">
      <w:bodyDiv w:val="1"/>
      <w:marLeft w:val="0"/>
      <w:marRight w:val="0"/>
      <w:marTop w:val="0"/>
      <w:marBottom w:val="0"/>
      <w:divBdr>
        <w:top w:val="none" w:sz="0" w:space="0" w:color="auto"/>
        <w:left w:val="none" w:sz="0" w:space="0" w:color="auto"/>
        <w:bottom w:val="none" w:sz="0" w:space="0" w:color="auto"/>
        <w:right w:val="none" w:sz="0" w:space="0" w:color="auto"/>
      </w:divBdr>
    </w:div>
    <w:div w:id="1470633418">
      <w:bodyDiv w:val="1"/>
      <w:marLeft w:val="0"/>
      <w:marRight w:val="0"/>
      <w:marTop w:val="0"/>
      <w:marBottom w:val="0"/>
      <w:divBdr>
        <w:top w:val="none" w:sz="0" w:space="0" w:color="auto"/>
        <w:left w:val="none" w:sz="0" w:space="0" w:color="auto"/>
        <w:bottom w:val="none" w:sz="0" w:space="0" w:color="auto"/>
        <w:right w:val="none" w:sz="0" w:space="0" w:color="auto"/>
      </w:divBdr>
    </w:div>
    <w:div w:id="1472332963">
      <w:bodyDiv w:val="1"/>
      <w:marLeft w:val="0"/>
      <w:marRight w:val="0"/>
      <w:marTop w:val="0"/>
      <w:marBottom w:val="0"/>
      <w:divBdr>
        <w:top w:val="none" w:sz="0" w:space="0" w:color="auto"/>
        <w:left w:val="none" w:sz="0" w:space="0" w:color="auto"/>
        <w:bottom w:val="none" w:sz="0" w:space="0" w:color="auto"/>
        <w:right w:val="none" w:sz="0" w:space="0" w:color="auto"/>
      </w:divBdr>
    </w:div>
    <w:div w:id="1472939699">
      <w:bodyDiv w:val="1"/>
      <w:marLeft w:val="0"/>
      <w:marRight w:val="0"/>
      <w:marTop w:val="0"/>
      <w:marBottom w:val="0"/>
      <w:divBdr>
        <w:top w:val="none" w:sz="0" w:space="0" w:color="auto"/>
        <w:left w:val="none" w:sz="0" w:space="0" w:color="auto"/>
        <w:bottom w:val="none" w:sz="0" w:space="0" w:color="auto"/>
        <w:right w:val="none" w:sz="0" w:space="0" w:color="auto"/>
      </w:divBdr>
    </w:div>
    <w:div w:id="1473055318">
      <w:bodyDiv w:val="1"/>
      <w:marLeft w:val="0"/>
      <w:marRight w:val="0"/>
      <w:marTop w:val="0"/>
      <w:marBottom w:val="0"/>
      <w:divBdr>
        <w:top w:val="none" w:sz="0" w:space="0" w:color="auto"/>
        <w:left w:val="none" w:sz="0" w:space="0" w:color="auto"/>
        <w:bottom w:val="none" w:sz="0" w:space="0" w:color="auto"/>
        <w:right w:val="none" w:sz="0" w:space="0" w:color="auto"/>
      </w:divBdr>
    </w:div>
    <w:div w:id="1474833156">
      <w:bodyDiv w:val="1"/>
      <w:marLeft w:val="0"/>
      <w:marRight w:val="0"/>
      <w:marTop w:val="0"/>
      <w:marBottom w:val="0"/>
      <w:divBdr>
        <w:top w:val="none" w:sz="0" w:space="0" w:color="auto"/>
        <w:left w:val="none" w:sz="0" w:space="0" w:color="auto"/>
        <w:bottom w:val="none" w:sz="0" w:space="0" w:color="auto"/>
        <w:right w:val="none" w:sz="0" w:space="0" w:color="auto"/>
      </w:divBdr>
    </w:div>
    <w:div w:id="1477918618">
      <w:bodyDiv w:val="1"/>
      <w:marLeft w:val="0"/>
      <w:marRight w:val="0"/>
      <w:marTop w:val="0"/>
      <w:marBottom w:val="0"/>
      <w:divBdr>
        <w:top w:val="none" w:sz="0" w:space="0" w:color="auto"/>
        <w:left w:val="none" w:sz="0" w:space="0" w:color="auto"/>
        <w:bottom w:val="none" w:sz="0" w:space="0" w:color="auto"/>
        <w:right w:val="none" w:sz="0" w:space="0" w:color="auto"/>
      </w:divBdr>
    </w:div>
    <w:div w:id="1478185281">
      <w:bodyDiv w:val="1"/>
      <w:marLeft w:val="0"/>
      <w:marRight w:val="0"/>
      <w:marTop w:val="0"/>
      <w:marBottom w:val="0"/>
      <w:divBdr>
        <w:top w:val="none" w:sz="0" w:space="0" w:color="auto"/>
        <w:left w:val="none" w:sz="0" w:space="0" w:color="auto"/>
        <w:bottom w:val="none" w:sz="0" w:space="0" w:color="auto"/>
        <w:right w:val="none" w:sz="0" w:space="0" w:color="auto"/>
      </w:divBdr>
    </w:div>
    <w:div w:id="1479230148">
      <w:bodyDiv w:val="1"/>
      <w:marLeft w:val="0"/>
      <w:marRight w:val="0"/>
      <w:marTop w:val="0"/>
      <w:marBottom w:val="0"/>
      <w:divBdr>
        <w:top w:val="none" w:sz="0" w:space="0" w:color="auto"/>
        <w:left w:val="none" w:sz="0" w:space="0" w:color="auto"/>
        <w:bottom w:val="none" w:sz="0" w:space="0" w:color="auto"/>
        <w:right w:val="none" w:sz="0" w:space="0" w:color="auto"/>
      </w:divBdr>
    </w:div>
    <w:div w:id="1479834207">
      <w:bodyDiv w:val="1"/>
      <w:marLeft w:val="0"/>
      <w:marRight w:val="0"/>
      <w:marTop w:val="0"/>
      <w:marBottom w:val="0"/>
      <w:divBdr>
        <w:top w:val="none" w:sz="0" w:space="0" w:color="auto"/>
        <w:left w:val="none" w:sz="0" w:space="0" w:color="auto"/>
        <w:bottom w:val="none" w:sz="0" w:space="0" w:color="auto"/>
        <w:right w:val="none" w:sz="0" w:space="0" w:color="auto"/>
      </w:divBdr>
    </w:div>
    <w:div w:id="1480808915">
      <w:bodyDiv w:val="1"/>
      <w:marLeft w:val="0"/>
      <w:marRight w:val="0"/>
      <w:marTop w:val="0"/>
      <w:marBottom w:val="0"/>
      <w:divBdr>
        <w:top w:val="none" w:sz="0" w:space="0" w:color="auto"/>
        <w:left w:val="none" w:sz="0" w:space="0" w:color="auto"/>
        <w:bottom w:val="none" w:sz="0" w:space="0" w:color="auto"/>
        <w:right w:val="none" w:sz="0" w:space="0" w:color="auto"/>
      </w:divBdr>
    </w:div>
    <w:div w:id="1482044258">
      <w:bodyDiv w:val="1"/>
      <w:marLeft w:val="0"/>
      <w:marRight w:val="0"/>
      <w:marTop w:val="0"/>
      <w:marBottom w:val="0"/>
      <w:divBdr>
        <w:top w:val="none" w:sz="0" w:space="0" w:color="auto"/>
        <w:left w:val="none" w:sz="0" w:space="0" w:color="auto"/>
        <w:bottom w:val="none" w:sz="0" w:space="0" w:color="auto"/>
        <w:right w:val="none" w:sz="0" w:space="0" w:color="auto"/>
      </w:divBdr>
    </w:div>
    <w:div w:id="1482382198">
      <w:bodyDiv w:val="1"/>
      <w:marLeft w:val="0"/>
      <w:marRight w:val="0"/>
      <w:marTop w:val="0"/>
      <w:marBottom w:val="0"/>
      <w:divBdr>
        <w:top w:val="none" w:sz="0" w:space="0" w:color="auto"/>
        <w:left w:val="none" w:sz="0" w:space="0" w:color="auto"/>
        <w:bottom w:val="none" w:sz="0" w:space="0" w:color="auto"/>
        <w:right w:val="none" w:sz="0" w:space="0" w:color="auto"/>
      </w:divBdr>
    </w:div>
    <w:div w:id="1482699604">
      <w:bodyDiv w:val="1"/>
      <w:marLeft w:val="0"/>
      <w:marRight w:val="0"/>
      <w:marTop w:val="0"/>
      <w:marBottom w:val="0"/>
      <w:divBdr>
        <w:top w:val="none" w:sz="0" w:space="0" w:color="auto"/>
        <w:left w:val="none" w:sz="0" w:space="0" w:color="auto"/>
        <w:bottom w:val="none" w:sz="0" w:space="0" w:color="auto"/>
        <w:right w:val="none" w:sz="0" w:space="0" w:color="auto"/>
      </w:divBdr>
    </w:div>
    <w:div w:id="1484006599">
      <w:bodyDiv w:val="1"/>
      <w:marLeft w:val="0"/>
      <w:marRight w:val="0"/>
      <w:marTop w:val="0"/>
      <w:marBottom w:val="0"/>
      <w:divBdr>
        <w:top w:val="none" w:sz="0" w:space="0" w:color="auto"/>
        <w:left w:val="none" w:sz="0" w:space="0" w:color="auto"/>
        <w:bottom w:val="none" w:sz="0" w:space="0" w:color="auto"/>
        <w:right w:val="none" w:sz="0" w:space="0" w:color="auto"/>
      </w:divBdr>
    </w:div>
    <w:div w:id="1486388662">
      <w:bodyDiv w:val="1"/>
      <w:marLeft w:val="0"/>
      <w:marRight w:val="0"/>
      <w:marTop w:val="0"/>
      <w:marBottom w:val="0"/>
      <w:divBdr>
        <w:top w:val="none" w:sz="0" w:space="0" w:color="auto"/>
        <w:left w:val="none" w:sz="0" w:space="0" w:color="auto"/>
        <w:bottom w:val="none" w:sz="0" w:space="0" w:color="auto"/>
        <w:right w:val="none" w:sz="0" w:space="0" w:color="auto"/>
      </w:divBdr>
    </w:div>
    <w:div w:id="1488129515">
      <w:bodyDiv w:val="1"/>
      <w:marLeft w:val="0"/>
      <w:marRight w:val="0"/>
      <w:marTop w:val="0"/>
      <w:marBottom w:val="0"/>
      <w:divBdr>
        <w:top w:val="none" w:sz="0" w:space="0" w:color="auto"/>
        <w:left w:val="none" w:sz="0" w:space="0" w:color="auto"/>
        <w:bottom w:val="none" w:sz="0" w:space="0" w:color="auto"/>
        <w:right w:val="none" w:sz="0" w:space="0" w:color="auto"/>
      </w:divBdr>
    </w:div>
    <w:div w:id="1488473247">
      <w:bodyDiv w:val="1"/>
      <w:marLeft w:val="0"/>
      <w:marRight w:val="0"/>
      <w:marTop w:val="0"/>
      <w:marBottom w:val="0"/>
      <w:divBdr>
        <w:top w:val="none" w:sz="0" w:space="0" w:color="auto"/>
        <w:left w:val="none" w:sz="0" w:space="0" w:color="auto"/>
        <w:bottom w:val="none" w:sz="0" w:space="0" w:color="auto"/>
        <w:right w:val="none" w:sz="0" w:space="0" w:color="auto"/>
      </w:divBdr>
    </w:div>
    <w:div w:id="1490907401">
      <w:bodyDiv w:val="1"/>
      <w:marLeft w:val="0"/>
      <w:marRight w:val="0"/>
      <w:marTop w:val="0"/>
      <w:marBottom w:val="0"/>
      <w:divBdr>
        <w:top w:val="none" w:sz="0" w:space="0" w:color="auto"/>
        <w:left w:val="none" w:sz="0" w:space="0" w:color="auto"/>
        <w:bottom w:val="none" w:sz="0" w:space="0" w:color="auto"/>
        <w:right w:val="none" w:sz="0" w:space="0" w:color="auto"/>
      </w:divBdr>
    </w:div>
    <w:div w:id="1491601912">
      <w:bodyDiv w:val="1"/>
      <w:marLeft w:val="0"/>
      <w:marRight w:val="0"/>
      <w:marTop w:val="0"/>
      <w:marBottom w:val="0"/>
      <w:divBdr>
        <w:top w:val="none" w:sz="0" w:space="0" w:color="auto"/>
        <w:left w:val="none" w:sz="0" w:space="0" w:color="auto"/>
        <w:bottom w:val="none" w:sz="0" w:space="0" w:color="auto"/>
        <w:right w:val="none" w:sz="0" w:space="0" w:color="auto"/>
      </w:divBdr>
    </w:div>
    <w:div w:id="1492452191">
      <w:bodyDiv w:val="1"/>
      <w:marLeft w:val="0"/>
      <w:marRight w:val="0"/>
      <w:marTop w:val="0"/>
      <w:marBottom w:val="0"/>
      <w:divBdr>
        <w:top w:val="none" w:sz="0" w:space="0" w:color="auto"/>
        <w:left w:val="none" w:sz="0" w:space="0" w:color="auto"/>
        <w:bottom w:val="none" w:sz="0" w:space="0" w:color="auto"/>
        <w:right w:val="none" w:sz="0" w:space="0" w:color="auto"/>
      </w:divBdr>
    </w:div>
    <w:div w:id="1493908152">
      <w:bodyDiv w:val="1"/>
      <w:marLeft w:val="0"/>
      <w:marRight w:val="0"/>
      <w:marTop w:val="0"/>
      <w:marBottom w:val="0"/>
      <w:divBdr>
        <w:top w:val="none" w:sz="0" w:space="0" w:color="auto"/>
        <w:left w:val="none" w:sz="0" w:space="0" w:color="auto"/>
        <w:bottom w:val="none" w:sz="0" w:space="0" w:color="auto"/>
        <w:right w:val="none" w:sz="0" w:space="0" w:color="auto"/>
      </w:divBdr>
    </w:div>
    <w:div w:id="1493914905">
      <w:bodyDiv w:val="1"/>
      <w:marLeft w:val="0"/>
      <w:marRight w:val="0"/>
      <w:marTop w:val="0"/>
      <w:marBottom w:val="0"/>
      <w:divBdr>
        <w:top w:val="none" w:sz="0" w:space="0" w:color="auto"/>
        <w:left w:val="none" w:sz="0" w:space="0" w:color="auto"/>
        <w:bottom w:val="none" w:sz="0" w:space="0" w:color="auto"/>
        <w:right w:val="none" w:sz="0" w:space="0" w:color="auto"/>
      </w:divBdr>
    </w:div>
    <w:div w:id="1494183904">
      <w:bodyDiv w:val="1"/>
      <w:marLeft w:val="0"/>
      <w:marRight w:val="0"/>
      <w:marTop w:val="0"/>
      <w:marBottom w:val="0"/>
      <w:divBdr>
        <w:top w:val="none" w:sz="0" w:space="0" w:color="auto"/>
        <w:left w:val="none" w:sz="0" w:space="0" w:color="auto"/>
        <w:bottom w:val="none" w:sz="0" w:space="0" w:color="auto"/>
        <w:right w:val="none" w:sz="0" w:space="0" w:color="auto"/>
      </w:divBdr>
    </w:div>
    <w:div w:id="1496264115">
      <w:bodyDiv w:val="1"/>
      <w:marLeft w:val="0"/>
      <w:marRight w:val="0"/>
      <w:marTop w:val="0"/>
      <w:marBottom w:val="0"/>
      <w:divBdr>
        <w:top w:val="none" w:sz="0" w:space="0" w:color="auto"/>
        <w:left w:val="none" w:sz="0" w:space="0" w:color="auto"/>
        <w:bottom w:val="none" w:sz="0" w:space="0" w:color="auto"/>
        <w:right w:val="none" w:sz="0" w:space="0" w:color="auto"/>
      </w:divBdr>
    </w:div>
    <w:div w:id="1496531635">
      <w:bodyDiv w:val="1"/>
      <w:marLeft w:val="0"/>
      <w:marRight w:val="0"/>
      <w:marTop w:val="0"/>
      <w:marBottom w:val="0"/>
      <w:divBdr>
        <w:top w:val="none" w:sz="0" w:space="0" w:color="auto"/>
        <w:left w:val="none" w:sz="0" w:space="0" w:color="auto"/>
        <w:bottom w:val="none" w:sz="0" w:space="0" w:color="auto"/>
        <w:right w:val="none" w:sz="0" w:space="0" w:color="auto"/>
      </w:divBdr>
    </w:div>
    <w:div w:id="1498618231">
      <w:bodyDiv w:val="1"/>
      <w:marLeft w:val="0"/>
      <w:marRight w:val="0"/>
      <w:marTop w:val="0"/>
      <w:marBottom w:val="0"/>
      <w:divBdr>
        <w:top w:val="none" w:sz="0" w:space="0" w:color="auto"/>
        <w:left w:val="none" w:sz="0" w:space="0" w:color="auto"/>
        <w:bottom w:val="none" w:sz="0" w:space="0" w:color="auto"/>
        <w:right w:val="none" w:sz="0" w:space="0" w:color="auto"/>
      </w:divBdr>
    </w:div>
    <w:div w:id="1499421128">
      <w:bodyDiv w:val="1"/>
      <w:marLeft w:val="0"/>
      <w:marRight w:val="0"/>
      <w:marTop w:val="0"/>
      <w:marBottom w:val="0"/>
      <w:divBdr>
        <w:top w:val="none" w:sz="0" w:space="0" w:color="auto"/>
        <w:left w:val="none" w:sz="0" w:space="0" w:color="auto"/>
        <w:bottom w:val="none" w:sz="0" w:space="0" w:color="auto"/>
        <w:right w:val="none" w:sz="0" w:space="0" w:color="auto"/>
      </w:divBdr>
    </w:div>
    <w:div w:id="1499534547">
      <w:bodyDiv w:val="1"/>
      <w:marLeft w:val="0"/>
      <w:marRight w:val="0"/>
      <w:marTop w:val="0"/>
      <w:marBottom w:val="0"/>
      <w:divBdr>
        <w:top w:val="none" w:sz="0" w:space="0" w:color="auto"/>
        <w:left w:val="none" w:sz="0" w:space="0" w:color="auto"/>
        <w:bottom w:val="none" w:sz="0" w:space="0" w:color="auto"/>
        <w:right w:val="none" w:sz="0" w:space="0" w:color="auto"/>
      </w:divBdr>
    </w:div>
    <w:div w:id="1499804170">
      <w:bodyDiv w:val="1"/>
      <w:marLeft w:val="0"/>
      <w:marRight w:val="0"/>
      <w:marTop w:val="0"/>
      <w:marBottom w:val="0"/>
      <w:divBdr>
        <w:top w:val="none" w:sz="0" w:space="0" w:color="auto"/>
        <w:left w:val="none" w:sz="0" w:space="0" w:color="auto"/>
        <w:bottom w:val="none" w:sz="0" w:space="0" w:color="auto"/>
        <w:right w:val="none" w:sz="0" w:space="0" w:color="auto"/>
      </w:divBdr>
    </w:div>
    <w:div w:id="1505125997">
      <w:bodyDiv w:val="1"/>
      <w:marLeft w:val="0"/>
      <w:marRight w:val="0"/>
      <w:marTop w:val="0"/>
      <w:marBottom w:val="0"/>
      <w:divBdr>
        <w:top w:val="none" w:sz="0" w:space="0" w:color="auto"/>
        <w:left w:val="none" w:sz="0" w:space="0" w:color="auto"/>
        <w:bottom w:val="none" w:sz="0" w:space="0" w:color="auto"/>
        <w:right w:val="none" w:sz="0" w:space="0" w:color="auto"/>
      </w:divBdr>
    </w:div>
    <w:div w:id="1507750460">
      <w:bodyDiv w:val="1"/>
      <w:marLeft w:val="0"/>
      <w:marRight w:val="0"/>
      <w:marTop w:val="0"/>
      <w:marBottom w:val="0"/>
      <w:divBdr>
        <w:top w:val="none" w:sz="0" w:space="0" w:color="auto"/>
        <w:left w:val="none" w:sz="0" w:space="0" w:color="auto"/>
        <w:bottom w:val="none" w:sz="0" w:space="0" w:color="auto"/>
        <w:right w:val="none" w:sz="0" w:space="0" w:color="auto"/>
      </w:divBdr>
    </w:div>
    <w:div w:id="1508399450">
      <w:bodyDiv w:val="1"/>
      <w:marLeft w:val="0"/>
      <w:marRight w:val="0"/>
      <w:marTop w:val="0"/>
      <w:marBottom w:val="0"/>
      <w:divBdr>
        <w:top w:val="none" w:sz="0" w:space="0" w:color="auto"/>
        <w:left w:val="none" w:sz="0" w:space="0" w:color="auto"/>
        <w:bottom w:val="none" w:sz="0" w:space="0" w:color="auto"/>
        <w:right w:val="none" w:sz="0" w:space="0" w:color="auto"/>
      </w:divBdr>
    </w:div>
    <w:div w:id="1509052559">
      <w:bodyDiv w:val="1"/>
      <w:marLeft w:val="0"/>
      <w:marRight w:val="0"/>
      <w:marTop w:val="0"/>
      <w:marBottom w:val="0"/>
      <w:divBdr>
        <w:top w:val="none" w:sz="0" w:space="0" w:color="auto"/>
        <w:left w:val="none" w:sz="0" w:space="0" w:color="auto"/>
        <w:bottom w:val="none" w:sz="0" w:space="0" w:color="auto"/>
        <w:right w:val="none" w:sz="0" w:space="0" w:color="auto"/>
      </w:divBdr>
    </w:div>
    <w:div w:id="1510833398">
      <w:bodyDiv w:val="1"/>
      <w:marLeft w:val="0"/>
      <w:marRight w:val="0"/>
      <w:marTop w:val="0"/>
      <w:marBottom w:val="0"/>
      <w:divBdr>
        <w:top w:val="none" w:sz="0" w:space="0" w:color="auto"/>
        <w:left w:val="none" w:sz="0" w:space="0" w:color="auto"/>
        <w:bottom w:val="none" w:sz="0" w:space="0" w:color="auto"/>
        <w:right w:val="none" w:sz="0" w:space="0" w:color="auto"/>
      </w:divBdr>
    </w:div>
    <w:div w:id="1511792332">
      <w:bodyDiv w:val="1"/>
      <w:marLeft w:val="0"/>
      <w:marRight w:val="0"/>
      <w:marTop w:val="0"/>
      <w:marBottom w:val="0"/>
      <w:divBdr>
        <w:top w:val="none" w:sz="0" w:space="0" w:color="auto"/>
        <w:left w:val="none" w:sz="0" w:space="0" w:color="auto"/>
        <w:bottom w:val="none" w:sz="0" w:space="0" w:color="auto"/>
        <w:right w:val="none" w:sz="0" w:space="0" w:color="auto"/>
      </w:divBdr>
    </w:div>
    <w:div w:id="1511945907">
      <w:bodyDiv w:val="1"/>
      <w:marLeft w:val="0"/>
      <w:marRight w:val="0"/>
      <w:marTop w:val="0"/>
      <w:marBottom w:val="0"/>
      <w:divBdr>
        <w:top w:val="none" w:sz="0" w:space="0" w:color="auto"/>
        <w:left w:val="none" w:sz="0" w:space="0" w:color="auto"/>
        <w:bottom w:val="none" w:sz="0" w:space="0" w:color="auto"/>
        <w:right w:val="none" w:sz="0" w:space="0" w:color="auto"/>
      </w:divBdr>
    </w:div>
    <w:div w:id="1512255340">
      <w:bodyDiv w:val="1"/>
      <w:marLeft w:val="0"/>
      <w:marRight w:val="0"/>
      <w:marTop w:val="0"/>
      <w:marBottom w:val="0"/>
      <w:divBdr>
        <w:top w:val="none" w:sz="0" w:space="0" w:color="auto"/>
        <w:left w:val="none" w:sz="0" w:space="0" w:color="auto"/>
        <w:bottom w:val="none" w:sz="0" w:space="0" w:color="auto"/>
        <w:right w:val="none" w:sz="0" w:space="0" w:color="auto"/>
      </w:divBdr>
    </w:div>
    <w:div w:id="1512989264">
      <w:bodyDiv w:val="1"/>
      <w:marLeft w:val="0"/>
      <w:marRight w:val="0"/>
      <w:marTop w:val="0"/>
      <w:marBottom w:val="0"/>
      <w:divBdr>
        <w:top w:val="none" w:sz="0" w:space="0" w:color="auto"/>
        <w:left w:val="none" w:sz="0" w:space="0" w:color="auto"/>
        <w:bottom w:val="none" w:sz="0" w:space="0" w:color="auto"/>
        <w:right w:val="none" w:sz="0" w:space="0" w:color="auto"/>
      </w:divBdr>
    </w:div>
    <w:div w:id="1514875613">
      <w:bodyDiv w:val="1"/>
      <w:marLeft w:val="0"/>
      <w:marRight w:val="0"/>
      <w:marTop w:val="0"/>
      <w:marBottom w:val="0"/>
      <w:divBdr>
        <w:top w:val="none" w:sz="0" w:space="0" w:color="auto"/>
        <w:left w:val="none" w:sz="0" w:space="0" w:color="auto"/>
        <w:bottom w:val="none" w:sz="0" w:space="0" w:color="auto"/>
        <w:right w:val="none" w:sz="0" w:space="0" w:color="auto"/>
      </w:divBdr>
    </w:div>
    <w:div w:id="1514956085">
      <w:bodyDiv w:val="1"/>
      <w:marLeft w:val="0"/>
      <w:marRight w:val="0"/>
      <w:marTop w:val="0"/>
      <w:marBottom w:val="0"/>
      <w:divBdr>
        <w:top w:val="none" w:sz="0" w:space="0" w:color="auto"/>
        <w:left w:val="none" w:sz="0" w:space="0" w:color="auto"/>
        <w:bottom w:val="none" w:sz="0" w:space="0" w:color="auto"/>
        <w:right w:val="none" w:sz="0" w:space="0" w:color="auto"/>
      </w:divBdr>
    </w:div>
    <w:div w:id="1517577631">
      <w:bodyDiv w:val="1"/>
      <w:marLeft w:val="0"/>
      <w:marRight w:val="0"/>
      <w:marTop w:val="0"/>
      <w:marBottom w:val="0"/>
      <w:divBdr>
        <w:top w:val="none" w:sz="0" w:space="0" w:color="auto"/>
        <w:left w:val="none" w:sz="0" w:space="0" w:color="auto"/>
        <w:bottom w:val="none" w:sz="0" w:space="0" w:color="auto"/>
        <w:right w:val="none" w:sz="0" w:space="0" w:color="auto"/>
      </w:divBdr>
    </w:div>
    <w:div w:id="1519849775">
      <w:bodyDiv w:val="1"/>
      <w:marLeft w:val="0"/>
      <w:marRight w:val="0"/>
      <w:marTop w:val="0"/>
      <w:marBottom w:val="0"/>
      <w:divBdr>
        <w:top w:val="none" w:sz="0" w:space="0" w:color="auto"/>
        <w:left w:val="none" w:sz="0" w:space="0" w:color="auto"/>
        <w:bottom w:val="none" w:sz="0" w:space="0" w:color="auto"/>
        <w:right w:val="none" w:sz="0" w:space="0" w:color="auto"/>
      </w:divBdr>
    </w:div>
    <w:div w:id="1520897505">
      <w:bodyDiv w:val="1"/>
      <w:marLeft w:val="0"/>
      <w:marRight w:val="0"/>
      <w:marTop w:val="0"/>
      <w:marBottom w:val="0"/>
      <w:divBdr>
        <w:top w:val="none" w:sz="0" w:space="0" w:color="auto"/>
        <w:left w:val="none" w:sz="0" w:space="0" w:color="auto"/>
        <w:bottom w:val="none" w:sz="0" w:space="0" w:color="auto"/>
        <w:right w:val="none" w:sz="0" w:space="0" w:color="auto"/>
      </w:divBdr>
    </w:div>
    <w:div w:id="1524516926">
      <w:bodyDiv w:val="1"/>
      <w:marLeft w:val="0"/>
      <w:marRight w:val="0"/>
      <w:marTop w:val="0"/>
      <w:marBottom w:val="0"/>
      <w:divBdr>
        <w:top w:val="none" w:sz="0" w:space="0" w:color="auto"/>
        <w:left w:val="none" w:sz="0" w:space="0" w:color="auto"/>
        <w:bottom w:val="none" w:sz="0" w:space="0" w:color="auto"/>
        <w:right w:val="none" w:sz="0" w:space="0" w:color="auto"/>
      </w:divBdr>
    </w:div>
    <w:div w:id="1524829510">
      <w:bodyDiv w:val="1"/>
      <w:marLeft w:val="0"/>
      <w:marRight w:val="0"/>
      <w:marTop w:val="0"/>
      <w:marBottom w:val="0"/>
      <w:divBdr>
        <w:top w:val="none" w:sz="0" w:space="0" w:color="auto"/>
        <w:left w:val="none" w:sz="0" w:space="0" w:color="auto"/>
        <w:bottom w:val="none" w:sz="0" w:space="0" w:color="auto"/>
        <w:right w:val="none" w:sz="0" w:space="0" w:color="auto"/>
      </w:divBdr>
    </w:div>
    <w:div w:id="1525249224">
      <w:bodyDiv w:val="1"/>
      <w:marLeft w:val="0"/>
      <w:marRight w:val="0"/>
      <w:marTop w:val="0"/>
      <w:marBottom w:val="0"/>
      <w:divBdr>
        <w:top w:val="none" w:sz="0" w:space="0" w:color="auto"/>
        <w:left w:val="none" w:sz="0" w:space="0" w:color="auto"/>
        <w:bottom w:val="none" w:sz="0" w:space="0" w:color="auto"/>
        <w:right w:val="none" w:sz="0" w:space="0" w:color="auto"/>
      </w:divBdr>
    </w:div>
    <w:div w:id="1533884871">
      <w:bodyDiv w:val="1"/>
      <w:marLeft w:val="0"/>
      <w:marRight w:val="0"/>
      <w:marTop w:val="0"/>
      <w:marBottom w:val="0"/>
      <w:divBdr>
        <w:top w:val="none" w:sz="0" w:space="0" w:color="auto"/>
        <w:left w:val="none" w:sz="0" w:space="0" w:color="auto"/>
        <w:bottom w:val="none" w:sz="0" w:space="0" w:color="auto"/>
        <w:right w:val="none" w:sz="0" w:space="0" w:color="auto"/>
      </w:divBdr>
    </w:div>
    <w:div w:id="1534343099">
      <w:bodyDiv w:val="1"/>
      <w:marLeft w:val="0"/>
      <w:marRight w:val="0"/>
      <w:marTop w:val="0"/>
      <w:marBottom w:val="0"/>
      <w:divBdr>
        <w:top w:val="none" w:sz="0" w:space="0" w:color="auto"/>
        <w:left w:val="none" w:sz="0" w:space="0" w:color="auto"/>
        <w:bottom w:val="none" w:sz="0" w:space="0" w:color="auto"/>
        <w:right w:val="none" w:sz="0" w:space="0" w:color="auto"/>
      </w:divBdr>
    </w:div>
    <w:div w:id="1535922549">
      <w:bodyDiv w:val="1"/>
      <w:marLeft w:val="0"/>
      <w:marRight w:val="0"/>
      <w:marTop w:val="0"/>
      <w:marBottom w:val="0"/>
      <w:divBdr>
        <w:top w:val="none" w:sz="0" w:space="0" w:color="auto"/>
        <w:left w:val="none" w:sz="0" w:space="0" w:color="auto"/>
        <w:bottom w:val="none" w:sz="0" w:space="0" w:color="auto"/>
        <w:right w:val="none" w:sz="0" w:space="0" w:color="auto"/>
      </w:divBdr>
    </w:div>
    <w:div w:id="1536045205">
      <w:bodyDiv w:val="1"/>
      <w:marLeft w:val="0"/>
      <w:marRight w:val="0"/>
      <w:marTop w:val="0"/>
      <w:marBottom w:val="0"/>
      <w:divBdr>
        <w:top w:val="none" w:sz="0" w:space="0" w:color="auto"/>
        <w:left w:val="none" w:sz="0" w:space="0" w:color="auto"/>
        <w:bottom w:val="none" w:sz="0" w:space="0" w:color="auto"/>
        <w:right w:val="none" w:sz="0" w:space="0" w:color="auto"/>
      </w:divBdr>
    </w:div>
    <w:div w:id="1536114228">
      <w:bodyDiv w:val="1"/>
      <w:marLeft w:val="0"/>
      <w:marRight w:val="0"/>
      <w:marTop w:val="0"/>
      <w:marBottom w:val="0"/>
      <w:divBdr>
        <w:top w:val="none" w:sz="0" w:space="0" w:color="auto"/>
        <w:left w:val="none" w:sz="0" w:space="0" w:color="auto"/>
        <w:bottom w:val="none" w:sz="0" w:space="0" w:color="auto"/>
        <w:right w:val="none" w:sz="0" w:space="0" w:color="auto"/>
      </w:divBdr>
    </w:div>
    <w:div w:id="1536503608">
      <w:bodyDiv w:val="1"/>
      <w:marLeft w:val="0"/>
      <w:marRight w:val="0"/>
      <w:marTop w:val="0"/>
      <w:marBottom w:val="0"/>
      <w:divBdr>
        <w:top w:val="none" w:sz="0" w:space="0" w:color="auto"/>
        <w:left w:val="none" w:sz="0" w:space="0" w:color="auto"/>
        <w:bottom w:val="none" w:sz="0" w:space="0" w:color="auto"/>
        <w:right w:val="none" w:sz="0" w:space="0" w:color="auto"/>
      </w:divBdr>
    </w:div>
    <w:div w:id="1537308643">
      <w:bodyDiv w:val="1"/>
      <w:marLeft w:val="0"/>
      <w:marRight w:val="0"/>
      <w:marTop w:val="0"/>
      <w:marBottom w:val="0"/>
      <w:divBdr>
        <w:top w:val="none" w:sz="0" w:space="0" w:color="auto"/>
        <w:left w:val="none" w:sz="0" w:space="0" w:color="auto"/>
        <w:bottom w:val="none" w:sz="0" w:space="0" w:color="auto"/>
        <w:right w:val="none" w:sz="0" w:space="0" w:color="auto"/>
      </w:divBdr>
    </w:div>
    <w:div w:id="1538080729">
      <w:bodyDiv w:val="1"/>
      <w:marLeft w:val="0"/>
      <w:marRight w:val="0"/>
      <w:marTop w:val="0"/>
      <w:marBottom w:val="0"/>
      <w:divBdr>
        <w:top w:val="none" w:sz="0" w:space="0" w:color="auto"/>
        <w:left w:val="none" w:sz="0" w:space="0" w:color="auto"/>
        <w:bottom w:val="none" w:sz="0" w:space="0" w:color="auto"/>
        <w:right w:val="none" w:sz="0" w:space="0" w:color="auto"/>
      </w:divBdr>
    </w:div>
    <w:div w:id="1538809011">
      <w:bodyDiv w:val="1"/>
      <w:marLeft w:val="0"/>
      <w:marRight w:val="0"/>
      <w:marTop w:val="0"/>
      <w:marBottom w:val="0"/>
      <w:divBdr>
        <w:top w:val="none" w:sz="0" w:space="0" w:color="auto"/>
        <w:left w:val="none" w:sz="0" w:space="0" w:color="auto"/>
        <w:bottom w:val="none" w:sz="0" w:space="0" w:color="auto"/>
        <w:right w:val="none" w:sz="0" w:space="0" w:color="auto"/>
      </w:divBdr>
    </w:div>
    <w:div w:id="1539970336">
      <w:bodyDiv w:val="1"/>
      <w:marLeft w:val="0"/>
      <w:marRight w:val="0"/>
      <w:marTop w:val="0"/>
      <w:marBottom w:val="0"/>
      <w:divBdr>
        <w:top w:val="none" w:sz="0" w:space="0" w:color="auto"/>
        <w:left w:val="none" w:sz="0" w:space="0" w:color="auto"/>
        <w:bottom w:val="none" w:sz="0" w:space="0" w:color="auto"/>
        <w:right w:val="none" w:sz="0" w:space="0" w:color="auto"/>
      </w:divBdr>
    </w:div>
    <w:div w:id="1541935367">
      <w:bodyDiv w:val="1"/>
      <w:marLeft w:val="0"/>
      <w:marRight w:val="0"/>
      <w:marTop w:val="0"/>
      <w:marBottom w:val="0"/>
      <w:divBdr>
        <w:top w:val="none" w:sz="0" w:space="0" w:color="auto"/>
        <w:left w:val="none" w:sz="0" w:space="0" w:color="auto"/>
        <w:bottom w:val="none" w:sz="0" w:space="0" w:color="auto"/>
        <w:right w:val="none" w:sz="0" w:space="0" w:color="auto"/>
      </w:divBdr>
    </w:div>
    <w:div w:id="1542016375">
      <w:bodyDiv w:val="1"/>
      <w:marLeft w:val="0"/>
      <w:marRight w:val="0"/>
      <w:marTop w:val="0"/>
      <w:marBottom w:val="0"/>
      <w:divBdr>
        <w:top w:val="none" w:sz="0" w:space="0" w:color="auto"/>
        <w:left w:val="none" w:sz="0" w:space="0" w:color="auto"/>
        <w:bottom w:val="none" w:sz="0" w:space="0" w:color="auto"/>
        <w:right w:val="none" w:sz="0" w:space="0" w:color="auto"/>
      </w:divBdr>
    </w:div>
    <w:div w:id="1543512869">
      <w:bodyDiv w:val="1"/>
      <w:marLeft w:val="0"/>
      <w:marRight w:val="0"/>
      <w:marTop w:val="0"/>
      <w:marBottom w:val="0"/>
      <w:divBdr>
        <w:top w:val="none" w:sz="0" w:space="0" w:color="auto"/>
        <w:left w:val="none" w:sz="0" w:space="0" w:color="auto"/>
        <w:bottom w:val="none" w:sz="0" w:space="0" w:color="auto"/>
        <w:right w:val="none" w:sz="0" w:space="0" w:color="auto"/>
      </w:divBdr>
    </w:div>
    <w:div w:id="1543597626">
      <w:bodyDiv w:val="1"/>
      <w:marLeft w:val="0"/>
      <w:marRight w:val="0"/>
      <w:marTop w:val="0"/>
      <w:marBottom w:val="0"/>
      <w:divBdr>
        <w:top w:val="none" w:sz="0" w:space="0" w:color="auto"/>
        <w:left w:val="none" w:sz="0" w:space="0" w:color="auto"/>
        <w:bottom w:val="none" w:sz="0" w:space="0" w:color="auto"/>
        <w:right w:val="none" w:sz="0" w:space="0" w:color="auto"/>
      </w:divBdr>
    </w:div>
    <w:div w:id="1544908105">
      <w:bodyDiv w:val="1"/>
      <w:marLeft w:val="0"/>
      <w:marRight w:val="0"/>
      <w:marTop w:val="0"/>
      <w:marBottom w:val="0"/>
      <w:divBdr>
        <w:top w:val="none" w:sz="0" w:space="0" w:color="auto"/>
        <w:left w:val="none" w:sz="0" w:space="0" w:color="auto"/>
        <w:bottom w:val="none" w:sz="0" w:space="0" w:color="auto"/>
        <w:right w:val="none" w:sz="0" w:space="0" w:color="auto"/>
      </w:divBdr>
    </w:div>
    <w:div w:id="1545094671">
      <w:bodyDiv w:val="1"/>
      <w:marLeft w:val="0"/>
      <w:marRight w:val="0"/>
      <w:marTop w:val="0"/>
      <w:marBottom w:val="0"/>
      <w:divBdr>
        <w:top w:val="none" w:sz="0" w:space="0" w:color="auto"/>
        <w:left w:val="none" w:sz="0" w:space="0" w:color="auto"/>
        <w:bottom w:val="none" w:sz="0" w:space="0" w:color="auto"/>
        <w:right w:val="none" w:sz="0" w:space="0" w:color="auto"/>
      </w:divBdr>
    </w:div>
    <w:div w:id="1546064938">
      <w:bodyDiv w:val="1"/>
      <w:marLeft w:val="0"/>
      <w:marRight w:val="0"/>
      <w:marTop w:val="0"/>
      <w:marBottom w:val="0"/>
      <w:divBdr>
        <w:top w:val="none" w:sz="0" w:space="0" w:color="auto"/>
        <w:left w:val="none" w:sz="0" w:space="0" w:color="auto"/>
        <w:bottom w:val="none" w:sz="0" w:space="0" w:color="auto"/>
        <w:right w:val="none" w:sz="0" w:space="0" w:color="auto"/>
      </w:divBdr>
    </w:div>
    <w:div w:id="1547908241">
      <w:bodyDiv w:val="1"/>
      <w:marLeft w:val="0"/>
      <w:marRight w:val="0"/>
      <w:marTop w:val="0"/>
      <w:marBottom w:val="0"/>
      <w:divBdr>
        <w:top w:val="none" w:sz="0" w:space="0" w:color="auto"/>
        <w:left w:val="none" w:sz="0" w:space="0" w:color="auto"/>
        <w:bottom w:val="none" w:sz="0" w:space="0" w:color="auto"/>
        <w:right w:val="none" w:sz="0" w:space="0" w:color="auto"/>
      </w:divBdr>
    </w:div>
    <w:div w:id="1548952273">
      <w:bodyDiv w:val="1"/>
      <w:marLeft w:val="0"/>
      <w:marRight w:val="0"/>
      <w:marTop w:val="0"/>
      <w:marBottom w:val="0"/>
      <w:divBdr>
        <w:top w:val="none" w:sz="0" w:space="0" w:color="auto"/>
        <w:left w:val="none" w:sz="0" w:space="0" w:color="auto"/>
        <w:bottom w:val="none" w:sz="0" w:space="0" w:color="auto"/>
        <w:right w:val="none" w:sz="0" w:space="0" w:color="auto"/>
      </w:divBdr>
    </w:div>
    <w:div w:id="1549564899">
      <w:bodyDiv w:val="1"/>
      <w:marLeft w:val="0"/>
      <w:marRight w:val="0"/>
      <w:marTop w:val="0"/>
      <w:marBottom w:val="0"/>
      <w:divBdr>
        <w:top w:val="none" w:sz="0" w:space="0" w:color="auto"/>
        <w:left w:val="none" w:sz="0" w:space="0" w:color="auto"/>
        <w:bottom w:val="none" w:sz="0" w:space="0" w:color="auto"/>
        <w:right w:val="none" w:sz="0" w:space="0" w:color="auto"/>
      </w:divBdr>
    </w:div>
    <w:div w:id="1550218802">
      <w:bodyDiv w:val="1"/>
      <w:marLeft w:val="0"/>
      <w:marRight w:val="0"/>
      <w:marTop w:val="0"/>
      <w:marBottom w:val="0"/>
      <w:divBdr>
        <w:top w:val="none" w:sz="0" w:space="0" w:color="auto"/>
        <w:left w:val="none" w:sz="0" w:space="0" w:color="auto"/>
        <w:bottom w:val="none" w:sz="0" w:space="0" w:color="auto"/>
        <w:right w:val="none" w:sz="0" w:space="0" w:color="auto"/>
      </w:divBdr>
    </w:div>
    <w:div w:id="1550455513">
      <w:bodyDiv w:val="1"/>
      <w:marLeft w:val="0"/>
      <w:marRight w:val="0"/>
      <w:marTop w:val="0"/>
      <w:marBottom w:val="0"/>
      <w:divBdr>
        <w:top w:val="none" w:sz="0" w:space="0" w:color="auto"/>
        <w:left w:val="none" w:sz="0" w:space="0" w:color="auto"/>
        <w:bottom w:val="none" w:sz="0" w:space="0" w:color="auto"/>
        <w:right w:val="none" w:sz="0" w:space="0" w:color="auto"/>
      </w:divBdr>
    </w:div>
    <w:div w:id="1552040548">
      <w:bodyDiv w:val="1"/>
      <w:marLeft w:val="0"/>
      <w:marRight w:val="0"/>
      <w:marTop w:val="0"/>
      <w:marBottom w:val="0"/>
      <w:divBdr>
        <w:top w:val="none" w:sz="0" w:space="0" w:color="auto"/>
        <w:left w:val="none" w:sz="0" w:space="0" w:color="auto"/>
        <w:bottom w:val="none" w:sz="0" w:space="0" w:color="auto"/>
        <w:right w:val="none" w:sz="0" w:space="0" w:color="auto"/>
      </w:divBdr>
    </w:div>
    <w:div w:id="1552234102">
      <w:bodyDiv w:val="1"/>
      <w:marLeft w:val="0"/>
      <w:marRight w:val="0"/>
      <w:marTop w:val="0"/>
      <w:marBottom w:val="0"/>
      <w:divBdr>
        <w:top w:val="none" w:sz="0" w:space="0" w:color="auto"/>
        <w:left w:val="none" w:sz="0" w:space="0" w:color="auto"/>
        <w:bottom w:val="none" w:sz="0" w:space="0" w:color="auto"/>
        <w:right w:val="none" w:sz="0" w:space="0" w:color="auto"/>
      </w:divBdr>
    </w:div>
    <w:div w:id="1554076159">
      <w:bodyDiv w:val="1"/>
      <w:marLeft w:val="0"/>
      <w:marRight w:val="0"/>
      <w:marTop w:val="0"/>
      <w:marBottom w:val="0"/>
      <w:divBdr>
        <w:top w:val="none" w:sz="0" w:space="0" w:color="auto"/>
        <w:left w:val="none" w:sz="0" w:space="0" w:color="auto"/>
        <w:bottom w:val="none" w:sz="0" w:space="0" w:color="auto"/>
        <w:right w:val="none" w:sz="0" w:space="0" w:color="auto"/>
      </w:divBdr>
    </w:div>
    <w:div w:id="1557005817">
      <w:bodyDiv w:val="1"/>
      <w:marLeft w:val="0"/>
      <w:marRight w:val="0"/>
      <w:marTop w:val="0"/>
      <w:marBottom w:val="0"/>
      <w:divBdr>
        <w:top w:val="none" w:sz="0" w:space="0" w:color="auto"/>
        <w:left w:val="none" w:sz="0" w:space="0" w:color="auto"/>
        <w:bottom w:val="none" w:sz="0" w:space="0" w:color="auto"/>
        <w:right w:val="none" w:sz="0" w:space="0" w:color="auto"/>
      </w:divBdr>
    </w:div>
    <w:div w:id="1557810962">
      <w:bodyDiv w:val="1"/>
      <w:marLeft w:val="0"/>
      <w:marRight w:val="0"/>
      <w:marTop w:val="0"/>
      <w:marBottom w:val="0"/>
      <w:divBdr>
        <w:top w:val="none" w:sz="0" w:space="0" w:color="auto"/>
        <w:left w:val="none" w:sz="0" w:space="0" w:color="auto"/>
        <w:bottom w:val="none" w:sz="0" w:space="0" w:color="auto"/>
        <w:right w:val="none" w:sz="0" w:space="0" w:color="auto"/>
      </w:divBdr>
    </w:div>
    <w:div w:id="1558708331">
      <w:bodyDiv w:val="1"/>
      <w:marLeft w:val="0"/>
      <w:marRight w:val="0"/>
      <w:marTop w:val="0"/>
      <w:marBottom w:val="0"/>
      <w:divBdr>
        <w:top w:val="none" w:sz="0" w:space="0" w:color="auto"/>
        <w:left w:val="none" w:sz="0" w:space="0" w:color="auto"/>
        <w:bottom w:val="none" w:sz="0" w:space="0" w:color="auto"/>
        <w:right w:val="none" w:sz="0" w:space="0" w:color="auto"/>
      </w:divBdr>
    </w:div>
    <w:div w:id="1558852801">
      <w:bodyDiv w:val="1"/>
      <w:marLeft w:val="0"/>
      <w:marRight w:val="0"/>
      <w:marTop w:val="0"/>
      <w:marBottom w:val="0"/>
      <w:divBdr>
        <w:top w:val="none" w:sz="0" w:space="0" w:color="auto"/>
        <w:left w:val="none" w:sz="0" w:space="0" w:color="auto"/>
        <w:bottom w:val="none" w:sz="0" w:space="0" w:color="auto"/>
        <w:right w:val="none" w:sz="0" w:space="0" w:color="auto"/>
      </w:divBdr>
    </w:div>
    <w:div w:id="1559049367">
      <w:bodyDiv w:val="1"/>
      <w:marLeft w:val="0"/>
      <w:marRight w:val="0"/>
      <w:marTop w:val="0"/>
      <w:marBottom w:val="0"/>
      <w:divBdr>
        <w:top w:val="none" w:sz="0" w:space="0" w:color="auto"/>
        <w:left w:val="none" w:sz="0" w:space="0" w:color="auto"/>
        <w:bottom w:val="none" w:sz="0" w:space="0" w:color="auto"/>
        <w:right w:val="none" w:sz="0" w:space="0" w:color="auto"/>
      </w:divBdr>
    </w:div>
    <w:div w:id="1559434293">
      <w:bodyDiv w:val="1"/>
      <w:marLeft w:val="0"/>
      <w:marRight w:val="0"/>
      <w:marTop w:val="0"/>
      <w:marBottom w:val="0"/>
      <w:divBdr>
        <w:top w:val="none" w:sz="0" w:space="0" w:color="auto"/>
        <w:left w:val="none" w:sz="0" w:space="0" w:color="auto"/>
        <w:bottom w:val="none" w:sz="0" w:space="0" w:color="auto"/>
        <w:right w:val="none" w:sz="0" w:space="0" w:color="auto"/>
      </w:divBdr>
    </w:div>
    <w:div w:id="1559976662">
      <w:bodyDiv w:val="1"/>
      <w:marLeft w:val="0"/>
      <w:marRight w:val="0"/>
      <w:marTop w:val="0"/>
      <w:marBottom w:val="0"/>
      <w:divBdr>
        <w:top w:val="none" w:sz="0" w:space="0" w:color="auto"/>
        <w:left w:val="none" w:sz="0" w:space="0" w:color="auto"/>
        <w:bottom w:val="none" w:sz="0" w:space="0" w:color="auto"/>
        <w:right w:val="none" w:sz="0" w:space="0" w:color="auto"/>
      </w:divBdr>
    </w:div>
    <w:div w:id="1566525807">
      <w:bodyDiv w:val="1"/>
      <w:marLeft w:val="0"/>
      <w:marRight w:val="0"/>
      <w:marTop w:val="0"/>
      <w:marBottom w:val="0"/>
      <w:divBdr>
        <w:top w:val="none" w:sz="0" w:space="0" w:color="auto"/>
        <w:left w:val="none" w:sz="0" w:space="0" w:color="auto"/>
        <w:bottom w:val="none" w:sz="0" w:space="0" w:color="auto"/>
        <w:right w:val="none" w:sz="0" w:space="0" w:color="auto"/>
      </w:divBdr>
    </w:div>
    <w:div w:id="1567111111">
      <w:bodyDiv w:val="1"/>
      <w:marLeft w:val="0"/>
      <w:marRight w:val="0"/>
      <w:marTop w:val="0"/>
      <w:marBottom w:val="0"/>
      <w:divBdr>
        <w:top w:val="none" w:sz="0" w:space="0" w:color="auto"/>
        <w:left w:val="none" w:sz="0" w:space="0" w:color="auto"/>
        <w:bottom w:val="none" w:sz="0" w:space="0" w:color="auto"/>
        <w:right w:val="none" w:sz="0" w:space="0" w:color="auto"/>
      </w:divBdr>
    </w:div>
    <w:div w:id="1567454222">
      <w:bodyDiv w:val="1"/>
      <w:marLeft w:val="0"/>
      <w:marRight w:val="0"/>
      <w:marTop w:val="0"/>
      <w:marBottom w:val="0"/>
      <w:divBdr>
        <w:top w:val="none" w:sz="0" w:space="0" w:color="auto"/>
        <w:left w:val="none" w:sz="0" w:space="0" w:color="auto"/>
        <w:bottom w:val="none" w:sz="0" w:space="0" w:color="auto"/>
        <w:right w:val="none" w:sz="0" w:space="0" w:color="auto"/>
      </w:divBdr>
    </w:div>
    <w:div w:id="1567759312">
      <w:bodyDiv w:val="1"/>
      <w:marLeft w:val="0"/>
      <w:marRight w:val="0"/>
      <w:marTop w:val="0"/>
      <w:marBottom w:val="0"/>
      <w:divBdr>
        <w:top w:val="none" w:sz="0" w:space="0" w:color="auto"/>
        <w:left w:val="none" w:sz="0" w:space="0" w:color="auto"/>
        <w:bottom w:val="none" w:sz="0" w:space="0" w:color="auto"/>
        <w:right w:val="none" w:sz="0" w:space="0" w:color="auto"/>
      </w:divBdr>
    </w:div>
    <w:div w:id="1571816181">
      <w:bodyDiv w:val="1"/>
      <w:marLeft w:val="0"/>
      <w:marRight w:val="0"/>
      <w:marTop w:val="0"/>
      <w:marBottom w:val="0"/>
      <w:divBdr>
        <w:top w:val="none" w:sz="0" w:space="0" w:color="auto"/>
        <w:left w:val="none" w:sz="0" w:space="0" w:color="auto"/>
        <w:bottom w:val="none" w:sz="0" w:space="0" w:color="auto"/>
        <w:right w:val="none" w:sz="0" w:space="0" w:color="auto"/>
      </w:divBdr>
    </w:div>
    <w:div w:id="1576359934">
      <w:bodyDiv w:val="1"/>
      <w:marLeft w:val="0"/>
      <w:marRight w:val="0"/>
      <w:marTop w:val="0"/>
      <w:marBottom w:val="0"/>
      <w:divBdr>
        <w:top w:val="none" w:sz="0" w:space="0" w:color="auto"/>
        <w:left w:val="none" w:sz="0" w:space="0" w:color="auto"/>
        <w:bottom w:val="none" w:sz="0" w:space="0" w:color="auto"/>
        <w:right w:val="none" w:sz="0" w:space="0" w:color="auto"/>
      </w:divBdr>
    </w:div>
    <w:div w:id="1579942925">
      <w:bodyDiv w:val="1"/>
      <w:marLeft w:val="0"/>
      <w:marRight w:val="0"/>
      <w:marTop w:val="0"/>
      <w:marBottom w:val="0"/>
      <w:divBdr>
        <w:top w:val="none" w:sz="0" w:space="0" w:color="auto"/>
        <w:left w:val="none" w:sz="0" w:space="0" w:color="auto"/>
        <w:bottom w:val="none" w:sz="0" w:space="0" w:color="auto"/>
        <w:right w:val="none" w:sz="0" w:space="0" w:color="auto"/>
      </w:divBdr>
    </w:div>
    <w:div w:id="1580091609">
      <w:bodyDiv w:val="1"/>
      <w:marLeft w:val="0"/>
      <w:marRight w:val="0"/>
      <w:marTop w:val="0"/>
      <w:marBottom w:val="0"/>
      <w:divBdr>
        <w:top w:val="none" w:sz="0" w:space="0" w:color="auto"/>
        <w:left w:val="none" w:sz="0" w:space="0" w:color="auto"/>
        <w:bottom w:val="none" w:sz="0" w:space="0" w:color="auto"/>
        <w:right w:val="none" w:sz="0" w:space="0" w:color="auto"/>
      </w:divBdr>
    </w:div>
    <w:div w:id="1580555559">
      <w:bodyDiv w:val="1"/>
      <w:marLeft w:val="0"/>
      <w:marRight w:val="0"/>
      <w:marTop w:val="0"/>
      <w:marBottom w:val="0"/>
      <w:divBdr>
        <w:top w:val="none" w:sz="0" w:space="0" w:color="auto"/>
        <w:left w:val="none" w:sz="0" w:space="0" w:color="auto"/>
        <w:bottom w:val="none" w:sz="0" w:space="0" w:color="auto"/>
        <w:right w:val="none" w:sz="0" w:space="0" w:color="auto"/>
      </w:divBdr>
    </w:div>
    <w:div w:id="1581712633">
      <w:bodyDiv w:val="1"/>
      <w:marLeft w:val="0"/>
      <w:marRight w:val="0"/>
      <w:marTop w:val="0"/>
      <w:marBottom w:val="0"/>
      <w:divBdr>
        <w:top w:val="none" w:sz="0" w:space="0" w:color="auto"/>
        <w:left w:val="none" w:sz="0" w:space="0" w:color="auto"/>
        <w:bottom w:val="none" w:sz="0" w:space="0" w:color="auto"/>
        <w:right w:val="none" w:sz="0" w:space="0" w:color="auto"/>
      </w:divBdr>
    </w:div>
    <w:div w:id="1584752516">
      <w:bodyDiv w:val="1"/>
      <w:marLeft w:val="0"/>
      <w:marRight w:val="0"/>
      <w:marTop w:val="0"/>
      <w:marBottom w:val="0"/>
      <w:divBdr>
        <w:top w:val="none" w:sz="0" w:space="0" w:color="auto"/>
        <w:left w:val="none" w:sz="0" w:space="0" w:color="auto"/>
        <w:bottom w:val="none" w:sz="0" w:space="0" w:color="auto"/>
        <w:right w:val="none" w:sz="0" w:space="0" w:color="auto"/>
      </w:divBdr>
    </w:div>
    <w:div w:id="1584947961">
      <w:bodyDiv w:val="1"/>
      <w:marLeft w:val="0"/>
      <w:marRight w:val="0"/>
      <w:marTop w:val="0"/>
      <w:marBottom w:val="0"/>
      <w:divBdr>
        <w:top w:val="none" w:sz="0" w:space="0" w:color="auto"/>
        <w:left w:val="none" w:sz="0" w:space="0" w:color="auto"/>
        <w:bottom w:val="none" w:sz="0" w:space="0" w:color="auto"/>
        <w:right w:val="none" w:sz="0" w:space="0" w:color="auto"/>
      </w:divBdr>
    </w:div>
    <w:div w:id="1586567242">
      <w:bodyDiv w:val="1"/>
      <w:marLeft w:val="0"/>
      <w:marRight w:val="0"/>
      <w:marTop w:val="0"/>
      <w:marBottom w:val="0"/>
      <w:divBdr>
        <w:top w:val="none" w:sz="0" w:space="0" w:color="auto"/>
        <w:left w:val="none" w:sz="0" w:space="0" w:color="auto"/>
        <w:bottom w:val="none" w:sz="0" w:space="0" w:color="auto"/>
        <w:right w:val="none" w:sz="0" w:space="0" w:color="auto"/>
      </w:divBdr>
    </w:div>
    <w:div w:id="1586643118">
      <w:bodyDiv w:val="1"/>
      <w:marLeft w:val="0"/>
      <w:marRight w:val="0"/>
      <w:marTop w:val="0"/>
      <w:marBottom w:val="0"/>
      <w:divBdr>
        <w:top w:val="none" w:sz="0" w:space="0" w:color="auto"/>
        <w:left w:val="none" w:sz="0" w:space="0" w:color="auto"/>
        <w:bottom w:val="none" w:sz="0" w:space="0" w:color="auto"/>
        <w:right w:val="none" w:sz="0" w:space="0" w:color="auto"/>
      </w:divBdr>
    </w:div>
    <w:div w:id="1588424773">
      <w:bodyDiv w:val="1"/>
      <w:marLeft w:val="0"/>
      <w:marRight w:val="0"/>
      <w:marTop w:val="0"/>
      <w:marBottom w:val="0"/>
      <w:divBdr>
        <w:top w:val="none" w:sz="0" w:space="0" w:color="auto"/>
        <w:left w:val="none" w:sz="0" w:space="0" w:color="auto"/>
        <w:bottom w:val="none" w:sz="0" w:space="0" w:color="auto"/>
        <w:right w:val="none" w:sz="0" w:space="0" w:color="auto"/>
      </w:divBdr>
    </w:div>
    <w:div w:id="1591887693">
      <w:bodyDiv w:val="1"/>
      <w:marLeft w:val="0"/>
      <w:marRight w:val="0"/>
      <w:marTop w:val="0"/>
      <w:marBottom w:val="0"/>
      <w:divBdr>
        <w:top w:val="none" w:sz="0" w:space="0" w:color="auto"/>
        <w:left w:val="none" w:sz="0" w:space="0" w:color="auto"/>
        <w:bottom w:val="none" w:sz="0" w:space="0" w:color="auto"/>
        <w:right w:val="none" w:sz="0" w:space="0" w:color="auto"/>
      </w:divBdr>
    </w:div>
    <w:div w:id="1592159723">
      <w:bodyDiv w:val="1"/>
      <w:marLeft w:val="0"/>
      <w:marRight w:val="0"/>
      <w:marTop w:val="0"/>
      <w:marBottom w:val="0"/>
      <w:divBdr>
        <w:top w:val="none" w:sz="0" w:space="0" w:color="auto"/>
        <w:left w:val="none" w:sz="0" w:space="0" w:color="auto"/>
        <w:bottom w:val="none" w:sz="0" w:space="0" w:color="auto"/>
        <w:right w:val="none" w:sz="0" w:space="0" w:color="auto"/>
      </w:divBdr>
    </w:div>
    <w:div w:id="1593509212">
      <w:bodyDiv w:val="1"/>
      <w:marLeft w:val="0"/>
      <w:marRight w:val="0"/>
      <w:marTop w:val="0"/>
      <w:marBottom w:val="0"/>
      <w:divBdr>
        <w:top w:val="none" w:sz="0" w:space="0" w:color="auto"/>
        <w:left w:val="none" w:sz="0" w:space="0" w:color="auto"/>
        <w:bottom w:val="none" w:sz="0" w:space="0" w:color="auto"/>
        <w:right w:val="none" w:sz="0" w:space="0" w:color="auto"/>
      </w:divBdr>
    </w:div>
    <w:div w:id="1593736037">
      <w:bodyDiv w:val="1"/>
      <w:marLeft w:val="0"/>
      <w:marRight w:val="0"/>
      <w:marTop w:val="0"/>
      <w:marBottom w:val="0"/>
      <w:divBdr>
        <w:top w:val="none" w:sz="0" w:space="0" w:color="auto"/>
        <w:left w:val="none" w:sz="0" w:space="0" w:color="auto"/>
        <w:bottom w:val="none" w:sz="0" w:space="0" w:color="auto"/>
        <w:right w:val="none" w:sz="0" w:space="0" w:color="auto"/>
      </w:divBdr>
    </w:div>
    <w:div w:id="1595551576">
      <w:bodyDiv w:val="1"/>
      <w:marLeft w:val="0"/>
      <w:marRight w:val="0"/>
      <w:marTop w:val="0"/>
      <w:marBottom w:val="0"/>
      <w:divBdr>
        <w:top w:val="none" w:sz="0" w:space="0" w:color="auto"/>
        <w:left w:val="none" w:sz="0" w:space="0" w:color="auto"/>
        <w:bottom w:val="none" w:sz="0" w:space="0" w:color="auto"/>
        <w:right w:val="none" w:sz="0" w:space="0" w:color="auto"/>
      </w:divBdr>
    </w:div>
    <w:div w:id="1597708904">
      <w:bodyDiv w:val="1"/>
      <w:marLeft w:val="0"/>
      <w:marRight w:val="0"/>
      <w:marTop w:val="0"/>
      <w:marBottom w:val="0"/>
      <w:divBdr>
        <w:top w:val="none" w:sz="0" w:space="0" w:color="auto"/>
        <w:left w:val="none" w:sz="0" w:space="0" w:color="auto"/>
        <w:bottom w:val="none" w:sz="0" w:space="0" w:color="auto"/>
        <w:right w:val="none" w:sz="0" w:space="0" w:color="auto"/>
      </w:divBdr>
    </w:div>
    <w:div w:id="1601907659">
      <w:bodyDiv w:val="1"/>
      <w:marLeft w:val="0"/>
      <w:marRight w:val="0"/>
      <w:marTop w:val="0"/>
      <w:marBottom w:val="0"/>
      <w:divBdr>
        <w:top w:val="none" w:sz="0" w:space="0" w:color="auto"/>
        <w:left w:val="none" w:sz="0" w:space="0" w:color="auto"/>
        <w:bottom w:val="none" w:sz="0" w:space="0" w:color="auto"/>
        <w:right w:val="none" w:sz="0" w:space="0" w:color="auto"/>
      </w:divBdr>
    </w:div>
    <w:div w:id="1603878905">
      <w:bodyDiv w:val="1"/>
      <w:marLeft w:val="0"/>
      <w:marRight w:val="0"/>
      <w:marTop w:val="0"/>
      <w:marBottom w:val="0"/>
      <w:divBdr>
        <w:top w:val="none" w:sz="0" w:space="0" w:color="auto"/>
        <w:left w:val="none" w:sz="0" w:space="0" w:color="auto"/>
        <w:bottom w:val="none" w:sz="0" w:space="0" w:color="auto"/>
        <w:right w:val="none" w:sz="0" w:space="0" w:color="auto"/>
      </w:divBdr>
    </w:div>
    <w:div w:id="1607541391">
      <w:bodyDiv w:val="1"/>
      <w:marLeft w:val="0"/>
      <w:marRight w:val="0"/>
      <w:marTop w:val="0"/>
      <w:marBottom w:val="0"/>
      <w:divBdr>
        <w:top w:val="none" w:sz="0" w:space="0" w:color="auto"/>
        <w:left w:val="none" w:sz="0" w:space="0" w:color="auto"/>
        <w:bottom w:val="none" w:sz="0" w:space="0" w:color="auto"/>
        <w:right w:val="none" w:sz="0" w:space="0" w:color="auto"/>
      </w:divBdr>
    </w:div>
    <w:div w:id="1608124689">
      <w:bodyDiv w:val="1"/>
      <w:marLeft w:val="0"/>
      <w:marRight w:val="0"/>
      <w:marTop w:val="0"/>
      <w:marBottom w:val="0"/>
      <w:divBdr>
        <w:top w:val="none" w:sz="0" w:space="0" w:color="auto"/>
        <w:left w:val="none" w:sz="0" w:space="0" w:color="auto"/>
        <w:bottom w:val="none" w:sz="0" w:space="0" w:color="auto"/>
        <w:right w:val="none" w:sz="0" w:space="0" w:color="auto"/>
      </w:divBdr>
    </w:div>
    <w:div w:id="1608731931">
      <w:bodyDiv w:val="1"/>
      <w:marLeft w:val="0"/>
      <w:marRight w:val="0"/>
      <w:marTop w:val="0"/>
      <w:marBottom w:val="0"/>
      <w:divBdr>
        <w:top w:val="none" w:sz="0" w:space="0" w:color="auto"/>
        <w:left w:val="none" w:sz="0" w:space="0" w:color="auto"/>
        <w:bottom w:val="none" w:sz="0" w:space="0" w:color="auto"/>
        <w:right w:val="none" w:sz="0" w:space="0" w:color="auto"/>
      </w:divBdr>
    </w:div>
    <w:div w:id="1609654785">
      <w:bodyDiv w:val="1"/>
      <w:marLeft w:val="0"/>
      <w:marRight w:val="0"/>
      <w:marTop w:val="0"/>
      <w:marBottom w:val="0"/>
      <w:divBdr>
        <w:top w:val="none" w:sz="0" w:space="0" w:color="auto"/>
        <w:left w:val="none" w:sz="0" w:space="0" w:color="auto"/>
        <w:bottom w:val="none" w:sz="0" w:space="0" w:color="auto"/>
        <w:right w:val="none" w:sz="0" w:space="0" w:color="auto"/>
      </w:divBdr>
    </w:div>
    <w:div w:id="1614365836">
      <w:bodyDiv w:val="1"/>
      <w:marLeft w:val="0"/>
      <w:marRight w:val="0"/>
      <w:marTop w:val="0"/>
      <w:marBottom w:val="0"/>
      <w:divBdr>
        <w:top w:val="none" w:sz="0" w:space="0" w:color="auto"/>
        <w:left w:val="none" w:sz="0" w:space="0" w:color="auto"/>
        <w:bottom w:val="none" w:sz="0" w:space="0" w:color="auto"/>
        <w:right w:val="none" w:sz="0" w:space="0" w:color="auto"/>
      </w:divBdr>
    </w:div>
    <w:div w:id="1615476618">
      <w:bodyDiv w:val="1"/>
      <w:marLeft w:val="0"/>
      <w:marRight w:val="0"/>
      <w:marTop w:val="0"/>
      <w:marBottom w:val="0"/>
      <w:divBdr>
        <w:top w:val="none" w:sz="0" w:space="0" w:color="auto"/>
        <w:left w:val="none" w:sz="0" w:space="0" w:color="auto"/>
        <w:bottom w:val="none" w:sz="0" w:space="0" w:color="auto"/>
        <w:right w:val="none" w:sz="0" w:space="0" w:color="auto"/>
      </w:divBdr>
    </w:div>
    <w:div w:id="1615987918">
      <w:bodyDiv w:val="1"/>
      <w:marLeft w:val="0"/>
      <w:marRight w:val="0"/>
      <w:marTop w:val="0"/>
      <w:marBottom w:val="0"/>
      <w:divBdr>
        <w:top w:val="none" w:sz="0" w:space="0" w:color="auto"/>
        <w:left w:val="none" w:sz="0" w:space="0" w:color="auto"/>
        <w:bottom w:val="none" w:sz="0" w:space="0" w:color="auto"/>
        <w:right w:val="none" w:sz="0" w:space="0" w:color="auto"/>
      </w:divBdr>
    </w:div>
    <w:div w:id="1617367295">
      <w:bodyDiv w:val="1"/>
      <w:marLeft w:val="0"/>
      <w:marRight w:val="0"/>
      <w:marTop w:val="0"/>
      <w:marBottom w:val="0"/>
      <w:divBdr>
        <w:top w:val="none" w:sz="0" w:space="0" w:color="auto"/>
        <w:left w:val="none" w:sz="0" w:space="0" w:color="auto"/>
        <w:bottom w:val="none" w:sz="0" w:space="0" w:color="auto"/>
        <w:right w:val="none" w:sz="0" w:space="0" w:color="auto"/>
      </w:divBdr>
    </w:div>
    <w:div w:id="1618870721">
      <w:bodyDiv w:val="1"/>
      <w:marLeft w:val="0"/>
      <w:marRight w:val="0"/>
      <w:marTop w:val="0"/>
      <w:marBottom w:val="0"/>
      <w:divBdr>
        <w:top w:val="none" w:sz="0" w:space="0" w:color="auto"/>
        <w:left w:val="none" w:sz="0" w:space="0" w:color="auto"/>
        <w:bottom w:val="none" w:sz="0" w:space="0" w:color="auto"/>
        <w:right w:val="none" w:sz="0" w:space="0" w:color="auto"/>
      </w:divBdr>
    </w:div>
    <w:div w:id="1619071416">
      <w:bodyDiv w:val="1"/>
      <w:marLeft w:val="0"/>
      <w:marRight w:val="0"/>
      <w:marTop w:val="0"/>
      <w:marBottom w:val="0"/>
      <w:divBdr>
        <w:top w:val="none" w:sz="0" w:space="0" w:color="auto"/>
        <w:left w:val="none" w:sz="0" w:space="0" w:color="auto"/>
        <w:bottom w:val="none" w:sz="0" w:space="0" w:color="auto"/>
        <w:right w:val="none" w:sz="0" w:space="0" w:color="auto"/>
      </w:divBdr>
    </w:div>
    <w:div w:id="1620339076">
      <w:bodyDiv w:val="1"/>
      <w:marLeft w:val="0"/>
      <w:marRight w:val="0"/>
      <w:marTop w:val="0"/>
      <w:marBottom w:val="0"/>
      <w:divBdr>
        <w:top w:val="none" w:sz="0" w:space="0" w:color="auto"/>
        <w:left w:val="none" w:sz="0" w:space="0" w:color="auto"/>
        <w:bottom w:val="none" w:sz="0" w:space="0" w:color="auto"/>
        <w:right w:val="none" w:sz="0" w:space="0" w:color="auto"/>
      </w:divBdr>
    </w:div>
    <w:div w:id="1621036235">
      <w:bodyDiv w:val="1"/>
      <w:marLeft w:val="0"/>
      <w:marRight w:val="0"/>
      <w:marTop w:val="0"/>
      <w:marBottom w:val="0"/>
      <w:divBdr>
        <w:top w:val="none" w:sz="0" w:space="0" w:color="auto"/>
        <w:left w:val="none" w:sz="0" w:space="0" w:color="auto"/>
        <w:bottom w:val="none" w:sz="0" w:space="0" w:color="auto"/>
        <w:right w:val="none" w:sz="0" w:space="0" w:color="auto"/>
      </w:divBdr>
    </w:div>
    <w:div w:id="1623926102">
      <w:bodyDiv w:val="1"/>
      <w:marLeft w:val="0"/>
      <w:marRight w:val="0"/>
      <w:marTop w:val="0"/>
      <w:marBottom w:val="0"/>
      <w:divBdr>
        <w:top w:val="none" w:sz="0" w:space="0" w:color="auto"/>
        <w:left w:val="none" w:sz="0" w:space="0" w:color="auto"/>
        <w:bottom w:val="none" w:sz="0" w:space="0" w:color="auto"/>
        <w:right w:val="none" w:sz="0" w:space="0" w:color="auto"/>
      </w:divBdr>
    </w:div>
    <w:div w:id="1625385302">
      <w:bodyDiv w:val="1"/>
      <w:marLeft w:val="0"/>
      <w:marRight w:val="0"/>
      <w:marTop w:val="0"/>
      <w:marBottom w:val="0"/>
      <w:divBdr>
        <w:top w:val="none" w:sz="0" w:space="0" w:color="auto"/>
        <w:left w:val="none" w:sz="0" w:space="0" w:color="auto"/>
        <w:bottom w:val="none" w:sz="0" w:space="0" w:color="auto"/>
        <w:right w:val="none" w:sz="0" w:space="0" w:color="auto"/>
      </w:divBdr>
    </w:div>
    <w:div w:id="1626932741">
      <w:bodyDiv w:val="1"/>
      <w:marLeft w:val="0"/>
      <w:marRight w:val="0"/>
      <w:marTop w:val="0"/>
      <w:marBottom w:val="0"/>
      <w:divBdr>
        <w:top w:val="none" w:sz="0" w:space="0" w:color="auto"/>
        <w:left w:val="none" w:sz="0" w:space="0" w:color="auto"/>
        <w:bottom w:val="none" w:sz="0" w:space="0" w:color="auto"/>
        <w:right w:val="none" w:sz="0" w:space="0" w:color="auto"/>
      </w:divBdr>
    </w:div>
    <w:div w:id="1629506361">
      <w:bodyDiv w:val="1"/>
      <w:marLeft w:val="0"/>
      <w:marRight w:val="0"/>
      <w:marTop w:val="0"/>
      <w:marBottom w:val="0"/>
      <w:divBdr>
        <w:top w:val="none" w:sz="0" w:space="0" w:color="auto"/>
        <w:left w:val="none" w:sz="0" w:space="0" w:color="auto"/>
        <w:bottom w:val="none" w:sz="0" w:space="0" w:color="auto"/>
        <w:right w:val="none" w:sz="0" w:space="0" w:color="auto"/>
      </w:divBdr>
    </w:div>
    <w:div w:id="1629777718">
      <w:bodyDiv w:val="1"/>
      <w:marLeft w:val="0"/>
      <w:marRight w:val="0"/>
      <w:marTop w:val="0"/>
      <w:marBottom w:val="0"/>
      <w:divBdr>
        <w:top w:val="none" w:sz="0" w:space="0" w:color="auto"/>
        <w:left w:val="none" w:sz="0" w:space="0" w:color="auto"/>
        <w:bottom w:val="none" w:sz="0" w:space="0" w:color="auto"/>
        <w:right w:val="none" w:sz="0" w:space="0" w:color="auto"/>
      </w:divBdr>
    </w:div>
    <w:div w:id="1630237009">
      <w:bodyDiv w:val="1"/>
      <w:marLeft w:val="0"/>
      <w:marRight w:val="0"/>
      <w:marTop w:val="0"/>
      <w:marBottom w:val="0"/>
      <w:divBdr>
        <w:top w:val="none" w:sz="0" w:space="0" w:color="auto"/>
        <w:left w:val="none" w:sz="0" w:space="0" w:color="auto"/>
        <w:bottom w:val="none" w:sz="0" w:space="0" w:color="auto"/>
        <w:right w:val="none" w:sz="0" w:space="0" w:color="auto"/>
      </w:divBdr>
    </w:div>
    <w:div w:id="1631401905">
      <w:bodyDiv w:val="1"/>
      <w:marLeft w:val="0"/>
      <w:marRight w:val="0"/>
      <w:marTop w:val="0"/>
      <w:marBottom w:val="0"/>
      <w:divBdr>
        <w:top w:val="none" w:sz="0" w:space="0" w:color="auto"/>
        <w:left w:val="none" w:sz="0" w:space="0" w:color="auto"/>
        <w:bottom w:val="none" w:sz="0" w:space="0" w:color="auto"/>
        <w:right w:val="none" w:sz="0" w:space="0" w:color="auto"/>
      </w:divBdr>
    </w:div>
    <w:div w:id="1632055588">
      <w:bodyDiv w:val="1"/>
      <w:marLeft w:val="0"/>
      <w:marRight w:val="0"/>
      <w:marTop w:val="0"/>
      <w:marBottom w:val="0"/>
      <w:divBdr>
        <w:top w:val="none" w:sz="0" w:space="0" w:color="auto"/>
        <w:left w:val="none" w:sz="0" w:space="0" w:color="auto"/>
        <w:bottom w:val="none" w:sz="0" w:space="0" w:color="auto"/>
        <w:right w:val="none" w:sz="0" w:space="0" w:color="auto"/>
      </w:divBdr>
    </w:div>
    <w:div w:id="1632904166">
      <w:bodyDiv w:val="1"/>
      <w:marLeft w:val="0"/>
      <w:marRight w:val="0"/>
      <w:marTop w:val="0"/>
      <w:marBottom w:val="0"/>
      <w:divBdr>
        <w:top w:val="none" w:sz="0" w:space="0" w:color="auto"/>
        <w:left w:val="none" w:sz="0" w:space="0" w:color="auto"/>
        <w:bottom w:val="none" w:sz="0" w:space="0" w:color="auto"/>
        <w:right w:val="none" w:sz="0" w:space="0" w:color="auto"/>
      </w:divBdr>
    </w:div>
    <w:div w:id="1633246411">
      <w:bodyDiv w:val="1"/>
      <w:marLeft w:val="0"/>
      <w:marRight w:val="0"/>
      <w:marTop w:val="0"/>
      <w:marBottom w:val="0"/>
      <w:divBdr>
        <w:top w:val="none" w:sz="0" w:space="0" w:color="auto"/>
        <w:left w:val="none" w:sz="0" w:space="0" w:color="auto"/>
        <w:bottom w:val="none" w:sz="0" w:space="0" w:color="auto"/>
        <w:right w:val="none" w:sz="0" w:space="0" w:color="auto"/>
      </w:divBdr>
    </w:div>
    <w:div w:id="1633827579">
      <w:bodyDiv w:val="1"/>
      <w:marLeft w:val="0"/>
      <w:marRight w:val="0"/>
      <w:marTop w:val="0"/>
      <w:marBottom w:val="0"/>
      <w:divBdr>
        <w:top w:val="none" w:sz="0" w:space="0" w:color="auto"/>
        <w:left w:val="none" w:sz="0" w:space="0" w:color="auto"/>
        <w:bottom w:val="none" w:sz="0" w:space="0" w:color="auto"/>
        <w:right w:val="none" w:sz="0" w:space="0" w:color="auto"/>
      </w:divBdr>
    </w:div>
    <w:div w:id="1634601125">
      <w:bodyDiv w:val="1"/>
      <w:marLeft w:val="0"/>
      <w:marRight w:val="0"/>
      <w:marTop w:val="0"/>
      <w:marBottom w:val="0"/>
      <w:divBdr>
        <w:top w:val="none" w:sz="0" w:space="0" w:color="auto"/>
        <w:left w:val="none" w:sz="0" w:space="0" w:color="auto"/>
        <w:bottom w:val="none" w:sz="0" w:space="0" w:color="auto"/>
        <w:right w:val="none" w:sz="0" w:space="0" w:color="auto"/>
      </w:divBdr>
    </w:div>
    <w:div w:id="1635598945">
      <w:bodyDiv w:val="1"/>
      <w:marLeft w:val="0"/>
      <w:marRight w:val="0"/>
      <w:marTop w:val="0"/>
      <w:marBottom w:val="0"/>
      <w:divBdr>
        <w:top w:val="none" w:sz="0" w:space="0" w:color="auto"/>
        <w:left w:val="none" w:sz="0" w:space="0" w:color="auto"/>
        <w:bottom w:val="none" w:sz="0" w:space="0" w:color="auto"/>
        <w:right w:val="none" w:sz="0" w:space="0" w:color="auto"/>
      </w:divBdr>
    </w:div>
    <w:div w:id="1636327120">
      <w:bodyDiv w:val="1"/>
      <w:marLeft w:val="0"/>
      <w:marRight w:val="0"/>
      <w:marTop w:val="0"/>
      <w:marBottom w:val="0"/>
      <w:divBdr>
        <w:top w:val="none" w:sz="0" w:space="0" w:color="auto"/>
        <w:left w:val="none" w:sz="0" w:space="0" w:color="auto"/>
        <w:bottom w:val="none" w:sz="0" w:space="0" w:color="auto"/>
        <w:right w:val="none" w:sz="0" w:space="0" w:color="auto"/>
      </w:divBdr>
    </w:div>
    <w:div w:id="1636836157">
      <w:bodyDiv w:val="1"/>
      <w:marLeft w:val="0"/>
      <w:marRight w:val="0"/>
      <w:marTop w:val="0"/>
      <w:marBottom w:val="0"/>
      <w:divBdr>
        <w:top w:val="none" w:sz="0" w:space="0" w:color="auto"/>
        <w:left w:val="none" w:sz="0" w:space="0" w:color="auto"/>
        <w:bottom w:val="none" w:sz="0" w:space="0" w:color="auto"/>
        <w:right w:val="none" w:sz="0" w:space="0" w:color="auto"/>
      </w:divBdr>
    </w:div>
    <w:div w:id="1637711837">
      <w:bodyDiv w:val="1"/>
      <w:marLeft w:val="0"/>
      <w:marRight w:val="0"/>
      <w:marTop w:val="0"/>
      <w:marBottom w:val="0"/>
      <w:divBdr>
        <w:top w:val="none" w:sz="0" w:space="0" w:color="auto"/>
        <w:left w:val="none" w:sz="0" w:space="0" w:color="auto"/>
        <w:bottom w:val="none" w:sz="0" w:space="0" w:color="auto"/>
        <w:right w:val="none" w:sz="0" w:space="0" w:color="auto"/>
      </w:divBdr>
    </w:div>
    <w:div w:id="1640108869">
      <w:bodyDiv w:val="1"/>
      <w:marLeft w:val="0"/>
      <w:marRight w:val="0"/>
      <w:marTop w:val="0"/>
      <w:marBottom w:val="0"/>
      <w:divBdr>
        <w:top w:val="none" w:sz="0" w:space="0" w:color="auto"/>
        <w:left w:val="none" w:sz="0" w:space="0" w:color="auto"/>
        <w:bottom w:val="none" w:sz="0" w:space="0" w:color="auto"/>
        <w:right w:val="none" w:sz="0" w:space="0" w:color="auto"/>
      </w:divBdr>
    </w:div>
    <w:div w:id="1640917839">
      <w:bodyDiv w:val="1"/>
      <w:marLeft w:val="0"/>
      <w:marRight w:val="0"/>
      <w:marTop w:val="0"/>
      <w:marBottom w:val="0"/>
      <w:divBdr>
        <w:top w:val="none" w:sz="0" w:space="0" w:color="auto"/>
        <w:left w:val="none" w:sz="0" w:space="0" w:color="auto"/>
        <w:bottom w:val="none" w:sz="0" w:space="0" w:color="auto"/>
        <w:right w:val="none" w:sz="0" w:space="0" w:color="auto"/>
      </w:divBdr>
    </w:div>
    <w:div w:id="1641182019">
      <w:bodyDiv w:val="1"/>
      <w:marLeft w:val="0"/>
      <w:marRight w:val="0"/>
      <w:marTop w:val="0"/>
      <w:marBottom w:val="0"/>
      <w:divBdr>
        <w:top w:val="none" w:sz="0" w:space="0" w:color="auto"/>
        <w:left w:val="none" w:sz="0" w:space="0" w:color="auto"/>
        <w:bottom w:val="none" w:sz="0" w:space="0" w:color="auto"/>
        <w:right w:val="none" w:sz="0" w:space="0" w:color="auto"/>
      </w:divBdr>
    </w:div>
    <w:div w:id="1641812710">
      <w:bodyDiv w:val="1"/>
      <w:marLeft w:val="0"/>
      <w:marRight w:val="0"/>
      <w:marTop w:val="0"/>
      <w:marBottom w:val="0"/>
      <w:divBdr>
        <w:top w:val="none" w:sz="0" w:space="0" w:color="auto"/>
        <w:left w:val="none" w:sz="0" w:space="0" w:color="auto"/>
        <w:bottom w:val="none" w:sz="0" w:space="0" w:color="auto"/>
        <w:right w:val="none" w:sz="0" w:space="0" w:color="auto"/>
      </w:divBdr>
    </w:div>
    <w:div w:id="1643727163">
      <w:bodyDiv w:val="1"/>
      <w:marLeft w:val="0"/>
      <w:marRight w:val="0"/>
      <w:marTop w:val="0"/>
      <w:marBottom w:val="0"/>
      <w:divBdr>
        <w:top w:val="none" w:sz="0" w:space="0" w:color="auto"/>
        <w:left w:val="none" w:sz="0" w:space="0" w:color="auto"/>
        <w:bottom w:val="none" w:sz="0" w:space="0" w:color="auto"/>
        <w:right w:val="none" w:sz="0" w:space="0" w:color="auto"/>
      </w:divBdr>
    </w:div>
    <w:div w:id="1643999075">
      <w:bodyDiv w:val="1"/>
      <w:marLeft w:val="0"/>
      <w:marRight w:val="0"/>
      <w:marTop w:val="0"/>
      <w:marBottom w:val="0"/>
      <w:divBdr>
        <w:top w:val="none" w:sz="0" w:space="0" w:color="auto"/>
        <w:left w:val="none" w:sz="0" w:space="0" w:color="auto"/>
        <w:bottom w:val="none" w:sz="0" w:space="0" w:color="auto"/>
        <w:right w:val="none" w:sz="0" w:space="0" w:color="auto"/>
      </w:divBdr>
    </w:div>
    <w:div w:id="1647929925">
      <w:bodyDiv w:val="1"/>
      <w:marLeft w:val="0"/>
      <w:marRight w:val="0"/>
      <w:marTop w:val="0"/>
      <w:marBottom w:val="0"/>
      <w:divBdr>
        <w:top w:val="none" w:sz="0" w:space="0" w:color="auto"/>
        <w:left w:val="none" w:sz="0" w:space="0" w:color="auto"/>
        <w:bottom w:val="none" w:sz="0" w:space="0" w:color="auto"/>
        <w:right w:val="none" w:sz="0" w:space="0" w:color="auto"/>
      </w:divBdr>
    </w:div>
    <w:div w:id="1648587146">
      <w:bodyDiv w:val="1"/>
      <w:marLeft w:val="0"/>
      <w:marRight w:val="0"/>
      <w:marTop w:val="0"/>
      <w:marBottom w:val="0"/>
      <w:divBdr>
        <w:top w:val="none" w:sz="0" w:space="0" w:color="auto"/>
        <w:left w:val="none" w:sz="0" w:space="0" w:color="auto"/>
        <w:bottom w:val="none" w:sz="0" w:space="0" w:color="auto"/>
        <w:right w:val="none" w:sz="0" w:space="0" w:color="auto"/>
      </w:divBdr>
    </w:div>
    <w:div w:id="1652711550">
      <w:bodyDiv w:val="1"/>
      <w:marLeft w:val="0"/>
      <w:marRight w:val="0"/>
      <w:marTop w:val="0"/>
      <w:marBottom w:val="0"/>
      <w:divBdr>
        <w:top w:val="none" w:sz="0" w:space="0" w:color="auto"/>
        <w:left w:val="none" w:sz="0" w:space="0" w:color="auto"/>
        <w:bottom w:val="none" w:sz="0" w:space="0" w:color="auto"/>
        <w:right w:val="none" w:sz="0" w:space="0" w:color="auto"/>
      </w:divBdr>
    </w:div>
    <w:div w:id="1652902044">
      <w:bodyDiv w:val="1"/>
      <w:marLeft w:val="0"/>
      <w:marRight w:val="0"/>
      <w:marTop w:val="0"/>
      <w:marBottom w:val="0"/>
      <w:divBdr>
        <w:top w:val="none" w:sz="0" w:space="0" w:color="auto"/>
        <w:left w:val="none" w:sz="0" w:space="0" w:color="auto"/>
        <w:bottom w:val="none" w:sz="0" w:space="0" w:color="auto"/>
        <w:right w:val="none" w:sz="0" w:space="0" w:color="auto"/>
      </w:divBdr>
    </w:div>
    <w:div w:id="1654868403">
      <w:bodyDiv w:val="1"/>
      <w:marLeft w:val="0"/>
      <w:marRight w:val="0"/>
      <w:marTop w:val="0"/>
      <w:marBottom w:val="0"/>
      <w:divBdr>
        <w:top w:val="none" w:sz="0" w:space="0" w:color="auto"/>
        <w:left w:val="none" w:sz="0" w:space="0" w:color="auto"/>
        <w:bottom w:val="none" w:sz="0" w:space="0" w:color="auto"/>
        <w:right w:val="none" w:sz="0" w:space="0" w:color="auto"/>
      </w:divBdr>
    </w:div>
    <w:div w:id="1655403227">
      <w:bodyDiv w:val="1"/>
      <w:marLeft w:val="0"/>
      <w:marRight w:val="0"/>
      <w:marTop w:val="0"/>
      <w:marBottom w:val="0"/>
      <w:divBdr>
        <w:top w:val="none" w:sz="0" w:space="0" w:color="auto"/>
        <w:left w:val="none" w:sz="0" w:space="0" w:color="auto"/>
        <w:bottom w:val="none" w:sz="0" w:space="0" w:color="auto"/>
        <w:right w:val="none" w:sz="0" w:space="0" w:color="auto"/>
      </w:divBdr>
    </w:div>
    <w:div w:id="1655601940">
      <w:bodyDiv w:val="1"/>
      <w:marLeft w:val="0"/>
      <w:marRight w:val="0"/>
      <w:marTop w:val="0"/>
      <w:marBottom w:val="0"/>
      <w:divBdr>
        <w:top w:val="none" w:sz="0" w:space="0" w:color="auto"/>
        <w:left w:val="none" w:sz="0" w:space="0" w:color="auto"/>
        <w:bottom w:val="none" w:sz="0" w:space="0" w:color="auto"/>
        <w:right w:val="none" w:sz="0" w:space="0" w:color="auto"/>
      </w:divBdr>
    </w:div>
    <w:div w:id="1664502156">
      <w:bodyDiv w:val="1"/>
      <w:marLeft w:val="0"/>
      <w:marRight w:val="0"/>
      <w:marTop w:val="0"/>
      <w:marBottom w:val="0"/>
      <w:divBdr>
        <w:top w:val="none" w:sz="0" w:space="0" w:color="auto"/>
        <w:left w:val="none" w:sz="0" w:space="0" w:color="auto"/>
        <w:bottom w:val="none" w:sz="0" w:space="0" w:color="auto"/>
        <w:right w:val="none" w:sz="0" w:space="0" w:color="auto"/>
      </w:divBdr>
    </w:div>
    <w:div w:id="1665090297">
      <w:bodyDiv w:val="1"/>
      <w:marLeft w:val="0"/>
      <w:marRight w:val="0"/>
      <w:marTop w:val="0"/>
      <w:marBottom w:val="0"/>
      <w:divBdr>
        <w:top w:val="none" w:sz="0" w:space="0" w:color="auto"/>
        <w:left w:val="none" w:sz="0" w:space="0" w:color="auto"/>
        <w:bottom w:val="none" w:sz="0" w:space="0" w:color="auto"/>
        <w:right w:val="none" w:sz="0" w:space="0" w:color="auto"/>
      </w:divBdr>
    </w:div>
    <w:div w:id="1667047960">
      <w:bodyDiv w:val="1"/>
      <w:marLeft w:val="0"/>
      <w:marRight w:val="0"/>
      <w:marTop w:val="0"/>
      <w:marBottom w:val="0"/>
      <w:divBdr>
        <w:top w:val="none" w:sz="0" w:space="0" w:color="auto"/>
        <w:left w:val="none" w:sz="0" w:space="0" w:color="auto"/>
        <w:bottom w:val="none" w:sz="0" w:space="0" w:color="auto"/>
        <w:right w:val="none" w:sz="0" w:space="0" w:color="auto"/>
      </w:divBdr>
    </w:div>
    <w:div w:id="1668945645">
      <w:bodyDiv w:val="1"/>
      <w:marLeft w:val="0"/>
      <w:marRight w:val="0"/>
      <w:marTop w:val="0"/>
      <w:marBottom w:val="0"/>
      <w:divBdr>
        <w:top w:val="none" w:sz="0" w:space="0" w:color="auto"/>
        <w:left w:val="none" w:sz="0" w:space="0" w:color="auto"/>
        <w:bottom w:val="none" w:sz="0" w:space="0" w:color="auto"/>
        <w:right w:val="none" w:sz="0" w:space="0" w:color="auto"/>
      </w:divBdr>
    </w:div>
    <w:div w:id="1669019005">
      <w:bodyDiv w:val="1"/>
      <w:marLeft w:val="0"/>
      <w:marRight w:val="0"/>
      <w:marTop w:val="0"/>
      <w:marBottom w:val="0"/>
      <w:divBdr>
        <w:top w:val="none" w:sz="0" w:space="0" w:color="auto"/>
        <w:left w:val="none" w:sz="0" w:space="0" w:color="auto"/>
        <w:bottom w:val="none" w:sz="0" w:space="0" w:color="auto"/>
        <w:right w:val="none" w:sz="0" w:space="0" w:color="auto"/>
      </w:divBdr>
    </w:div>
    <w:div w:id="1669285984">
      <w:bodyDiv w:val="1"/>
      <w:marLeft w:val="0"/>
      <w:marRight w:val="0"/>
      <w:marTop w:val="0"/>
      <w:marBottom w:val="0"/>
      <w:divBdr>
        <w:top w:val="none" w:sz="0" w:space="0" w:color="auto"/>
        <w:left w:val="none" w:sz="0" w:space="0" w:color="auto"/>
        <w:bottom w:val="none" w:sz="0" w:space="0" w:color="auto"/>
        <w:right w:val="none" w:sz="0" w:space="0" w:color="auto"/>
      </w:divBdr>
    </w:div>
    <w:div w:id="1670134961">
      <w:bodyDiv w:val="1"/>
      <w:marLeft w:val="0"/>
      <w:marRight w:val="0"/>
      <w:marTop w:val="0"/>
      <w:marBottom w:val="0"/>
      <w:divBdr>
        <w:top w:val="none" w:sz="0" w:space="0" w:color="auto"/>
        <w:left w:val="none" w:sz="0" w:space="0" w:color="auto"/>
        <w:bottom w:val="none" w:sz="0" w:space="0" w:color="auto"/>
        <w:right w:val="none" w:sz="0" w:space="0" w:color="auto"/>
      </w:divBdr>
    </w:div>
    <w:div w:id="1671326897">
      <w:bodyDiv w:val="1"/>
      <w:marLeft w:val="0"/>
      <w:marRight w:val="0"/>
      <w:marTop w:val="0"/>
      <w:marBottom w:val="0"/>
      <w:divBdr>
        <w:top w:val="none" w:sz="0" w:space="0" w:color="auto"/>
        <w:left w:val="none" w:sz="0" w:space="0" w:color="auto"/>
        <w:bottom w:val="none" w:sz="0" w:space="0" w:color="auto"/>
        <w:right w:val="none" w:sz="0" w:space="0" w:color="auto"/>
      </w:divBdr>
    </w:div>
    <w:div w:id="1672682546">
      <w:bodyDiv w:val="1"/>
      <w:marLeft w:val="0"/>
      <w:marRight w:val="0"/>
      <w:marTop w:val="0"/>
      <w:marBottom w:val="0"/>
      <w:divBdr>
        <w:top w:val="none" w:sz="0" w:space="0" w:color="auto"/>
        <w:left w:val="none" w:sz="0" w:space="0" w:color="auto"/>
        <w:bottom w:val="none" w:sz="0" w:space="0" w:color="auto"/>
        <w:right w:val="none" w:sz="0" w:space="0" w:color="auto"/>
      </w:divBdr>
    </w:div>
    <w:div w:id="1673483672">
      <w:bodyDiv w:val="1"/>
      <w:marLeft w:val="0"/>
      <w:marRight w:val="0"/>
      <w:marTop w:val="0"/>
      <w:marBottom w:val="0"/>
      <w:divBdr>
        <w:top w:val="none" w:sz="0" w:space="0" w:color="auto"/>
        <w:left w:val="none" w:sz="0" w:space="0" w:color="auto"/>
        <w:bottom w:val="none" w:sz="0" w:space="0" w:color="auto"/>
        <w:right w:val="none" w:sz="0" w:space="0" w:color="auto"/>
      </w:divBdr>
    </w:div>
    <w:div w:id="1675453307">
      <w:bodyDiv w:val="1"/>
      <w:marLeft w:val="0"/>
      <w:marRight w:val="0"/>
      <w:marTop w:val="0"/>
      <w:marBottom w:val="0"/>
      <w:divBdr>
        <w:top w:val="none" w:sz="0" w:space="0" w:color="auto"/>
        <w:left w:val="none" w:sz="0" w:space="0" w:color="auto"/>
        <w:bottom w:val="none" w:sz="0" w:space="0" w:color="auto"/>
        <w:right w:val="none" w:sz="0" w:space="0" w:color="auto"/>
      </w:divBdr>
    </w:div>
    <w:div w:id="1676566664">
      <w:bodyDiv w:val="1"/>
      <w:marLeft w:val="0"/>
      <w:marRight w:val="0"/>
      <w:marTop w:val="0"/>
      <w:marBottom w:val="0"/>
      <w:divBdr>
        <w:top w:val="none" w:sz="0" w:space="0" w:color="auto"/>
        <w:left w:val="none" w:sz="0" w:space="0" w:color="auto"/>
        <w:bottom w:val="none" w:sz="0" w:space="0" w:color="auto"/>
        <w:right w:val="none" w:sz="0" w:space="0" w:color="auto"/>
      </w:divBdr>
    </w:div>
    <w:div w:id="1677883537">
      <w:bodyDiv w:val="1"/>
      <w:marLeft w:val="0"/>
      <w:marRight w:val="0"/>
      <w:marTop w:val="0"/>
      <w:marBottom w:val="0"/>
      <w:divBdr>
        <w:top w:val="none" w:sz="0" w:space="0" w:color="auto"/>
        <w:left w:val="none" w:sz="0" w:space="0" w:color="auto"/>
        <w:bottom w:val="none" w:sz="0" w:space="0" w:color="auto"/>
        <w:right w:val="none" w:sz="0" w:space="0" w:color="auto"/>
      </w:divBdr>
    </w:div>
    <w:div w:id="1678534160">
      <w:bodyDiv w:val="1"/>
      <w:marLeft w:val="0"/>
      <w:marRight w:val="0"/>
      <w:marTop w:val="0"/>
      <w:marBottom w:val="0"/>
      <w:divBdr>
        <w:top w:val="none" w:sz="0" w:space="0" w:color="auto"/>
        <w:left w:val="none" w:sz="0" w:space="0" w:color="auto"/>
        <w:bottom w:val="none" w:sz="0" w:space="0" w:color="auto"/>
        <w:right w:val="none" w:sz="0" w:space="0" w:color="auto"/>
      </w:divBdr>
    </w:div>
    <w:div w:id="1679236297">
      <w:bodyDiv w:val="1"/>
      <w:marLeft w:val="0"/>
      <w:marRight w:val="0"/>
      <w:marTop w:val="0"/>
      <w:marBottom w:val="0"/>
      <w:divBdr>
        <w:top w:val="none" w:sz="0" w:space="0" w:color="auto"/>
        <w:left w:val="none" w:sz="0" w:space="0" w:color="auto"/>
        <w:bottom w:val="none" w:sz="0" w:space="0" w:color="auto"/>
        <w:right w:val="none" w:sz="0" w:space="0" w:color="auto"/>
      </w:divBdr>
    </w:div>
    <w:div w:id="1679430909">
      <w:bodyDiv w:val="1"/>
      <w:marLeft w:val="0"/>
      <w:marRight w:val="0"/>
      <w:marTop w:val="0"/>
      <w:marBottom w:val="0"/>
      <w:divBdr>
        <w:top w:val="none" w:sz="0" w:space="0" w:color="auto"/>
        <w:left w:val="none" w:sz="0" w:space="0" w:color="auto"/>
        <w:bottom w:val="none" w:sz="0" w:space="0" w:color="auto"/>
        <w:right w:val="none" w:sz="0" w:space="0" w:color="auto"/>
      </w:divBdr>
    </w:div>
    <w:div w:id="1687249940">
      <w:bodyDiv w:val="1"/>
      <w:marLeft w:val="0"/>
      <w:marRight w:val="0"/>
      <w:marTop w:val="0"/>
      <w:marBottom w:val="0"/>
      <w:divBdr>
        <w:top w:val="none" w:sz="0" w:space="0" w:color="auto"/>
        <w:left w:val="none" w:sz="0" w:space="0" w:color="auto"/>
        <w:bottom w:val="none" w:sz="0" w:space="0" w:color="auto"/>
        <w:right w:val="none" w:sz="0" w:space="0" w:color="auto"/>
      </w:divBdr>
    </w:div>
    <w:div w:id="1689870480">
      <w:bodyDiv w:val="1"/>
      <w:marLeft w:val="0"/>
      <w:marRight w:val="0"/>
      <w:marTop w:val="0"/>
      <w:marBottom w:val="0"/>
      <w:divBdr>
        <w:top w:val="none" w:sz="0" w:space="0" w:color="auto"/>
        <w:left w:val="none" w:sz="0" w:space="0" w:color="auto"/>
        <w:bottom w:val="none" w:sz="0" w:space="0" w:color="auto"/>
        <w:right w:val="none" w:sz="0" w:space="0" w:color="auto"/>
      </w:divBdr>
    </w:div>
    <w:div w:id="1690789615">
      <w:bodyDiv w:val="1"/>
      <w:marLeft w:val="0"/>
      <w:marRight w:val="0"/>
      <w:marTop w:val="0"/>
      <w:marBottom w:val="0"/>
      <w:divBdr>
        <w:top w:val="none" w:sz="0" w:space="0" w:color="auto"/>
        <w:left w:val="none" w:sz="0" w:space="0" w:color="auto"/>
        <w:bottom w:val="none" w:sz="0" w:space="0" w:color="auto"/>
        <w:right w:val="none" w:sz="0" w:space="0" w:color="auto"/>
      </w:divBdr>
    </w:div>
    <w:div w:id="1691253676">
      <w:bodyDiv w:val="1"/>
      <w:marLeft w:val="0"/>
      <w:marRight w:val="0"/>
      <w:marTop w:val="0"/>
      <w:marBottom w:val="0"/>
      <w:divBdr>
        <w:top w:val="none" w:sz="0" w:space="0" w:color="auto"/>
        <w:left w:val="none" w:sz="0" w:space="0" w:color="auto"/>
        <w:bottom w:val="none" w:sz="0" w:space="0" w:color="auto"/>
        <w:right w:val="none" w:sz="0" w:space="0" w:color="auto"/>
      </w:divBdr>
    </w:div>
    <w:div w:id="1691839009">
      <w:bodyDiv w:val="1"/>
      <w:marLeft w:val="0"/>
      <w:marRight w:val="0"/>
      <w:marTop w:val="0"/>
      <w:marBottom w:val="0"/>
      <w:divBdr>
        <w:top w:val="none" w:sz="0" w:space="0" w:color="auto"/>
        <w:left w:val="none" w:sz="0" w:space="0" w:color="auto"/>
        <w:bottom w:val="none" w:sz="0" w:space="0" w:color="auto"/>
        <w:right w:val="none" w:sz="0" w:space="0" w:color="auto"/>
      </w:divBdr>
    </w:div>
    <w:div w:id="1693605047">
      <w:bodyDiv w:val="1"/>
      <w:marLeft w:val="0"/>
      <w:marRight w:val="0"/>
      <w:marTop w:val="0"/>
      <w:marBottom w:val="0"/>
      <w:divBdr>
        <w:top w:val="none" w:sz="0" w:space="0" w:color="auto"/>
        <w:left w:val="none" w:sz="0" w:space="0" w:color="auto"/>
        <w:bottom w:val="none" w:sz="0" w:space="0" w:color="auto"/>
        <w:right w:val="none" w:sz="0" w:space="0" w:color="auto"/>
      </w:divBdr>
    </w:div>
    <w:div w:id="1693991960">
      <w:bodyDiv w:val="1"/>
      <w:marLeft w:val="0"/>
      <w:marRight w:val="0"/>
      <w:marTop w:val="0"/>
      <w:marBottom w:val="0"/>
      <w:divBdr>
        <w:top w:val="none" w:sz="0" w:space="0" w:color="auto"/>
        <w:left w:val="none" w:sz="0" w:space="0" w:color="auto"/>
        <w:bottom w:val="none" w:sz="0" w:space="0" w:color="auto"/>
        <w:right w:val="none" w:sz="0" w:space="0" w:color="auto"/>
      </w:divBdr>
    </w:div>
    <w:div w:id="1694912863">
      <w:bodyDiv w:val="1"/>
      <w:marLeft w:val="0"/>
      <w:marRight w:val="0"/>
      <w:marTop w:val="0"/>
      <w:marBottom w:val="0"/>
      <w:divBdr>
        <w:top w:val="none" w:sz="0" w:space="0" w:color="auto"/>
        <w:left w:val="none" w:sz="0" w:space="0" w:color="auto"/>
        <w:bottom w:val="none" w:sz="0" w:space="0" w:color="auto"/>
        <w:right w:val="none" w:sz="0" w:space="0" w:color="auto"/>
      </w:divBdr>
    </w:div>
    <w:div w:id="1695039740">
      <w:bodyDiv w:val="1"/>
      <w:marLeft w:val="0"/>
      <w:marRight w:val="0"/>
      <w:marTop w:val="0"/>
      <w:marBottom w:val="0"/>
      <w:divBdr>
        <w:top w:val="none" w:sz="0" w:space="0" w:color="auto"/>
        <w:left w:val="none" w:sz="0" w:space="0" w:color="auto"/>
        <w:bottom w:val="none" w:sz="0" w:space="0" w:color="auto"/>
        <w:right w:val="none" w:sz="0" w:space="0" w:color="auto"/>
      </w:divBdr>
    </w:div>
    <w:div w:id="1696879124">
      <w:bodyDiv w:val="1"/>
      <w:marLeft w:val="0"/>
      <w:marRight w:val="0"/>
      <w:marTop w:val="0"/>
      <w:marBottom w:val="0"/>
      <w:divBdr>
        <w:top w:val="none" w:sz="0" w:space="0" w:color="auto"/>
        <w:left w:val="none" w:sz="0" w:space="0" w:color="auto"/>
        <w:bottom w:val="none" w:sz="0" w:space="0" w:color="auto"/>
        <w:right w:val="none" w:sz="0" w:space="0" w:color="auto"/>
      </w:divBdr>
    </w:div>
    <w:div w:id="1696929057">
      <w:bodyDiv w:val="1"/>
      <w:marLeft w:val="0"/>
      <w:marRight w:val="0"/>
      <w:marTop w:val="0"/>
      <w:marBottom w:val="0"/>
      <w:divBdr>
        <w:top w:val="none" w:sz="0" w:space="0" w:color="auto"/>
        <w:left w:val="none" w:sz="0" w:space="0" w:color="auto"/>
        <w:bottom w:val="none" w:sz="0" w:space="0" w:color="auto"/>
        <w:right w:val="none" w:sz="0" w:space="0" w:color="auto"/>
      </w:divBdr>
    </w:div>
    <w:div w:id="1697998222">
      <w:bodyDiv w:val="1"/>
      <w:marLeft w:val="0"/>
      <w:marRight w:val="0"/>
      <w:marTop w:val="0"/>
      <w:marBottom w:val="0"/>
      <w:divBdr>
        <w:top w:val="none" w:sz="0" w:space="0" w:color="auto"/>
        <w:left w:val="none" w:sz="0" w:space="0" w:color="auto"/>
        <w:bottom w:val="none" w:sz="0" w:space="0" w:color="auto"/>
        <w:right w:val="none" w:sz="0" w:space="0" w:color="auto"/>
      </w:divBdr>
    </w:div>
    <w:div w:id="1699311869">
      <w:bodyDiv w:val="1"/>
      <w:marLeft w:val="0"/>
      <w:marRight w:val="0"/>
      <w:marTop w:val="0"/>
      <w:marBottom w:val="0"/>
      <w:divBdr>
        <w:top w:val="none" w:sz="0" w:space="0" w:color="auto"/>
        <w:left w:val="none" w:sz="0" w:space="0" w:color="auto"/>
        <w:bottom w:val="none" w:sz="0" w:space="0" w:color="auto"/>
        <w:right w:val="none" w:sz="0" w:space="0" w:color="auto"/>
      </w:divBdr>
    </w:div>
    <w:div w:id="1702054600">
      <w:bodyDiv w:val="1"/>
      <w:marLeft w:val="0"/>
      <w:marRight w:val="0"/>
      <w:marTop w:val="0"/>
      <w:marBottom w:val="0"/>
      <w:divBdr>
        <w:top w:val="none" w:sz="0" w:space="0" w:color="auto"/>
        <w:left w:val="none" w:sz="0" w:space="0" w:color="auto"/>
        <w:bottom w:val="none" w:sz="0" w:space="0" w:color="auto"/>
        <w:right w:val="none" w:sz="0" w:space="0" w:color="auto"/>
      </w:divBdr>
    </w:div>
    <w:div w:id="1703239428">
      <w:bodyDiv w:val="1"/>
      <w:marLeft w:val="0"/>
      <w:marRight w:val="0"/>
      <w:marTop w:val="0"/>
      <w:marBottom w:val="0"/>
      <w:divBdr>
        <w:top w:val="none" w:sz="0" w:space="0" w:color="auto"/>
        <w:left w:val="none" w:sz="0" w:space="0" w:color="auto"/>
        <w:bottom w:val="none" w:sz="0" w:space="0" w:color="auto"/>
        <w:right w:val="none" w:sz="0" w:space="0" w:color="auto"/>
      </w:divBdr>
    </w:div>
    <w:div w:id="1703675602">
      <w:bodyDiv w:val="1"/>
      <w:marLeft w:val="0"/>
      <w:marRight w:val="0"/>
      <w:marTop w:val="0"/>
      <w:marBottom w:val="0"/>
      <w:divBdr>
        <w:top w:val="none" w:sz="0" w:space="0" w:color="auto"/>
        <w:left w:val="none" w:sz="0" w:space="0" w:color="auto"/>
        <w:bottom w:val="none" w:sz="0" w:space="0" w:color="auto"/>
        <w:right w:val="none" w:sz="0" w:space="0" w:color="auto"/>
      </w:divBdr>
    </w:div>
    <w:div w:id="1704206490">
      <w:bodyDiv w:val="1"/>
      <w:marLeft w:val="0"/>
      <w:marRight w:val="0"/>
      <w:marTop w:val="0"/>
      <w:marBottom w:val="0"/>
      <w:divBdr>
        <w:top w:val="none" w:sz="0" w:space="0" w:color="auto"/>
        <w:left w:val="none" w:sz="0" w:space="0" w:color="auto"/>
        <w:bottom w:val="none" w:sz="0" w:space="0" w:color="auto"/>
        <w:right w:val="none" w:sz="0" w:space="0" w:color="auto"/>
      </w:divBdr>
    </w:div>
    <w:div w:id="1705137061">
      <w:bodyDiv w:val="1"/>
      <w:marLeft w:val="0"/>
      <w:marRight w:val="0"/>
      <w:marTop w:val="0"/>
      <w:marBottom w:val="0"/>
      <w:divBdr>
        <w:top w:val="none" w:sz="0" w:space="0" w:color="auto"/>
        <w:left w:val="none" w:sz="0" w:space="0" w:color="auto"/>
        <w:bottom w:val="none" w:sz="0" w:space="0" w:color="auto"/>
        <w:right w:val="none" w:sz="0" w:space="0" w:color="auto"/>
      </w:divBdr>
    </w:div>
    <w:div w:id="1705397482">
      <w:bodyDiv w:val="1"/>
      <w:marLeft w:val="0"/>
      <w:marRight w:val="0"/>
      <w:marTop w:val="0"/>
      <w:marBottom w:val="0"/>
      <w:divBdr>
        <w:top w:val="none" w:sz="0" w:space="0" w:color="auto"/>
        <w:left w:val="none" w:sz="0" w:space="0" w:color="auto"/>
        <w:bottom w:val="none" w:sz="0" w:space="0" w:color="auto"/>
        <w:right w:val="none" w:sz="0" w:space="0" w:color="auto"/>
      </w:divBdr>
    </w:div>
    <w:div w:id="1707289109">
      <w:bodyDiv w:val="1"/>
      <w:marLeft w:val="0"/>
      <w:marRight w:val="0"/>
      <w:marTop w:val="0"/>
      <w:marBottom w:val="0"/>
      <w:divBdr>
        <w:top w:val="none" w:sz="0" w:space="0" w:color="auto"/>
        <w:left w:val="none" w:sz="0" w:space="0" w:color="auto"/>
        <w:bottom w:val="none" w:sz="0" w:space="0" w:color="auto"/>
        <w:right w:val="none" w:sz="0" w:space="0" w:color="auto"/>
      </w:divBdr>
    </w:div>
    <w:div w:id="1709179324">
      <w:bodyDiv w:val="1"/>
      <w:marLeft w:val="0"/>
      <w:marRight w:val="0"/>
      <w:marTop w:val="0"/>
      <w:marBottom w:val="0"/>
      <w:divBdr>
        <w:top w:val="none" w:sz="0" w:space="0" w:color="auto"/>
        <w:left w:val="none" w:sz="0" w:space="0" w:color="auto"/>
        <w:bottom w:val="none" w:sz="0" w:space="0" w:color="auto"/>
        <w:right w:val="none" w:sz="0" w:space="0" w:color="auto"/>
      </w:divBdr>
    </w:div>
    <w:div w:id="1710569786">
      <w:bodyDiv w:val="1"/>
      <w:marLeft w:val="0"/>
      <w:marRight w:val="0"/>
      <w:marTop w:val="0"/>
      <w:marBottom w:val="0"/>
      <w:divBdr>
        <w:top w:val="none" w:sz="0" w:space="0" w:color="auto"/>
        <w:left w:val="none" w:sz="0" w:space="0" w:color="auto"/>
        <w:bottom w:val="none" w:sz="0" w:space="0" w:color="auto"/>
        <w:right w:val="none" w:sz="0" w:space="0" w:color="auto"/>
      </w:divBdr>
    </w:div>
    <w:div w:id="1711221090">
      <w:bodyDiv w:val="1"/>
      <w:marLeft w:val="0"/>
      <w:marRight w:val="0"/>
      <w:marTop w:val="0"/>
      <w:marBottom w:val="0"/>
      <w:divBdr>
        <w:top w:val="none" w:sz="0" w:space="0" w:color="auto"/>
        <w:left w:val="none" w:sz="0" w:space="0" w:color="auto"/>
        <w:bottom w:val="none" w:sz="0" w:space="0" w:color="auto"/>
        <w:right w:val="none" w:sz="0" w:space="0" w:color="auto"/>
      </w:divBdr>
    </w:div>
    <w:div w:id="1711686953">
      <w:bodyDiv w:val="1"/>
      <w:marLeft w:val="0"/>
      <w:marRight w:val="0"/>
      <w:marTop w:val="0"/>
      <w:marBottom w:val="0"/>
      <w:divBdr>
        <w:top w:val="none" w:sz="0" w:space="0" w:color="auto"/>
        <w:left w:val="none" w:sz="0" w:space="0" w:color="auto"/>
        <w:bottom w:val="none" w:sz="0" w:space="0" w:color="auto"/>
        <w:right w:val="none" w:sz="0" w:space="0" w:color="auto"/>
      </w:divBdr>
    </w:div>
    <w:div w:id="1713654547">
      <w:bodyDiv w:val="1"/>
      <w:marLeft w:val="0"/>
      <w:marRight w:val="0"/>
      <w:marTop w:val="0"/>
      <w:marBottom w:val="0"/>
      <w:divBdr>
        <w:top w:val="none" w:sz="0" w:space="0" w:color="auto"/>
        <w:left w:val="none" w:sz="0" w:space="0" w:color="auto"/>
        <w:bottom w:val="none" w:sz="0" w:space="0" w:color="auto"/>
        <w:right w:val="none" w:sz="0" w:space="0" w:color="auto"/>
      </w:divBdr>
    </w:div>
    <w:div w:id="1716662422">
      <w:bodyDiv w:val="1"/>
      <w:marLeft w:val="0"/>
      <w:marRight w:val="0"/>
      <w:marTop w:val="0"/>
      <w:marBottom w:val="0"/>
      <w:divBdr>
        <w:top w:val="none" w:sz="0" w:space="0" w:color="auto"/>
        <w:left w:val="none" w:sz="0" w:space="0" w:color="auto"/>
        <w:bottom w:val="none" w:sz="0" w:space="0" w:color="auto"/>
        <w:right w:val="none" w:sz="0" w:space="0" w:color="auto"/>
      </w:divBdr>
    </w:div>
    <w:div w:id="1717193966">
      <w:bodyDiv w:val="1"/>
      <w:marLeft w:val="0"/>
      <w:marRight w:val="0"/>
      <w:marTop w:val="0"/>
      <w:marBottom w:val="0"/>
      <w:divBdr>
        <w:top w:val="none" w:sz="0" w:space="0" w:color="auto"/>
        <w:left w:val="none" w:sz="0" w:space="0" w:color="auto"/>
        <w:bottom w:val="none" w:sz="0" w:space="0" w:color="auto"/>
        <w:right w:val="none" w:sz="0" w:space="0" w:color="auto"/>
      </w:divBdr>
    </w:div>
    <w:div w:id="1717974701">
      <w:bodyDiv w:val="1"/>
      <w:marLeft w:val="0"/>
      <w:marRight w:val="0"/>
      <w:marTop w:val="0"/>
      <w:marBottom w:val="0"/>
      <w:divBdr>
        <w:top w:val="none" w:sz="0" w:space="0" w:color="auto"/>
        <w:left w:val="none" w:sz="0" w:space="0" w:color="auto"/>
        <w:bottom w:val="none" w:sz="0" w:space="0" w:color="auto"/>
        <w:right w:val="none" w:sz="0" w:space="0" w:color="auto"/>
      </w:divBdr>
    </w:div>
    <w:div w:id="1720855689">
      <w:bodyDiv w:val="1"/>
      <w:marLeft w:val="0"/>
      <w:marRight w:val="0"/>
      <w:marTop w:val="0"/>
      <w:marBottom w:val="0"/>
      <w:divBdr>
        <w:top w:val="none" w:sz="0" w:space="0" w:color="auto"/>
        <w:left w:val="none" w:sz="0" w:space="0" w:color="auto"/>
        <w:bottom w:val="none" w:sz="0" w:space="0" w:color="auto"/>
        <w:right w:val="none" w:sz="0" w:space="0" w:color="auto"/>
      </w:divBdr>
    </w:div>
    <w:div w:id="1723600383">
      <w:bodyDiv w:val="1"/>
      <w:marLeft w:val="0"/>
      <w:marRight w:val="0"/>
      <w:marTop w:val="0"/>
      <w:marBottom w:val="0"/>
      <w:divBdr>
        <w:top w:val="none" w:sz="0" w:space="0" w:color="auto"/>
        <w:left w:val="none" w:sz="0" w:space="0" w:color="auto"/>
        <w:bottom w:val="none" w:sz="0" w:space="0" w:color="auto"/>
        <w:right w:val="none" w:sz="0" w:space="0" w:color="auto"/>
      </w:divBdr>
    </w:div>
    <w:div w:id="1724479300">
      <w:bodyDiv w:val="1"/>
      <w:marLeft w:val="0"/>
      <w:marRight w:val="0"/>
      <w:marTop w:val="0"/>
      <w:marBottom w:val="0"/>
      <w:divBdr>
        <w:top w:val="none" w:sz="0" w:space="0" w:color="auto"/>
        <w:left w:val="none" w:sz="0" w:space="0" w:color="auto"/>
        <w:bottom w:val="none" w:sz="0" w:space="0" w:color="auto"/>
        <w:right w:val="none" w:sz="0" w:space="0" w:color="auto"/>
      </w:divBdr>
    </w:div>
    <w:div w:id="1725251649">
      <w:bodyDiv w:val="1"/>
      <w:marLeft w:val="0"/>
      <w:marRight w:val="0"/>
      <w:marTop w:val="0"/>
      <w:marBottom w:val="0"/>
      <w:divBdr>
        <w:top w:val="none" w:sz="0" w:space="0" w:color="auto"/>
        <w:left w:val="none" w:sz="0" w:space="0" w:color="auto"/>
        <w:bottom w:val="none" w:sz="0" w:space="0" w:color="auto"/>
        <w:right w:val="none" w:sz="0" w:space="0" w:color="auto"/>
      </w:divBdr>
    </w:div>
    <w:div w:id="1726371888">
      <w:bodyDiv w:val="1"/>
      <w:marLeft w:val="0"/>
      <w:marRight w:val="0"/>
      <w:marTop w:val="0"/>
      <w:marBottom w:val="0"/>
      <w:divBdr>
        <w:top w:val="none" w:sz="0" w:space="0" w:color="auto"/>
        <w:left w:val="none" w:sz="0" w:space="0" w:color="auto"/>
        <w:bottom w:val="none" w:sz="0" w:space="0" w:color="auto"/>
        <w:right w:val="none" w:sz="0" w:space="0" w:color="auto"/>
      </w:divBdr>
    </w:div>
    <w:div w:id="1726638966">
      <w:bodyDiv w:val="1"/>
      <w:marLeft w:val="0"/>
      <w:marRight w:val="0"/>
      <w:marTop w:val="0"/>
      <w:marBottom w:val="0"/>
      <w:divBdr>
        <w:top w:val="none" w:sz="0" w:space="0" w:color="auto"/>
        <w:left w:val="none" w:sz="0" w:space="0" w:color="auto"/>
        <w:bottom w:val="none" w:sz="0" w:space="0" w:color="auto"/>
        <w:right w:val="none" w:sz="0" w:space="0" w:color="auto"/>
      </w:divBdr>
    </w:div>
    <w:div w:id="1727993223">
      <w:bodyDiv w:val="1"/>
      <w:marLeft w:val="0"/>
      <w:marRight w:val="0"/>
      <w:marTop w:val="0"/>
      <w:marBottom w:val="0"/>
      <w:divBdr>
        <w:top w:val="none" w:sz="0" w:space="0" w:color="auto"/>
        <w:left w:val="none" w:sz="0" w:space="0" w:color="auto"/>
        <w:bottom w:val="none" w:sz="0" w:space="0" w:color="auto"/>
        <w:right w:val="none" w:sz="0" w:space="0" w:color="auto"/>
      </w:divBdr>
    </w:div>
    <w:div w:id="1733695630">
      <w:bodyDiv w:val="1"/>
      <w:marLeft w:val="0"/>
      <w:marRight w:val="0"/>
      <w:marTop w:val="0"/>
      <w:marBottom w:val="0"/>
      <w:divBdr>
        <w:top w:val="none" w:sz="0" w:space="0" w:color="auto"/>
        <w:left w:val="none" w:sz="0" w:space="0" w:color="auto"/>
        <w:bottom w:val="none" w:sz="0" w:space="0" w:color="auto"/>
        <w:right w:val="none" w:sz="0" w:space="0" w:color="auto"/>
      </w:divBdr>
    </w:div>
    <w:div w:id="1735008021">
      <w:bodyDiv w:val="1"/>
      <w:marLeft w:val="0"/>
      <w:marRight w:val="0"/>
      <w:marTop w:val="0"/>
      <w:marBottom w:val="0"/>
      <w:divBdr>
        <w:top w:val="none" w:sz="0" w:space="0" w:color="auto"/>
        <w:left w:val="none" w:sz="0" w:space="0" w:color="auto"/>
        <w:bottom w:val="none" w:sz="0" w:space="0" w:color="auto"/>
        <w:right w:val="none" w:sz="0" w:space="0" w:color="auto"/>
      </w:divBdr>
    </w:div>
    <w:div w:id="1735161663">
      <w:bodyDiv w:val="1"/>
      <w:marLeft w:val="0"/>
      <w:marRight w:val="0"/>
      <w:marTop w:val="0"/>
      <w:marBottom w:val="0"/>
      <w:divBdr>
        <w:top w:val="none" w:sz="0" w:space="0" w:color="auto"/>
        <w:left w:val="none" w:sz="0" w:space="0" w:color="auto"/>
        <w:bottom w:val="none" w:sz="0" w:space="0" w:color="auto"/>
        <w:right w:val="none" w:sz="0" w:space="0" w:color="auto"/>
      </w:divBdr>
    </w:div>
    <w:div w:id="1736732227">
      <w:bodyDiv w:val="1"/>
      <w:marLeft w:val="0"/>
      <w:marRight w:val="0"/>
      <w:marTop w:val="0"/>
      <w:marBottom w:val="0"/>
      <w:divBdr>
        <w:top w:val="none" w:sz="0" w:space="0" w:color="auto"/>
        <w:left w:val="none" w:sz="0" w:space="0" w:color="auto"/>
        <w:bottom w:val="none" w:sz="0" w:space="0" w:color="auto"/>
        <w:right w:val="none" w:sz="0" w:space="0" w:color="auto"/>
      </w:divBdr>
    </w:div>
    <w:div w:id="1737312295">
      <w:bodyDiv w:val="1"/>
      <w:marLeft w:val="0"/>
      <w:marRight w:val="0"/>
      <w:marTop w:val="0"/>
      <w:marBottom w:val="0"/>
      <w:divBdr>
        <w:top w:val="none" w:sz="0" w:space="0" w:color="auto"/>
        <w:left w:val="none" w:sz="0" w:space="0" w:color="auto"/>
        <w:bottom w:val="none" w:sz="0" w:space="0" w:color="auto"/>
        <w:right w:val="none" w:sz="0" w:space="0" w:color="auto"/>
      </w:divBdr>
    </w:div>
    <w:div w:id="1737586572">
      <w:bodyDiv w:val="1"/>
      <w:marLeft w:val="0"/>
      <w:marRight w:val="0"/>
      <w:marTop w:val="0"/>
      <w:marBottom w:val="0"/>
      <w:divBdr>
        <w:top w:val="none" w:sz="0" w:space="0" w:color="auto"/>
        <w:left w:val="none" w:sz="0" w:space="0" w:color="auto"/>
        <w:bottom w:val="none" w:sz="0" w:space="0" w:color="auto"/>
        <w:right w:val="none" w:sz="0" w:space="0" w:color="auto"/>
      </w:divBdr>
    </w:div>
    <w:div w:id="1738360694">
      <w:bodyDiv w:val="1"/>
      <w:marLeft w:val="0"/>
      <w:marRight w:val="0"/>
      <w:marTop w:val="0"/>
      <w:marBottom w:val="0"/>
      <w:divBdr>
        <w:top w:val="none" w:sz="0" w:space="0" w:color="auto"/>
        <w:left w:val="none" w:sz="0" w:space="0" w:color="auto"/>
        <w:bottom w:val="none" w:sz="0" w:space="0" w:color="auto"/>
        <w:right w:val="none" w:sz="0" w:space="0" w:color="auto"/>
      </w:divBdr>
    </w:div>
    <w:div w:id="1742410073">
      <w:bodyDiv w:val="1"/>
      <w:marLeft w:val="0"/>
      <w:marRight w:val="0"/>
      <w:marTop w:val="0"/>
      <w:marBottom w:val="0"/>
      <w:divBdr>
        <w:top w:val="none" w:sz="0" w:space="0" w:color="auto"/>
        <w:left w:val="none" w:sz="0" w:space="0" w:color="auto"/>
        <w:bottom w:val="none" w:sz="0" w:space="0" w:color="auto"/>
        <w:right w:val="none" w:sz="0" w:space="0" w:color="auto"/>
      </w:divBdr>
    </w:div>
    <w:div w:id="1744599856">
      <w:bodyDiv w:val="1"/>
      <w:marLeft w:val="0"/>
      <w:marRight w:val="0"/>
      <w:marTop w:val="0"/>
      <w:marBottom w:val="0"/>
      <w:divBdr>
        <w:top w:val="none" w:sz="0" w:space="0" w:color="auto"/>
        <w:left w:val="none" w:sz="0" w:space="0" w:color="auto"/>
        <w:bottom w:val="none" w:sz="0" w:space="0" w:color="auto"/>
        <w:right w:val="none" w:sz="0" w:space="0" w:color="auto"/>
      </w:divBdr>
    </w:div>
    <w:div w:id="1746367769">
      <w:bodyDiv w:val="1"/>
      <w:marLeft w:val="0"/>
      <w:marRight w:val="0"/>
      <w:marTop w:val="0"/>
      <w:marBottom w:val="0"/>
      <w:divBdr>
        <w:top w:val="none" w:sz="0" w:space="0" w:color="auto"/>
        <w:left w:val="none" w:sz="0" w:space="0" w:color="auto"/>
        <w:bottom w:val="none" w:sz="0" w:space="0" w:color="auto"/>
        <w:right w:val="none" w:sz="0" w:space="0" w:color="auto"/>
      </w:divBdr>
    </w:div>
    <w:div w:id="1746757170">
      <w:bodyDiv w:val="1"/>
      <w:marLeft w:val="0"/>
      <w:marRight w:val="0"/>
      <w:marTop w:val="0"/>
      <w:marBottom w:val="0"/>
      <w:divBdr>
        <w:top w:val="none" w:sz="0" w:space="0" w:color="auto"/>
        <w:left w:val="none" w:sz="0" w:space="0" w:color="auto"/>
        <w:bottom w:val="none" w:sz="0" w:space="0" w:color="auto"/>
        <w:right w:val="none" w:sz="0" w:space="0" w:color="auto"/>
      </w:divBdr>
    </w:div>
    <w:div w:id="1751267234">
      <w:bodyDiv w:val="1"/>
      <w:marLeft w:val="0"/>
      <w:marRight w:val="0"/>
      <w:marTop w:val="0"/>
      <w:marBottom w:val="0"/>
      <w:divBdr>
        <w:top w:val="none" w:sz="0" w:space="0" w:color="auto"/>
        <w:left w:val="none" w:sz="0" w:space="0" w:color="auto"/>
        <w:bottom w:val="none" w:sz="0" w:space="0" w:color="auto"/>
        <w:right w:val="none" w:sz="0" w:space="0" w:color="auto"/>
      </w:divBdr>
    </w:div>
    <w:div w:id="1752579705">
      <w:bodyDiv w:val="1"/>
      <w:marLeft w:val="0"/>
      <w:marRight w:val="0"/>
      <w:marTop w:val="0"/>
      <w:marBottom w:val="0"/>
      <w:divBdr>
        <w:top w:val="none" w:sz="0" w:space="0" w:color="auto"/>
        <w:left w:val="none" w:sz="0" w:space="0" w:color="auto"/>
        <w:bottom w:val="none" w:sz="0" w:space="0" w:color="auto"/>
        <w:right w:val="none" w:sz="0" w:space="0" w:color="auto"/>
      </w:divBdr>
    </w:div>
    <w:div w:id="1754009951">
      <w:bodyDiv w:val="1"/>
      <w:marLeft w:val="0"/>
      <w:marRight w:val="0"/>
      <w:marTop w:val="0"/>
      <w:marBottom w:val="0"/>
      <w:divBdr>
        <w:top w:val="none" w:sz="0" w:space="0" w:color="auto"/>
        <w:left w:val="none" w:sz="0" w:space="0" w:color="auto"/>
        <w:bottom w:val="none" w:sz="0" w:space="0" w:color="auto"/>
        <w:right w:val="none" w:sz="0" w:space="0" w:color="auto"/>
      </w:divBdr>
    </w:div>
    <w:div w:id="1758091209">
      <w:bodyDiv w:val="1"/>
      <w:marLeft w:val="0"/>
      <w:marRight w:val="0"/>
      <w:marTop w:val="0"/>
      <w:marBottom w:val="0"/>
      <w:divBdr>
        <w:top w:val="none" w:sz="0" w:space="0" w:color="auto"/>
        <w:left w:val="none" w:sz="0" w:space="0" w:color="auto"/>
        <w:bottom w:val="none" w:sz="0" w:space="0" w:color="auto"/>
        <w:right w:val="none" w:sz="0" w:space="0" w:color="auto"/>
      </w:divBdr>
    </w:div>
    <w:div w:id="1761562591">
      <w:bodyDiv w:val="1"/>
      <w:marLeft w:val="0"/>
      <w:marRight w:val="0"/>
      <w:marTop w:val="0"/>
      <w:marBottom w:val="0"/>
      <w:divBdr>
        <w:top w:val="none" w:sz="0" w:space="0" w:color="auto"/>
        <w:left w:val="none" w:sz="0" w:space="0" w:color="auto"/>
        <w:bottom w:val="none" w:sz="0" w:space="0" w:color="auto"/>
        <w:right w:val="none" w:sz="0" w:space="0" w:color="auto"/>
      </w:divBdr>
    </w:div>
    <w:div w:id="1762876001">
      <w:bodyDiv w:val="1"/>
      <w:marLeft w:val="0"/>
      <w:marRight w:val="0"/>
      <w:marTop w:val="0"/>
      <w:marBottom w:val="0"/>
      <w:divBdr>
        <w:top w:val="none" w:sz="0" w:space="0" w:color="auto"/>
        <w:left w:val="none" w:sz="0" w:space="0" w:color="auto"/>
        <w:bottom w:val="none" w:sz="0" w:space="0" w:color="auto"/>
        <w:right w:val="none" w:sz="0" w:space="0" w:color="auto"/>
      </w:divBdr>
    </w:div>
    <w:div w:id="1764455058">
      <w:bodyDiv w:val="1"/>
      <w:marLeft w:val="0"/>
      <w:marRight w:val="0"/>
      <w:marTop w:val="0"/>
      <w:marBottom w:val="0"/>
      <w:divBdr>
        <w:top w:val="none" w:sz="0" w:space="0" w:color="auto"/>
        <w:left w:val="none" w:sz="0" w:space="0" w:color="auto"/>
        <w:bottom w:val="none" w:sz="0" w:space="0" w:color="auto"/>
        <w:right w:val="none" w:sz="0" w:space="0" w:color="auto"/>
      </w:divBdr>
    </w:div>
    <w:div w:id="1771507756">
      <w:bodyDiv w:val="1"/>
      <w:marLeft w:val="0"/>
      <w:marRight w:val="0"/>
      <w:marTop w:val="0"/>
      <w:marBottom w:val="0"/>
      <w:divBdr>
        <w:top w:val="none" w:sz="0" w:space="0" w:color="auto"/>
        <w:left w:val="none" w:sz="0" w:space="0" w:color="auto"/>
        <w:bottom w:val="none" w:sz="0" w:space="0" w:color="auto"/>
        <w:right w:val="none" w:sz="0" w:space="0" w:color="auto"/>
      </w:divBdr>
    </w:div>
    <w:div w:id="1771774113">
      <w:bodyDiv w:val="1"/>
      <w:marLeft w:val="0"/>
      <w:marRight w:val="0"/>
      <w:marTop w:val="0"/>
      <w:marBottom w:val="0"/>
      <w:divBdr>
        <w:top w:val="none" w:sz="0" w:space="0" w:color="auto"/>
        <w:left w:val="none" w:sz="0" w:space="0" w:color="auto"/>
        <w:bottom w:val="none" w:sz="0" w:space="0" w:color="auto"/>
        <w:right w:val="none" w:sz="0" w:space="0" w:color="auto"/>
      </w:divBdr>
    </w:div>
    <w:div w:id="1772044284">
      <w:bodyDiv w:val="1"/>
      <w:marLeft w:val="0"/>
      <w:marRight w:val="0"/>
      <w:marTop w:val="0"/>
      <w:marBottom w:val="0"/>
      <w:divBdr>
        <w:top w:val="none" w:sz="0" w:space="0" w:color="auto"/>
        <w:left w:val="none" w:sz="0" w:space="0" w:color="auto"/>
        <w:bottom w:val="none" w:sz="0" w:space="0" w:color="auto"/>
        <w:right w:val="none" w:sz="0" w:space="0" w:color="auto"/>
      </w:divBdr>
    </w:div>
    <w:div w:id="1772969446">
      <w:bodyDiv w:val="1"/>
      <w:marLeft w:val="0"/>
      <w:marRight w:val="0"/>
      <w:marTop w:val="0"/>
      <w:marBottom w:val="0"/>
      <w:divBdr>
        <w:top w:val="none" w:sz="0" w:space="0" w:color="auto"/>
        <w:left w:val="none" w:sz="0" w:space="0" w:color="auto"/>
        <w:bottom w:val="none" w:sz="0" w:space="0" w:color="auto"/>
        <w:right w:val="none" w:sz="0" w:space="0" w:color="auto"/>
      </w:divBdr>
    </w:div>
    <w:div w:id="1774285037">
      <w:bodyDiv w:val="1"/>
      <w:marLeft w:val="0"/>
      <w:marRight w:val="0"/>
      <w:marTop w:val="0"/>
      <w:marBottom w:val="0"/>
      <w:divBdr>
        <w:top w:val="none" w:sz="0" w:space="0" w:color="auto"/>
        <w:left w:val="none" w:sz="0" w:space="0" w:color="auto"/>
        <w:bottom w:val="none" w:sz="0" w:space="0" w:color="auto"/>
        <w:right w:val="none" w:sz="0" w:space="0" w:color="auto"/>
      </w:divBdr>
    </w:div>
    <w:div w:id="1774746104">
      <w:bodyDiv w:val="1"/>
      <w:marLeft w:val="0"/>
      <w:marRight w:val="0"/>
      <w:marTop w:val="0"/>
      <w:marBottom w:val="0"/>
      <w:divBdr>
        <w:top w:val="none" w:sz="0" w:space="0" w:color="auto"/>
        <w:left w:val="none" w:sz="0" w:space="0" w:color="auto"/>
        <w:bottom w:val="none" w:sz="0" w:space="0" w:color="auto"/>
        <w:right w:val="none" w:sz="0" w:space="0" w:color="auto"/>
      </w:divBdr>
      <w:divsChild>
        <w:div w:id="1789658051">
          <w:marLeft w:val="547"/>
          <w:marRight w:val="0"/>
          <w:marTop w:val="0"/>
          <w:marBottom w:val="0"/>
          <w:divBdr>
            <w:top w:val="none" w:sz="0" w:space="0" w:color="auto"/>
            <w:left w:val="none" w:sz="0" w:space="0" w:color="auto"/>
            <w:bottom w:val="none" w:sz="0" w:space="0" w:color="auto"/>
            <w:right w:val="none" w:sz="0" w:space="0" w:color="auto"/>
          </w:divBdr>
        </w:div>
      </w:divsChild>
    </w:div>
    <w:div w:id="1775008354">
      <w:bodyDiv w:val="1"/>
      <w:marLeft w:val="0"/>
      <w:marRight w:val="0"/>
      <w:marTop w:val="0"/>
      <w:marBottom w:val="0"/>
      <w:divBdr>
        <w:top w:val="none" w:sz="0" w:space="0" w:color="auto"/>
        <w:left w:val="none" w:sz="0" w:space="0" w:color="auto"/>
        <w:bottom w:val="none" w:sz="0" w:space="0" w:color="auto"/>
        <w:right w:val="none" w:sz="0" w:space="0" w:color="auto"/>
      </w:divBdr>
    </w:div>
    <w:div w:id="1780371265">
      <w:bodyDiv w:val="1"/>
      <w:marLeft w:val="0"/>
      <w:marRight w:val="0"/>
      <w:marTop w:val="0"/>
      <w:marBottom w:val="0"/>
      <w:divBdr>
        <w:top w:val="none" w:sz="0" w:space="0" w:color="auto"/>
        <w:left w:val="none" w:sz="0" w:space="0" w:color="auto"/>
        <w:bottom w:val="none" w:sz="0" w:space="0" w:color="auto"/>
        <w:right w:val="none" w:sz="0" w:space="0" w:color="auto"/>
      </w:divBdr>
    </w:div>
    <w:div w:id="1781532414">
      <w:bodyDiv w:val="1"/>
      <w:marLeft w:val="0"/>
      <w:marRight w:val="0"/>
      <w:marTop w:val="0"/>
      <w:marBottom w:val="0"/>
      <w:divBdr>
        <w:top w:val="none" w:sz="0" w:space="0" w:color="auto"/>
        <w:left w:val="none" w:sz="0" w:space="0" w:color="auto"/>
        <w:bottom w:val="none" w:sz="0" w:space="0" w:color="auto"/>
        <w:right w:val="none" w:sz="0" w:space="0" w:color="auto"/>
      </w:divBdr>
    </w:div>
    <w:div w:id="1785730322">
      <w:bodyDiv w:val="1"/>
      <w:marLeft w:val="0"/>
      <w:marRight w:val="0"/>
      <w:marTop w:val="0"/>
      <w:marBottom w:val="0"/>
      <w:divBdr>
        <w:top w:val="none" w:sz="0" w:space="0" w:color="auto"/>
        <w:left w:val="none" w:sz="0" w:space="0" w:color="auto"/>
        <w:bottom w:val="none" w:sz="0" w:space="0" w:color="auto"/>
        <w:right w:val="none" w:sz="0" w:space="0" w:color="auto"/>
      </w:divBdr>
    </w:div>
    <w:div w:id="1785803339">
      <w:bodyDiv w:val="1"/>
      <w:marLeft w:val="0"/>
      <w:marRight w:val="0"/>
      <w:marTop w:val="0"/>
      <w:marBottom w:val="0"/>
      <w:divBdr>
        <w:top w:val="none" w:sz="0" w:space="0" w:color="auto"/>
        <w:left w:val="none" w:sz="0" w:space="0" w:color="auto"/>
        <w:bottom w:val="none" w:sz="0" w:space="0" w:color="auto"/>
        <w:right w:val="none" w:sz="0" w:space="0" w:color="auto"/>
      </w:divBdr>
    </w:div>
    <w:div w:id="1786196237">
      <w:bodyDiv w:val="1"/>
      <w:marLeft w:val="0"/>
      <w:marRight w:val="0"/>
      <w:marTop w:val="0"/>
      <w:marBottom w:val="0"/>
      <w:divBdr>
        <w:top w:val="none" w:sz="0" w:space="0" w:color="auto"/>
        <w:left w:val="none" w:sz="0" w:space="0" w:color="auto"/>
        <w:bottom w:val="none" w:sz="0" w:space="0" w:color="auto"/>
        <w:right w:val="none" w:sz="0" w:space="0" w:color="auto"/>
      </w:divBdr>
    </w:div>
    <w:div w:id="1791901141">
      <w:bodyDiv w:val="1"/>
      <w:marLeft w:val="0"/>
      <w:marRight w:val="0"/>
      <w:marTop w:val="0"/>
      <w:marBottom w:val="0"/>
      <w:divBdr>
        <w:top w:val="none" w:sz="0" w:space="0" w:color="auto"/>
        <w:left w:val="none" w:sz="0" w:space="0" w:color="auto"/>
        <w:bottom w:val="none" w:sz="0" w:space="0" w:color="auto"/>
        <w:right w:val="none" w:sz="0" w:space="0" w:color="auto"/>
      </w:divBdr>
    </w:div>
    <w:div w:id="1792360576">
      <w:bodyDiv w:val="1"/>
      <w:marLeft w:val="0"/>
      <w:marRight w:val="0"/>
      <w:marTop w:val="0"/>
      <w:marBottom w:val="0"/>
      <w:divBdr>
        <w:top w:val="none" w:sz="0" w:space="0" w:color="auto"/>
        <w:left w:val="none" w:sz="0" w:space="0" w:color="auto"/>
        <w:bottom w:val="none" w:sz="0" w:space="0" w:color="auto"/>
        <w:right w:val="none" w:sz="0" w:space="0" w:color="auto"/>
      </w:divBdr>
    </w:div>
    <w:div w:id="1792477148">
      <w:bodyDiv w:val="1"/>
      <w:marLeft w:val="0"/>
      <w:marRight w:val="0"/>
      <w:marTop w:val="0"/>
      <w:marBottom w:val="0"/>
      <w:divBdr>
        <w:top w:val="none" w:sz="0" w:space="0" w:color="auto"/>
        <w:left w:val="none" w:sz="0" w:space="0" w:color="auto"/>
        <w:bottom w:val="none" w:sz="0" w:space="0" w:color="auto"/>
        <w:right w:val="none" w:sz="0" w:space="0" w:color="auto"/>
      </w:divBdr>
    </w:div>
    <w:div w:id="1792506574">
      <w:bodyDiv w:val="1"/>
      <w:marLeft w:val="0"/>
      <w:marRight w:val="0"/>
      <w:marTop w:val="0"/>
      <w:marBottom w:val="0"/>
      <w:divBdr>
        <w:top w:val="none" w:sz="0" w:space="0" w:color="auto"/>
        <w:left w:val="none" w:sz="0" w:space="0" w:color="auto"/>
        <w:bottom w:val="none" w:sz="0" w:space="0" w:color="auto"/>
        <w:right w:val="none" w:sz="0" w:space="0" w:color="auto"/>
      </w:divBdr>
    </w:div>
    <w:div w:id="1793131485">
      <w:bodyDiv w:val="1"/>
      <w:marLeft w:val="0"/>
      <w:marRight w:val="0"/>
      <w:marTop w:val="0"/>
      <w:marBottom w:val="0"/>
      <w:divBdr>
        <w:top w:val="none" w:sz="0" w:space="0" w:color="auto"/>
        <w:left w:val="none" w:sz="0" w:space="0" w:color="auto"/>
        <w:bottom w:val="none" w:sz="0" w:space="0" w:color="auto"/>
        <w:right w:val="none" w:sz="0" w:space="0" w:color="auto"/>
      </w:divBdr>
    </w:div>
    <w:div w:id="1794517258">
      <w:bodyDiv w:val="1"/>
      <w:marLeft w:val="0"/>
      <w:marRight w:val="0"/>
      <w:marTop w:val="0"/>
      <w:marBottom w:val="0"/>
      <w:divBdr>
        <w:top w:val="none" w:sz="0" w:space="0" w:color="auto"/>
        <w:left w:val="none" w:sz="0" w:space="0" w:color="auto"/>
        <w:bottom w:val="none" w:sz="0" w:space="0" w:color="auto"/>
        <w:right w:val="none" w:sz="0" w:space="0" w:color="auto"/>
      </w:divBdr>
    </w:div>
    <w:div w:id="1797017233">
      <w:bodyDiv w:val="1"/>
      <w:marLeft w:val="0"/>
      <w:marRight w:val="0"/>
      <w:marTop w:val="0"/>
      <w:marBottom w:val="0"/>
      <w:divBdr>
        <w:top w:val="none" w:sz="0" w:space="0" w:color="auto"/>
        <w:left w:val="none" w:sz="0" w:space="0" w:color="auto"/>
        <w:bottom w:val="none" w:sz="0" w:space="0" w:color="auto"/>
        <w:right w:val="none" w:sz="0" w:space="0" w:color="auto"/>
      </w:divBdr>
    </w:div>
    <w:div w:id="1797867886">
      <w:bodyDiv w:val="1"/>
      <w:marLeft w:val="0"/>
      <w:marRight w:val="0"/>
      <w:marTop w:val="0"/>
      <w:marBottom w:val="0"/>
      <w:divBdr>
        <w:top w:val="none" w:sz="0" w:space="0" w:color="auto"/>
        <w:left w:val="none" w:sz="0" w:space="0" w:color="auto"/>
        <w:bottom w:val="none" w:sz="0" w:space="0" w:color="auto"/>
        <w:right w:val="none" w:sz="0" w:space="0" w:color="auto"/>
      </w:divBdr>
    </w:div>
    <w:div w:id="1798793160">
      <w:bodyDiv w:val="1"/>
      <w:marLeft w:val="0"/>
      <w:marRight w:val="0"/>
      <w:marTop w:val="0"/>
      <w:marBottom w:val="0"/>
      <w:divBdr>
        <w:top w:val="none" w:sz="0" w:space="0" w:color="auto"/>
        <w:left w:val="none" w:sz="0" w:space="0" w:color="auto"/>
        <w:bottom w:val="none" w:sz="0" w:space="0" w:color="auto"/>
        <w:right w:val="none" w:sz="0" w:space="0" w:color="auto"/>
      </w:divBdr>
    </w:div>
    <w:div w:id="1803497270">
      <w:bodyDiv w:val="1"/>
      <w:marLeft w:val="0"/>
      <w:marRight w:val="0"/>
      <w:marTop w:val="0"/>
      <w:marBottom w:val="0"/>
      <w:divBdr>
        <w:top w:val="none" w:sz="0" w:space="0" w:color="auto"/>
        <w:left w:val="none" w:sz="0" w:space="0" w:color="auto"/>
        <w:bottom w:val="none" w:sz="0" w:space="0" w:color="auto"/>
        <w:right w:val="none" w:sz="0" w:space="0" w:color="auto"/>
      </w:divBdr>
    </w:div>
    <w:div w:id="1804730719">
      <w:bodyDiv w:val="1"/>
      <w:marLeft w:val="0"/>
      <w:marRight w:val="0"/>
      <w:marTop w:val="0"/>
      <w:marBottom w:val="0"/>
      <w:divBdr>
        <w:top w:val="none" w:sz="0" w:space="0" w:color="auto"/>
        <w:left w:val="none" w:sz="0" w:space="0" w:color="auto"/>
        <w:bottom w:val="none" w:sz="0" w:space="0" w:color="auto"/>
        <w:right w:val="none" w:sz="0" w:space="0" w:color="auto"/>
      </w:divBdr>
    </w:div>
    <w:div w:id="1805729643">
      <w:bodyDiv w:val="1"/>
      <w:marLeft w:val="0"/>
      <w:marRight w:val="0"/>
      <w:marTop w:val="0"/>
      <w:marBottom w:val="0"/>
      <w:divBdr>
        <w:top w:val="none" w:sz="0" w:space="0" w:color="auto"/>
        <w:left w:val="none" w:sz="0" w:space="0" w:color="auto"/>
        <w:bottom w:val="none" w:sz="0" w:space="0" w:color="auto"/>
        <w:right w:val="none" w:sz="0" w:space="0" w:color="auto"/>
      </w:divBdr>
    </w:div>
    <w:div w:id="1806241064">
      <w:bodyDiv w:val="1"/>
      <w:marLeft w:val="0"/>
      <w:marRight w:val="0"/>
      <w:marTop w:val="0"/>
      <w:marBottom w:val="0"/>
      <w:divBdr>
        <w:top w:val="none" w:sz="0" w:space="0" w:color="auto"/>
        <w:left w:val="none" w:sz="0" w:space="0" w:color="auto"/>
        <w:bottom w:val="none" w:sz="0" w:space="0" w:color="auto"/>
        <w:right w:val="none" w:sz="0" w:space="0" w:color="auto"/>
      </w:divBdr>
    </w:div>
    <w:div w:id="1811170750">
      <w:bodyDiv w:val="1"/>
      <w:marLeft w:val="0"/>
      <w:marRight w:val="0"/>
      <w:marTop w:val="0"/>
      <w:marBottom w:val="0"/>
      <w:divBdr>
        <w:top w:val="none" w:sz="0" w:space="0" w:color="auto"/>
        <w:left w:val="none" w:sz="0" w:space="0" w:color="auto"/>
        <w:bottom w:val="none" w:sz="0" w:space="0" w:color="auto"/>
        <w:right w:val="none" w:sz="0" w:space="0" w:color="auto"/>
      </w:divBdr>
    </w:div>
    <w:div w:id="1812285222">
      <w:bodyDiv w:val="1"/>
      <w:marLeft w:val="0"/>
      <w:marRight w:val="0"/>
      <w:marTop w:val="0"/>
      <w:marBottom w:val="0"/>
      <w:divBdr>
        <w:top w:val="none" w:sz="0" w:space="0" w:color="auto"/>
        <w:left w:val="none" w:sz="0" w:space="0" w:color="auto"/>
        <w:bottom w:val="none" w:sz="0" w:space="0" w:color="auto"/>
        <w:right w:val="none" w:sz="0" w:space="0" w:color="auto"/>
      </w:divBdr>
    </w:div>
    <w:div w:id="1815952938">
      <w:bodyDiv w:val="1"/>
      <w:marLeft w:val="0"/>
      <w:marRight w:val="0"/>
      <w:marTop w:val="0"/>
      <w:marBottom w:val="0"/>
      <w:divBdr>
        <w:top w:val="none" w:sz="0" w:space="0" w:color="auto"/>
        <w:left w:val="none" w:sz="0" w:space="0" w:color="auto"/>
        <w:bottom w:val="none" w:sz="0" w:space="0" w:color="auto"/>
        <w:right w:val="none" w:sz="0" w:space="0" w:color="auto"/>
      </w:divBdr>
    </w:div>
    <w:div w:id="1816415623">
      <w:bodyDiv w:val="1"/>
      <w:marLeft w:val="0"/>
      <w:marRight w:val="0"/>
      <w:marTop w:val="0"/>
      <w:marBottom w:val="0"/>
      <w:divBdr>
        <w:top w:val="none" w:sz="0" w:space="0" w:color="auto"/>
        <w:left w:val="none" w:sz="0" w:space="0" w:color="auto"/>
        <w:bottom w:val="none" w:sz="0" w:space="0" w:color="auto"/>
        <w:right w:val="none" w:sz="0" w:space="0" w:color="auto"/>
      </w:divBdr>
    </w:div>
    <w:div w:id="1821533187">
      <w:bodyDiv w:val="1"/>
      <w:marLeft w:val="0"/>
      <w:marRight w:val="0"/>
      <w:marTop w:val="0"/>
      <w:marBottom w:val="0"/>
      <w:divBdr>
        <w:top w:val="none" w:sz="0" w:space="0" w:color="auto"/>
        <w:left w:val="none" w:sz="0" w:space="0" w:color="auto"/>
        <w:bottom w:val="none" w:sz="0" w:space="0" w:color="auto"/>
        <w:right w:val="none" w:sz="0" w:space="0" w:color="auto"/>
      </w:divBdr>
    </w:div>
    <w:div w:id="1826192775">
      <w:bodyDiv w:val="1"/>
      <w:marLeft w:val="0"/>
      <w:marRight w:val="0"/>
      <w:marTop w:val="0"/>
      <w:marBottom w:val="0"/>
      <w:divBdr>
        <w:top w:val="none" w:sz="0" w:space="0" w:color="auto"/>
        <w:left w:val="none" w:sz="0" w:space="0" w:color="auto"/>
        <w:bottom w:val="none" w:sz="0" w:space="0" w:color="auto"/>
        <w:right w:val="none" w:sz="0" w:space="0" w:color="auto"/>
      </w:divBdr>
    </w:div>
    <w:div w:id="1827356695">
      <w:bodyDiv w:val="1"/>
      <w:marLeft w:val="0"/>
      <w:marRight w:val="0"/>
      <w:marTop w:val="0"/>
      <w:marBottom w:val="0"/>
      <w:divBdr>
        <w:top w:val="none" w:sz="0" w:space="0" w:color="auto"/>
        <w:left w:val="none" w:sz="0" w:space="0" w:color="auto"/>
        <w:bottom w:val="none" w:sz="0" w:space="0" w:color="auto"/>
        <w:right w:val="none" w:sz="0" w:space="0" w:color="auto"/>
      </w:divBdr>
    </w:div>
    <w:div w:id="1827549543">
      <w:bodyDiv w:val="1"/>
      <w:marLeft w:val="0"/>
      <w:marRight w:val="0"/>
      <w:marTop w:val="0"/>
      <w:marBottom w:val="0"/>
      <w:divBdr>
        <w:top w:val="none" w:sz="0" w:space="0" w:color="auto"/>
        <w:left w:val="none" w:sz="0" w:space="0" w:color="auto"/>
        <w:bottom w:val="none" w:sz="0" w:space="0" w:color="auto"/>
        <w:right w:val="none" w:sz="0" w:space="0" w:color="auto"/>
      </w:divBdr>
    </w:div>
    <w:div w:id="1833713151">
      <w:bodyDiv w:val="1"/>
      <w:marLeft w:val="0"/>
      <w:marRight w:val="0"/>
      <w:marTop w:val="0"/>
      <w:marBottom w:val="0"/>
      <w:divBdr>
        <w:top w:val="none" w:sz="0" w:space="0" w:color="auto"/>
        <w:left w:val="none" w:sz="0" w:space="0" w:color="auto"/>
        <w:bottom w:val="none" w:sz="0" w:space="0" w:color="auto"/>
        <w:right w:val="none" w:sz="0" w:space="0" w:color="auto"/>
      </w:divBdr>
    </w:div>
    <w:div w:id="1836527374">
      <w:bodyDiv w:val="1"/>
      <w:marLeft w:val="0"/>
      <w:marRight w:val="0"/>
      <w:marTop w:val="0"/>
      <w:marBottom w:val="0"/>
      <w:divBdr>
        <w:top w:val="none" w:sz="0" w:space="0" w:color="auto"/>
        <w:left w:val="none" w:sz="0" w:space="0" w:color="auto"/>
        <w:bottom w:val="none" w:sz="0" w:space="0" w:color="auto"/>
        <w:right w:val="none" w:sz="0" w:space="0" w:color="auto"/>
      </w:divBdr>
    </w:div>
    <w:div w:id="1836922134">
      <w:bodyDiv w:val="1"/>
      <w:marLeft w:val="0"/>
      <w:marRight w:val="0"/>
      <w:marTop w:val="0"/>
      <w:marBottom w:val="0"/>
      <w:divBdr>
        <w:top w:val="none" w:sz="0" w:space="0" w:color="auto"/>
        <w:left w:val="none" w:sz="0" w:space="0" w:color="auto"/>
        <w:bottom w:val="none" w:sz="0" w:space="0" w:color="auto"/>
        <w:right w:val="none" w:sz="0" w:space="0" w:color="auto"/>
      </w:divBdr>
    </w:div>
    <w:div w:id="1837959758">
      <w:bodyDiv w:val="1"/>
      <w:marLeft w:val="0"/>
      <w:marRight w:val="0"/>
      <w:marTop w:val="0"/>
      <w:marBottom w:val="0"/>
      <w:divBdr>
        <w:top w:val="none" w:sz="0" w:space="0" w:color="auto"/>
        <w:left w:val="none" w:sz="0" w:space="0" w:color="auto"/>
        <w:bottom w:val="none" w:sz="0" w:space="0" w:color="auto"/>
        <w:right w:val="none" w:sz="0" w:space="0" w:color="auto"/>
      </w:divBdr>
    </w:div>
    <w:div w:id="1838572672">
      <w:bodyDiv w:val="1"/>
      <w:marLeft w:val="0"/>
      <w:marRight w:val="0"/>
      <w:marTop w:val="0"/>
      <w:marBottom w:val="0"/>
      <w:divBdr>
        <w:top w:val="none" w:sz="0" w:space="0" w:color="auto"/>
        <w:left w:val="none" w:sz="0" w:space="0" w:color="auto"/>
        <w:bottom w:val="none" w:sz="0" w:space="0" w:color="auto"/>
        <w:right w:val="none" w:sz="0" w:space="0" w:color="auto"/>
      </w:divBdr>
    </w:div>
    <w:div w:id="1839273031">
      <w:bodyDiv w:val="1"/>
      <w:marLeft w:val="0"/>
      <w:marRight w:val="0"/>
      <w:marTop w:val="0"/>
      <w:marBottom w:val="0"/>
      <w:divBdr>
        <w:top w:val="none" w:sz="0" w:space="0" w:color="auto"/>
        <w:left w:val="none" w:sz="0" w:space="0" w:color="auto"/>
        <w:bottom w:val="none" w:sz="0" w:space="0" w:color="auto"/>
        <w:right w:val="none" w:sz="0" w:space="0" w:color="auto"/>
      </w:divBdr>
    </w:div>
    <w:div w:id="1840660107">
      <w:bodyDiv w:val="1"/>
      <w:marLeft w:val="0"/>
      <w:marRight w:val="0"/>
      <w:marTop w:val="0"/>
      <w:marBottom w:val="0"/>
      <w:divBdr>
        <w:top w:val="none" w:sz="0" w:space="0" w:color="auto"/>
        <w:left w:val="none" w:sz="0" w:space="0" w:color="auto"/>
        <w:bottom w:val="none" w:sz="0" w:space="0" w:color="auto"/>
        <w:right w:val="none" w:sz="0" w:space="0" w:color="auto"/>
      </w:divBdr>
    </w:div>
    <w:div w:id="1842501550">
      <w:bodyDiv w:val="1"/>
      <w:marLeft w:val="0"/>
      <w:marRight w:val="0"/>
      <w:marTop w:val="0"/>
      <w:marBottom w:val="0"/>
      <w:divBdr>
        <w:top w:val="none" w:sz="0" w:space="0" w:color="auto"/>
        <w:left w:val="none" w:sz="0" w:space="0" w:color="auto"/>
        <w:bottom w:val="none" w:sz="0" w:space="0" w:color="auto"/>
        <w:right w:val="none" w:sz="0" w:space="0" w:color="auto"/>
      </w:divBdr>
    </w:div>
    <w:div w:id="1843353544">
      <w:bodyDiv w:val="1"/>
      <w:marLeft w:val="0"/>
      <w:marRight w:val="0"/>
      <w:marTop w:val="0"/>
      <w:marBottom w:val="0"/>
      <w:divBdr>
        <w:top w:val="none" w:sz="0" w:space="0" w:color="auto"/>
        <w:left w:val="none" w:sz="0" w:space="0" w:color="auto"/>
        <w:bottom w:val="none" w:sz="0" w:space="0" w:color="auto"/>
        <w:right w:val="none" w:sz="0" w:space="0" w:color="auto"/>
      </w:divBdr>
    </w:div>
    <w:div w:id="1843546836">
      <w:bodyDiv w:val="1"/>
      <w:marLeft w:val="0"/>
      <w:marRight w:val="0"/>
      <w:marTop w:val="0"/>
      <w:marBottom w:val="0"/>
      <w:divBdr>
        <w:top w:val="none" w:sz="0" w:space="0" w:color="auto"/>
        <w:left w:val="none" w:sz="0" w:space="0" w:color="auto"/>
        <w:bottom w:val="none" w:sz="0" w:space="0" w:color="auto"/>
        <w:right w:val="none" w:sz="0" w:space="0" w:color="auto"/>
      </w:divBdr>
    </w:div>
    <w:div w:id="1844470708">
      <w:bodyDiv w:val="1"/>
      <w:marLeft w:val="0"/>
      <w:marRight w:val="0"/>
      <w:marTop w:val="0"/>
      <w:marBottom w:val="0"/>
      <w:divBdr>
        <w:top w:val="none" w:sz="0" w:space="0" w:color="auto"/>
        <w:left w:val="none" w:sz="0" w:space="0" w:color="auto"/>
        <w:bottom w:val="none" w:sz="0" w:space="0" w:color="auto"/>
        <w:right w:val="none" w:sz="0" w:space="0" w:color="auto"/>
      </w:divBdr>
    </w:div>
    <w:div w:id="1844659922">
      <w:bodyDiv w:val="1"/>
      <w:marLeft w:val="0"/>
      <w:marRight w:val="0"/>
      <w:marTop w:val="0"/>
      <w:marBottom w:val="0"/>
      <w:divBdr>
        <w:top w:val="none" w:sz="0" w:space="0" w:color="auto"/>
        <w:left w:val="none" w:sz="0" w:space="0" w:color="auto"/>
        <w:bottom w:val="none" w:sz="0" w:space="0" w:color="auto"/>
        <w:right w:val="none" w:sz="0" w:space="0" w:color="auto"/>
      </w:divBdr>
    </w:div>
    <w:div w:id="1846434918">
      <w:bodyDiv w:val="1"/>
      <w:marLeft w:val="0"/>
      <w:marRight w:val="0"/>
      <w:marTop w:val="0"/>
      <w:marBottom w:val="0"/>
      <w:divBdr>
        <w:top w:val="none" w:sz="0" w:space="0" w:color="auto"/>
        <w:left w:val="none" w:sz="0" w:space="0" w:color="auto"/>
        <w:bottom w:val="none" w:sz="0" w:space="0" w:color="auto"/>
        <w:right w:val="none" w:sz="0" w:space="0" w:color="auto"/>
      </w:divBdr>
    </w:div>
    <w:div w:id="1848713941">
      <w:bodyDiv w:val="1"/>
      <w:marLeft w:val="0"/>
      <w:marRight w:val="0"/>
      <w:marTop w:val="0"/>
      <w:marBottom w:val="0"/>
      <w:divBdr>
        <w:top w:val="none" w:sz="0" w:space="0" w:color="auto"/>
        <w:left w:val="none" w:sz="0" w:space="0" w:color="auto"/>
        <w:bottom w:val="none" w:sz="0" w:space="0" w:color="auto"/>
        <w:right w:val="none" w:sz="0" w:space="0" w:color="auto"/>
      </w:divBdr>
    </w:div>
    <w:div w:id="1851093822">
      <w:bodyDiv w:val="1"/>
      <w:marLeft w:val="0"/>
      <w:marRight w:val="0"/>
      <w:marTop w:val="0"/>
      <w:marBottom w:val="0"/>
      <w:divBdr>
        <w:top w:val="none" w:sz="0" w:space="0" w:color="auto"/>
        <w:left w:val="none" w:sz="0" w:space="0" w:color="auto"/>
        <w:bottom w:val="none" w:sz="0" w:space="0" w:color="auto"/>
        <w:right w:val="none" w:sz="0" w:space="0" w:color="auto"/>
      </w:divBdr>
    </w:div>
    <w:div w:id="1854758024">
      <w:bodyDiv w:val="1"/>
      <w:marLeft w:val="0"/>
      <w:marRight w:val="0"/>
      <w:marTop w:val="0"/>
      <w:marBottom w:val="0"/>
      <w:divBdr>
        <w:top w:val="none" w:sz="0" w:space="0" w:color="auto"/>
        <w:left w:val="none" w:sz="0" w:space="0" w:color="auto"/>
        <w:bottom w:val="none" w:sz="0" w:space="0" w:color="auto"/>
        <w:right w:val="none" w:sz="0" w:space="0" w:color="auto"/>
      </w:divBdr>
    </w:div>
    <w:div w:id="1855802280">
      <w:bodyDiv w:val="1"/>
      <w:marLeft w:val="0"/>
      <w:marRight w:val="0"/>
      <w:marTop w:val="0"/>
      <w:marBottom w:val="0"/>
      <w:divBdr>
        <w:top w:val="none" w:sz="0" w:space="0" w:color="auto"/>
        <w:left w:val="none" w:sz="0" w:space="0" w:color="auto"/>
        <w:bottom w:val="none" w:sz="0" w:space="0" w:color="auto"/>
        <w:right w:val="none" w:sz="0" w:space="0" w:color="auto"/>
      </w:divBdr>
    </w:div>
    <w:div w:id="1856654119">
      <w:bodyDiv w:val="1"/>
      <w:marLeft w:val="0"/>
      <w:marRight w:val="0"/>
      <w:marTop w:val="0"/>
      <w:marBottom w:val="0"/>
      <w:divBdr>
        <w:top w:val="none" w:sz="0" w:space="0" w:color="auto"/>
        <w:left w:val="none" w:sz="0" w:space="0" w:color="auto"/>
        <w:bottom w:val="none" w:sz="0" w:space="0" w:color="auto"/>
        <w:right w:val="none" w:sz="0" w:space="0" w:color="auto"/>
      </w:divBdr>
    </w:div>
    <w:div w:id="1856963008">
      <w:bodyDiv w:val="1"/>
      <w:marLeft w:val="0"/>
      <w:marRight w:val="0"/>
      <w:marTop w:val="0"/>
      <w:marBottom w:val="0"/>
      <w:divBdr>
        <w:top w:val="none" w:sz="0" w:space="0" w:color="auto"/>
        <w:left w:val="none" w:sz="0" w:space="0" w:color="auto"/>
        <w:bottom w:val="none" w:sz="0" w:space="0" w:color="auto"/>
        <w:right w:val="none" w:sz="0" w:space="0" w:color="auto"/>
      </w:divBdr>
    </w:div>
    <w:div w:id="1858426899">
      <w:bodyDiv w:val="1"/>
      <w:marLeft w:val="0"/>
      <w:marRight w:val="0"/>
      <w:marTop w:val="0"/>
      <w:marBottom w:val="0"/>
      <w:divBdr>
        <w:top w:val="none" w:sz="0" w:space="0" w:color="auto"/>
        <w:left w:val="none" w:sz="0" w:space="0" w:color="auto"/>
        <w:bottom w:val="none" w:sz="0" w:space="0" w:color="auto"/>
        <w:right w:val="none" w:sz="0" w:space="0" w:color="auto"/>
      </w:divBdr>
    </w:div>
    <w:div w:id="1860578466">
      <w:bodyDiv w:val="1"/>
      <w:marLeft w:val="0"/>
      <w:marRight w:val="0"/>
      <w:marTop w:val="0"/>
      <w:marBottom w:val="0"/>
      <w:divBdr>
        <w:top w:val="none" w:sz="0" w:space="0" w:color="auto"/>
        <w:left w:val="none" w:sz="0" w:space="0" w:color="auto"/>
        <w:bottom w:val="none" w:sz="0" w:space="0" w:color="auto"/>
        <w:right w:val="none" w:sz="0" w:space="0" w:color="auto"/>
      </w:divBdr>
    </w:div>
    <w:div w:id="1861160151">
      <w:bodyDiv w:val="1"/>
      <w:marLeft w:val="0"/>
      <w:marRight w:val="0"/>
      <w:marTop w:val="0"/>
      <w:marBottom w:val="0"/>
      <w:divBdr>
        <w:top w:val="none" w:sz="0" w:space="0" w:color="auto"/>
        <w:left w:val="none" w:sz="0" w:space="0" w:color="auto"/>
        <w:bottom w:val="none" w:sz="0" w:space="0" w:color="auto"/>
        <w:right w:val="none" w:sz="0" w:space="0" w:color="auto"/>
      </w:divBdr>
    </w:div>
    <w:div w:id="1861384940">
      <w:bodyDiv w:val="1"/>
      <w:marLeft w:val="0"/>
      <w:marRight w:val="0"/>
      <w:marTop w:val="0"/>
      <w:marBottom w:val="0"/>
      <w:divBdr>
        <w:top w:val="none" w:sz="0" w:space="0" w:color="auto"/>
        <w:left w:val="none" w:sz="0" w:space="0" w:color="auto"/>
        <w:bottom w:val="none" w:sz="0" w:space="0" w:color="auto"/>
        <w:right w:val="none" w:sz="0" w:space="0" w:color="auto"/>
      </w:divBdr>
    </w:div>
    <w:div w:id="1861818670">
      <w:bodyDiv w:val="1"/>
      <w:marLeft w:val="0"/>
      <w:marRight w:val="0"/>
      <w:marTop w:val="0"/>
      <w:marBottom w:val="0"/>
      <w:divBdr>
        <w:top w:val="none" w:sz="0" w:space="0" w:color="auto"/>
        <w:left w:val="none" w:sz="0" w:space="0" w:color="auto"/>
        <w:bottom w:val="none" w:sz="0" w:space="0" w:color="auto"/>
        <w:right w:val="none" w:sz="0" w:space="0" w:color="auto"/>
      </w:divBdr>
    </w:div>
    <w:div w:id="1862087931">
      <w:bodyDiv w:val="1"/>
      <w:marLeft w:val="0"/>
      <w:marRight w:val="0"/>
      <w:marTop w:val="0"/>
      <w:marBottom w:val="0"/>
      <w:divBdr>
        <w:top w:val="none" w:sz="0" w:space="0" w:color="auto"/>
        <w:left w:val="none" w:sz="0" w:space="0" w:color="auto"/>
        <w:bottom w:val="none" w:sz="0" w:space="0" w:color="auto"/>
        <w:right w:val="none" w:sz="0" w:space="0" w:color="auto"/>
      </w:divBdr>
    </w:div>
    <w:div w:id="1864242884">
      <w:bodyDiv w:val="1"/>
      <w:marLeft w:val="0"/>
      <w:marRight w:val="0"/>
      <w:marTop w:val="0"/>
      <w:marBottom w:val="0"/>
      <w:divBdr>
        <w:top w:val="none" w:sz="0" w:space="0" w:color="auto"/>
        <w:left w:val="none" w:sz="0" w:space="0" w:color="auto"/>
        <w:bottom w:val="none" w:sz="0" w:space="0" w:color="auto"/>
        <w:right w:val="none" w:sz="0" w:space="0" w:color="auto"/>
      </w:divBdr>
    </w:div>
    <w:div w:id="1864904428">
      <w:bodyDiv w:val="1"/>
      <w:marLeft w:val="0"/>
      <w:marRight w:val="0"/>
      <w:marTop w:val="0"/>
      <w:marBottom w:val="0"/>
      <w:divBdr>
        <w:top w:val="none" w:sz="0" w:space="0" w:color="auto"/>
        <w:left w:val="none" w:sz="0" w:space="0" w:color="auto"/>
        <w:bottom w:val="none" w:sz="0" w:space="0" w:color="auto"/>
        <w:right w:val="none" w:sz="0" w:space="0" w:color="auto"/>
      </w:divBdr>
    </w:div>
    <w:div w:id="1868567378">
      <w:bodyDiv w:val="1"/>
      <w:marLeft w:val="0"/>
      <w:marRight w:val="0"/>
      <w:marTop w:val="0"/>
      <w:marBottom w:val="0"/>
      <w:divBdr>
        <w:top w:val="none" w:sz="0" w:space="0" w:color="auto"/>
        <w:left w:val="none" w:sz="0" w:space="0" w:color="auto"/>
        <w:bottom w:val="none" w:sz="0" w:space="0" w:color="auto"/>
        <w:right w:val="none" w:sz="0" w:space="0" w:color="auto"/>
      </w:divBdr>
    </w:div>
    <w:div w:id="1869488856">
      <w:bodyDiv w:val="1"/>
      <w:marLeft w:val="0"/>
      <w:marRight w:val="0"/>
      <w:marTop w:val="0"/>
      <w:marBottom w:val="0"/>
      <w:divBdr>
        <w:top w:val="none" w:sz="0" w:space="0" w:color="auto"/>
        <w:left w:val="none" w:sz="0" w:space="0" w:color="auto"/>
        <w:bottom w:val="none" w:sz="0" w:space="0" w:color="auto"/>
        <w:right w:val="none" w:sz="0" w:space="0" w:color="auto"/>
      </w:divBdr>
    </w:div>
    <w:div w:id="1870751739">
      <w:bodyDiv w:val="1"/>
      <w:marLeft w:val="0"/>
      <w:marRight w:val="0"/>
      <w:marTop w:val="0"/>
      <w:marBottom w:val="0"/>
      <w:divBdr>
        <w:top w:val="none" w:sz="0" w:space="0" w:color="auto"/>
        <w:left w:val="none" w:sz="0" w:space="0" w:color="auto"/>
        <w:bottom w:val="none" w:sz="0" w:space="0" w:color="auto"/>
        <w:right w:val="none" w:sz="0" w:space="0" w:color="auto"/>
      </w:divBdr>
    </w:div>
    <w:div w:id="1871063936">
      <w:bodyDiv w:val="1"/>
      <w:marLeft w:val="0"/>
      <w:marRight w:val="0"/>
      <w:marTop w:val="0"/>
      <w:marBottom w:val="0"/>
      <w:divBdr>
        <w:top w:val="none" w:sz="0" w:space="0" w:color="auto"/>
        <w:left w:val="none" w:sz="0" w:space="0" w:color="auto"/>
        <w:bottom w:val="none" w:sz="0" w:space="0" w:color="auto"/>
        <w:right w:val="none" w:sz="0" w:space="0" w:color="auto"/>
      </w:divBdr>
    </w:div>
    <w:div w:id="1871261822">
      <w:bodyDiv w:val="1"/>
      <w:marLeft w:val="0"/>
      <w:marRight w:val="0"/>
      <w:marTop w:val="0"/>
      <w:marBottom w:val="0"/>
      <w:divBdr>
        <w:top w:val="none" w:sz="0" w:space="0" w:color="auto"/>
        <w:left w:val="none" w:sz="0" w:space="0" w:color="auto"/>
        <w:bottom w:val="none" w:sz="0" w:space="0" w:color="auto"/>
        <w:right w:val="none" w:sz="0" w:space="0" w:color="auto"/>
      </w:divBdr>
    </w:div>
    <w:div w:id="1873612685">
      <w:bodyDiv w:val="1"/>
      <w:marLeft w:val="0"/>
      <w:marRight w:val="0"/>
      <w:marTop w:val="0"/>
      <w:marBottom w:val="0"/>
      <w:divBdr>
        <w:top w:val="none" w:sz="0" w:space="0" w:color="auto"/>
        <w:left w:val="none" w:sz="0" w:space="0" w:color="auto"/>
        <w:bottom w:val="none" w:sz="0" w:space="0" w:color="auto"/>
        <w:right w:val="none" w:sz="0" w:space="0" w:color="auto"/>
      </w:divBdr>
    </w:div>
    <w:div w:id="1874076627">
      <w:bodyDiv w:val="1"/>
      <w:marLeft w:val="0"/>
      <w:marRight w:val="0"/>
      <w:marTop w:val="0"/>
      <w:marBottom w:val="0"/>
      <w:divBdr>
        <w:top w:val="none" w:sz="0" w:space="0" w:color="auto"/>
        <w:left w:val="none" w:sz="0" w:space="0" w:color="auto"/>
        <w:bottom w:val="none" w:sz="0" w:space="0" w:color="auto"/>
        <w:right w:val="none" w:sz="0" w:space="0" w:color="auto"/>
      </w:divBdr>
    </w:div>
    <w:div w:id="1876429899">
      <w:bodyDiv w:val="1"/>
      <w:marLeft w:val="0"/>
      <w:marRight w:val="0"/>
      <w:marTop w:val="0"/>
      <w:marBottom w:val="0"/>
      <w:divBdr>
        <w:top w:val="none" w:sz="0" w:space="0" w:color="auto"/>
        <w:left w:val="none" w:sz="0" w:space="0" w:color="auto"/>
        <w:bottom w:val="none" w:sz="0" w:space="0" w:color="auto"/>
        <w:right w:val="none" w:sz="0" w:space="0" w:color="auto"/>
      </w:divBdr>
    </w:div>
    <w:div w:id="1876699361">
      <w:bodyDiv w:val="1"/>
      <w:marLeft w:val="0"/>
      <w:marRight w:val="0"/>
      <w:marTop w:val="0"/>
      <w:marBottom w:val="0"/>
      <w:divBdr>
        <w:top w:val="none" w:sz="0" w:space="0" w:color="auto"/>
        <w:left w:val="none" w:sz="0" w:space="0" w:color="auto"/>
        <w:bottom w:val="none" w:sz="0" w:space="0" w:color="auto"/>
        <w:right w:val="none" w:sz="0" w:space="0" w:color="auto"/>
      </w:divBdr>
    </w:div>
    <w:div w:id="1877084415">
      <w:bodyDiv w:val="1"/>
      <w:marLeft w:val="0"/>
      <w:marRight w:val="0"/>
      <w:marTop w:val="0"/>
      <w:marBottom w:val="0"/>
      <w:divBdr>
        <w:top w:val="none" w:sz="0" w:space="0" w:color="auto"/>
        <w:left w:val="none" w:sz="0" w:space="0" w:color="auto"/>
        <w:bottom w:val="none" w:sz="0" w:space="0" w:color="auto"/>
        <w:right w:val="none" w:sz="0" w:space="0" w:color="auto"/>
      </w:divBdr>
    </w:div>
    <w:div w:id="1882326513">
      <w:bodyDiv w:val="1"/>
      <w:marLeft w:val="0"/>
      <w:marRight w:val="0"/>
      <w:marTop w:val="0"/>
      <w:marBottom w:val="0"/>
      <w:divBdr>
        <w:top w:val="none" w:sz="0" w:space="0" w:color="auto"/>
        <w:left w:val="none" w:sz="0" w:space="0" w:color="auto"/>
        <w:bottom w:val="none" w:sz="0" w:space="0" w:color="auto"/>
        <w:right w:val="none" w:sz="0" w:space="0" w:color="auto"/>
      </w:divBdr>
    </w:div>
    <w:div w:id="1884438997">
      <w:bodyDiv w:val="1"/>
      <w:marLeft w:val="0"/>
      <w:marRight w:val="0"/>
      <w:marTop w:val="0"/>
      <w:marBottom w:val="0"/>
      <w:divBdr>
        <w:top w:val="none" w:sz="0" w:space="0" w:color="auto"/>
        <w:left w:val="none" w:sz="0" w:space="0" w:color="auto"/>
        <w:bottom w:val="none" w:sz="0" w:space="0" w:color="auto"/>
        <w:right w:val="none" w:sz="0" w:space="0" w:color="auto"/>
      </w:divBdr>
    </w:div>
    <w:div w:id="1885482050">
      <w:bodyDiv w:val="1"/>
      <w:marLeft w:val="0"/>
      <w:marRight w:val="0"/>
      <w:marTop w:val="0"/>
      <w:marBottom w:val="0"/>
      <w:divBdr>
        <w:top w:val="none" w:sz="0" w:space="0" w:color="auto"/>
        <w:left w:val="none" w:sz="0" w:space="0" w:color="auto"/>
        <w:bottom w:val="none" w:sz="0" w:space="0" w:color="auto"/>
        <w:right w:val="none" w:sz="0" w:space="0" w:color="auto"/>
      </w:divBdr>
    </w:div>
    <w:div w:id="1885631210">
      <w:bodyDiv w:val="1"/>
      <w:marLeft w:val="0"/>
      <w:marRight w:val="0"/>
      <w:marTop w:val="0"/>
      <w:marBottom w:val="0"/>
      <w:divBdr>
        <w:top w:val="none" w:sz="0" w:space="0" w:color="auto"/>
        <w:left w:val="none" w:sz="0" w:space="0" w:color="auto"/>
        <w:bottom w:val="none" w:sz="0" w:space="0" w:color="auto"/>
        <w:right w:val="none" w:sz="0" w:space="0" w:color="auto"/>
      </w:divBdr>
    </w:div>
    <w:div w:id="1887985681">
      <w:bodyDiv w:val="1"/>
      <w:marLeft w:val="0"/>
      <w:marRight w:val="0"/>
      <w:marTop w:val="0"/>
      <w:marBottom w:val="0"/>
      <w:divBdr>
        <w:top w:val="none" w:sz="0" w:space="0" w:color="auto"/>
        <w:left w:val="none" w:sz="0" w:space="0" w:color="auto"/>
        <w:bottom w:val="none" w:sz="0" w:space="0" w:color="auto"/>
        <w:right w:val="none" w:sz="0" w:space="0" w:color="auto"/>
      </w:divBdr>
    </w:div>
    <w:div w:id="1889025589">
      <w:bodyDiv w:val="1"/>
      <w:marLeft w:val="0"/>
      <w:marRight w:val="0"/>
      <w:marTop w:val="0"/>
      <w:marBottom w:val="0"/>
      <w:divBdr>
        <w:top w:val="none" w:sz="0" w:space="0" w:color="auto"/>
        <w:left w:val="none" w:sz="0" w:space="0" w:color="auto"/>
        <w:bottom w:val="none" w:sz="0" w:space="0" w:color="auto"/>
        <w:right w:val="none" w:sz="0" w:space="0" w:color="auto"/>
      </w:divBdr>
    </w:div>
    <w:div w:id="1889141084">
      <w:bodyDiv w:val="1"/>
      <w:marLeft w:val="0"/>
      <w:marRight w:val="0"/>
      <w:marTop w:val="0"/>
      <w:marBottom w:val="0"/>
      <w:divBdr>
        <w:top w:val="none" w:sz="0" w:space="0" w:color="auto"/>
        <w:left w:val="none" w:sz="0" w:space="0" w:color="auto"/>
        <w:bottom w:val="none" w:sz="0" w:space="0" w:color="auto"/>
        <w:right w:val="none" w:sz="0" w:space="0" w:color="auto"/>
      </w:divBdr>
    </w:div>
    <w:div w:id="1890653011">
      <w:bodyDiv w:val="1"/>
      <w:marLeft w:val="0"/>
      <w:marRight w:val="0"/>
      <w:marTop w:val="0"/>
      <w:marBottom w:val="0"/>
      <w:divBdr>
        <w:top w:val="none" w:sz="0" w:space="0" w:color="auto"/>
        <w:left w:val="none" w:sz="0" w:space="0" w:color="auto"/>
        <w:bottom w:val="none" w:sz="0" w:space="0" w:color="auto"/>
        <w:right w:val="none" w:sz="0" w:space="0" w:color="auto"/>
      </w:divBdr>
    </w:div>
    <w:div w:id="1891305739">
      <w:bodyDiv w:val="1"/>
      <w:marLeft w:val="0"/>
      <w:marRight w:val="0"/>
      <w:marTop w:val="0"/>
      <w:marBottom w:val="0"/>
      <w:divBdr>
        <w:top w:val="none" w:sz="0" w:space="0" w:color="auto"/>
        <w:left w:val="none" w:sz="0" w:space="0" w:color="auto"/>
        <w:bottom w:val="none" w:sz="0" w:space="0" w:color="auto"/>
        <w:right w:val="none" w:sz="0" w:space="0" w:color="auto"/>
      </w:divBdr>
    </w:div>
    <w:div w:id="1891843809">
      <w:bodyDiv w:val="1"/>
      <w:marLeft w:val="0"/>
      <w:marRight w:val="0"/>
      <w:marTop w:val="0"/>
      <w:marBottom w:val="0"/>
      <w:divBdr>
        <w:top w:val="none" w:sz="0" w:space="0" w:color="auto"/>
        <w:left w:val="none" w:sz="0" w:space="0" w:color="auto"/>
        <w:bottom w:val="none" w:sz="0" w:space="0" w:color="auto"/>
        <w:right w:val="none" w:sz="0" w:space="0" w:color="auto"/>
      </w:divBdr>
    </w:div>
    <w:div w:id="1896237096">
      <w:bodyDiv w:val="1"/>
      <w:marLeft w:val="0"/>
      <w:marRight w:val="0"/>
      <w:marTop w:val="0"/>
      <w:marBottom w:val="0"/>
      <w:divBdr>
        <w:top w:val="none" w:sz="0" w:space="0" w:color="auto"/>
        <w:left w:val="none" w:sz="0" w:space="0" w:color="auto"/>
        <w:bottom w:val="none" w:sz="0" w:space="0" w:color="auto"/>
        <w:right w:val="none" w:sz="0" w:space="0" w:color="auto"/>
      </w:divBdr>
    </w:div>
    <w:div w:id="1898085833">
      <w:bodyDiv w:val="1"/>
      <w:marLeft w:val="0"/>
      <w:marRight w:val="0"/>
      <w:marTop w:val="0"/>
      <w:marBottom w:val="0"/>
      <w:divBdr>
        <w:top w:val="none" w:sz="0" w:space="0" w:color="auto"/>
        <w:left w:val="none" w:sz="0" w:space="0" w:color="auto"/>
        <w:bottom w:val="none" w:sz="0" w:space="0" w:color="auto"/>
        <w:right w:val="none" w:sz="0" w:space="0" w:color="auto"/>
      </w:divBdr>
    </w:div>
    <w:div w:id="1899511675">
      <w:bodyDiv w:val="1"/>
      <w:marLeft w:val="0"/>
      <w:marRight w:val="0"/>
      <w:marTop w:val="0"/>
      <w:marBottom w:val="0"/>
      <w:divBdr>
        <w:top w:val="none" w:sz="0" w:space="0" w:color="auto"/>
        <w:left w:val="none" w:sz="0" w:space="0" w:color="auto"/>
        <w:bottom w:val="none" w:sz="0" w:space="0" w:color="auto"/>
        <w:right w:val="none" w:sz="0" w:space="0" w:color="auto"/>
      </w:divBdr>
    </w:div>
    <w:div w:id="1899583890">
      <w:bodyDiv w:val="1"/>
      <w:marLeft w:val="0"/>
      <w:marRight w:val="0"/>
      <w:marTop w:val="0"/>
      <w:marBottom w:val="0"/>
      <w:divBdr>
        <w:top w:val="none" w:sz="0" w:space="0" w:color="auto"/>
        <w:left w:val="none" w:sz="0" w:space="0" w:color="auto"/>
        <w:bottom w:val="none" w:sz="0" w:space="0" w:color="auto"/>
        <w:right w:val="none" w:sz="0" w:space="0" w:color="auto"/>
      </w:divBdr>
    </w:div>
    <w:div w:id="1900901798">
      <w:bodyDiv w:val="1"/>
      <w:marLeft w:val="0"/>
      <w:marRight w:val="0"/>
      <w:marTop w:val="0"/>
      <w:marBottom w:val="0"/>
      <w:divBdr>
        <w:top w:val="none" w:sz="0" w:space="0" w:color="auto"/>
        <w:left w:val="none" w:sz="0" w:space="0" w:color="auto"/>
        <w:bottom w:val="none" w:sz="0" w:space="0" w:color="auto"/>
        <w:right w:val="none" w:sz="0" w:space="0" w:color="auto"/>
      </w:divBdr>
    </w:div>
    <w:div w:id="1902135388">
      <w:bodyDiv w:val="1"/>
      <w:marLeft w:val="0"/>
      <w:marRight w:val="0"/>
      <w:marTop w:val="0"/>
      <w:marBottom w:val="0"/>
      <w:divBdr>
        <w:top w:val="none" w:sz="0" w:space="0" w:color="auto"/>
        <w:left w:val="none" w:sz="0" w:space="0" w:color="auto"/>
        <w:bottom w:val="none" w:sz="0" w:space="0" w:color="auto"/>
        <w:right w:val="none" w:sz="0" w:space="0" w:color="auto"/>
      </w:divBdr>
    </w:div>
    <w:div w:id="1903056511">
      <w:bodyDiv w:val="1"/>
      <w:marLeft w:val="0"/>
      <w:marRight w:val="0"/>
      <w:marTop w:val="0"/>
      <w:marBottom w:val="0"/>
      <w:divBdr>
        <w:top w:val="none" w:sz="0" w:space="0" w:color="auto"/>
        <w:left w:val="none" w:sz="0" w:space="0" w:color="auto"/>
        <w:bottom w:val="none" w:sz="0" w:space="0" w:color="auto"/>
        <w:right w:val="none" w:sz="0" w:space="0" w:color="auto"/>
      </w:divBdr>
    </w:div>
    <w:div w:id="1904370423">
      <w:bodyDiv w:val="1"/>
      <w:marLeft w:val="0"/>
      <w:marRight w:val="0"/>
      <w:marTop w:val="0"/>
      <w:marBottom w:val="0"/>
      <w:divBdr>
        <w:top w:val="none" w:sz="0" w:space="0" w:color="auto"/>
        <w:left w:val="none" w:sz="0" w:space="0" w:color="auto"/>
        <w:bottom w:val="none" w:sz="0" w:space="0" w:color="auto"/>
        <w:right w:val="none" w:sz="0" w:space="0" w:color="auto"/>
      </w:divBdr>
    </w:div>
    <w:div w:id="1905489294">
      <w:bodyDiv w:val="1"/>
      <w:marLeft w:val="0"/>
      <w:marRight w:val="0"/>
      <w:marTop w:val="0"/>
      <w:marBottom w:val="0"/>
      <w:divBdr>
        <w:top w:val="none" w:sz="0" w:space="0" w:color="auto"/>
        <w:left w:val="none" w:sz="0" w:space="0" w:color="auto"/>
        <w:bottom w:val="none" w:sz="0" w:space="0" w:color="auto"/>
        <w:right w:val="none" w:sz="0" w:space="0" w:color="auto"/>
      </w:divBdr>
    </w:div>
    <w:div w:id="1905556845">
      <w:bodyDiv w:val="1"/>
      <w:marLeft w:val="0"/>
      <w:marRight w:val="0"/>
      <w:marTop w:val="0"/>
      <w:marBottom w:val="0"/>
      <w:divBdr>
        <w:top w:val="none" w:sz="0" w:space="0" w:color="auto"/>
        <w:left w:val="none" w:sz="0" w:space="0" w:color="auto"/>
        <w:bottom w:val="none" w:sz="0" w:space="0" w:color="auto"/>
        <w:right w:val="none" w:sz="0" w:space="0" w:color="auto"/>
      </w:divBdr>
    </w:div>
    <w:div w:id="1906721526">
      <w:bodyDiv w:val="1"/>
      <w:marLeft w:val="0"/>
      <w:marRight w:val="0"/>
      <w:marTop w:val="0"/>
      <w:marBottom w:val="0"/>
      <w:divBdr>
        <w:top w:val="none" w:sz="0" w:space="0" w:color="auto"/>
        <w:left w:val="none" w:sz="0" w:space="0" w:color="auto"/>
        <w:bottom w:val="none" w:sz="0" w:space="0" w:color="auto"/>
        <w:right w:val="none" w:sz="0" w:space="0" w:color="auto"/>
      </w:divBdr>
    </w:div>
    <w:div w:id="1910266598">
      <w:bodyDiv w:val="1"/>
      <w:marLeft w:val="0"/>
      <w:marRight w:val="0"/>
      <w:marTop w:val="0"/>
      <w:marBottom w:val="0"/>
      <w:divBdr>
        <w:top w:val="none" w:sz="0" w:space="0" w:color="auto"/>
        <w:left w:val="none" w:sz="0" w:space="0" w:color="auto"/>
        <w:bottom w:val="none" w:sz="0" w:space="0" w:color="auto"/>
        <w:right w:val="none" w:sz="0" w:space="0" w:color="auto"/>
      </w:divBdr>
    </w:div>
    <w:div w:id="1910380861">
      <w:bodyDiv w:val="1"/>
      <w:marLeft w:val="0"/>
      <w:marRight w:val="0"/>
      <w:marTop w:val="0"/>
      <w:marBottom w:val="0"/>
      <w:divBdr>
        <w:top w:val="none" w:sz="0" w:space="0" w:color="auto"/>
        <w:left w:val="none" w:sz="0" w:space="0" w:color="auto"/>
        <w:bottom w:val="none" w:sz="0" w:space="0" w:color="auto"/>
        <w:right w:val="none" w:sz="0" w:space="0" w:color="auto"/>
      </w:divBdr>
    </w:div>
    <w:div w:id="1911227717">
      <w:bodyDiv w:val="1"/>
      <w:marLeft w:val="0"/>
      <w:marRight w:val="0"/>
      <w:marTop w:val="0"/>
      <w:marBottom w:val="0"/>
      <w:divBdr>
        <w:top w:val="none" w:sz="0" w:space="0" w:color="auto"/>
        <w:left w:val="none" w:sz="0" w:space="0" w:color="auto"/>
        <w:bottom w:val="none" w:sz="0" w:space="0" w:color="auto"/>
        <w:right w:val="none" w:sz="0" w:space="0" w:color="auto"/>
      </w:divBdr>
    </w:div>
    <w:div w:id="1911647833">
      <w:bodyDiv w:val="1"/>
      <w:marLeft w:val="0"/>
      <w:marRight w:val="0"/>
      <w:marTop w:val="0"/>
      <w:marBottom w:val="0"/>
      <w:divBdr>
        <w:top w:val="none" w:sz="0" w:space="0" w:color="auto"/>
        <w:left w:val="none" w:sz="0" w:space="0" w:color="auto"/>
        <w:bottom w:val="none" w:sz="0" w:space="0" w:color="auto"/>
        <w:right w:val="none" w:sz="0" w:space="0" w:color="auto"/>
      </w:divBdr>
    </w:div>
    <w:div w:id="1913853802">
      <w:bodyDiv w:val="1"/>
      <w:marLeft w:val="0"/>
      <w:marRight w:val="0"/>
      <w:marTop w:val="0"/>
      <w:marBottom w:val="0"/>
      <w:divBdr>
        <w:top w:val="none" w:sz="0" w:space="0" w:color="auto"/>
        <w:left w:val="none" w:sz="0" w:space="0" w:color="auto"/>
        <w:bottom w:val="none" w:sz="0" w:space="0" w:color="auto"/>
        <w:right w:val="none" w:sz="0" w:space="0" w:color="auto"/>
      </w:divBdr>
    </w:div>
    <w:div w:id="1914319455">
      <w:bodyDiv w:val="1"/>
      <w:marLeft w:val="0"/>
      <w:marRight w:val="0"/>
      <w:marTop w:val="0"/>
      <w:marBottom w:val="0"/>
      <w:divBdr>
        <w:top w:val="none" w:sz="0" w:space="0" w:color="auto"/>
        <w:left w:val="none" w:sz="0" w:space="0" w:color="auto"/>
        <w:bottom w:val="none" w:sz="0" w:space="0" w:color="auto"/>
        <w:right w:val="none" w:sz="0" w:space="0" w:color="auto"/>
      </w:divBdr>
    </w:div>
    <w:div w:id="1915701729">
      <w:bodyDiv w:val="1"/>
      <w:marLeft w:val="0"/>
      <w:marRight w:val="0"/>
      <w:marTop w:val="0"/>
      <w:marBottom w:val="0"/>
      <w:divBdr>
        <w:top w:val="none" w:sz="0" w:space="0" w:color="auto"/>
        <w:left w:val="none" w:sz="0" w:space="0" w:color="auto"/>
        <w:bottom w:val="none" w:sz="0" w:space="0" w:color="auto"/>
        <w:right w:val="none" w:sz="0" w:space="0" w:color="auto"/>
      </w:divBdr>
    </w:div>
    <w:div w:id="1916474214">
      <w:bodyDiv w:val="1"/>
      <w:marLeft w:val="0"/>
      <w:marRight w:val="0"/>
      <w:marTop w:val="0"/>
      <w:marBottom w:val="0"/>
      <w:divBdr>
        <w:top w:val="none" w:sz="0" w:space="0" w:color="auto"/>
        <w:left w:val="none" w:sz="0" w:space="0" w:color="auto"/>
        <w:bottom w:val="none" w:sz="0" w:space="0" w:color="auto"/>
        <w:right w:val="none" w:sz="0" w:space="0" w:color="auto"/>
      </w:divBdr>
    </w:div>
    <w:div w:id="1918594914">
      <w:bodyDiv w:val="1"/>
      <w:marLeft w:val="0"/>
      <w:marRight w:val="0"/>
      <w:marTop w:val="0"/>
      <w:marBottom w:val="0"/>
      <w:divBdr>
        <w:top w:val="none" w:sz="0" w:space="0" w:color="auto"/>
        <w:left w:val="none" w:sz="0" w:space="0" w:color="auto"/>
        <w:bottom w:val="none" w:sz="0" w:space="0" w:color="auto"/>
        <w:right w:val="none" w:sz="0" w:space="0" w:color="auto"/>
      </w:divBdr>
    </w:div>
    <w:div w:id="1920554505">
      <w:bodyDiv w:val="1"/>
      <w:marLeft w:val="0"/>
      <w:marRight w:val="0"/>
      <w:marTop w:val="0"/>
      <w:marBottom w:val="0"/>
      <w:divBdr>
        <w:top w:val="none" w:sz="0" w:space="0" w:color="auto"/>
        <w:left w:val="none" w:sz="0" w:space="0" w:color="auto"/>
        <w:bottom w:val="none" w:sz="0" w:space="0" w:color="auto"/>
        <w:right w:val="none" w:sz="0" w:space="0" w:color="auto"/>
      </w:divBdr>
    </w:div>
    <w:div w:id="1922564431">
      <w:bodyDiv w:val="1"/>
      <w:marLeft w:val="0"/>
      <w:marRight w:val="0"/>
      <w:marTop w:val="0"/>
      <w:marBottom w:val="0"/>
      <w:divBdr>
        <w:top w:val="none" w:sz="0" w:space="0" w:color="auto"/>
        <w:left w:val="none" w:sz="0" w:space="0" w:color="auto"/>
        <w:bottom w:val="none" w:sz="0" w:space="0" w:color="auto"/>
        <w:right w:val="none" w:sz="0" w:space="0" w:color="auto"/>
      </w:divBdr>
    </w:div>
    <w:div w:id="1924141752">
      <w:bodyDiv w:val="1"/>
      <w:marLeft w:val="0"/>
      <w:marRight w:val="0"/>
      <w:marTop w:val="0"/>
      <w:marBottom w:val="0"/>
      <w:divBdr>
        <w:top w:val="none" w:sz="0" w:space="0" w:color="auto"/>
        <w:left w:val="none" w:sz="0" w:space="0" w:color="auto"/>
        <w:bottom w:val="none" w:sz="0" w:space="0" w:color="auto"/>
        <w:right w:val="none" w:sz="0" w:space="0" w:color="auto"/>
      </w:divBdr>
    </w:div>
    <w:div w:id="1924946633">
      <w:bodyDiv w:val="1"/>
      <w:marLeft w:val="0"/>
      <w:marRight w:val="0"/>
      <w:marTop w:val="0"/>
      <w:marBottom w:val="0"/>
      <w:divBdr>
        <w:top w:val="none" w:sz="0" w:space="0" w:color="auto"/>
        <w:left w:val="none" w:sz="0" w:space="0" w:color="auto"/>
        <w:bottom w:val="none" w:sz="0" w:space="0" w:color="auto"/>
        <w:right w:val="none" w:sz="0" w:space="0" w:color="auto"/>
      </w:divBdr>
    </w:div>
    <w:div w:id="1925872110">
      <w:bodyDiv w:val="1"/>
      <w:marLeft w:val="0"/>
      <w:marRight w:val="0"/>
      <w:marTop w:val="0"/>
      <w:marBottom w:val="0"/>
      <w:divBdr>
        <w:top w:val="none" w:sz="0" w:space="0" w:color="auto"/>
        <w:left w:val="none" w:sz="0" w:space="0" w:color="auto"/>
        <w:bottom w:val="none" w:sz="0" w:space="0" w:color="auto"/>
        <w:right w:val="none" w:sz="0" w:space="0" w:color="auto"/>
      </w:divBdr>
    </w:div>
    <w:div w:id="1930582547">
      <w:bodyDiv w:val="1"/>
      <w:marLeft w:val="0"/>
      <w:marRight w:val="0"/>
      <w:marTop w:val="0"/>
      <w:marBottom w:val="0"/>
      <w:divBdr>
        <w:top w:val="none" w:sz="0" w:space="0" w:color="auto"/>
        <w:left w:val="none" w:sz="0" w:space="0" w:color="auto"/>
        <w:bottom w:val="none" w:sz="0" w:space="0" w:color="auto"/>
        <w:right w:val="none" w:sz="0" w:space="0" w:color="auto"/>
      </w:divBdr>
    </w:div>
    <w:div w:id="1930963315">
      <w:bodyDiv w:val="1"/>
      <w:marLeft w:val="0"/>
      <w:marRight w:val="0"/>
      <w:marTop w:val="0"/>
      <w:marBottom w:val="0"/>
      <w:divBdr>
        <w:top w:val="none" w:sz="0" w:space="0" w:color="auto"/>
        <w:left w:val="none" w:sz="0" w:space="0" w:color="auto"/>
        <w:bottom w:val="none" w:sz="0" w:space="0" w:color="auto"/>
        <w:right w:val="none" w:sz="0" w:space="0" w:color="auto"/>
      </w:divBdr>
    </w:div>
    <w:div w:id="1931351663">
      <w:bodyDiv w:val="1"/>
      <w:marLeft w:val="0"/>
      <w:marRight w:val="0"/>
      <w:marTop w:val="0"/>
      <w:marBottom w:val="0"/>
      <w:divBdr>
        <w:top w:val="none" w:sz="0" w:space="0" w:color="auto"/>
        <w:left w:val="none" w:sz="0" w:space="0" w:color="auto"/>
        <w:bottom w:val="none" w:sz="0" w:space="0" w:color="auto"/>
        <w:right w:val="none" w:sz="0" w:space="0" w:color="auto"/>
      </w:divBdr>
    </w:div>
    <w:div w:id="1936011732">
      <w:bodyDiv w:val="1"/>
      <w:marLeft w:val="0"/>
      <w:marRight w:val="0"/>
      <w:marTop w:val="0"/>
      <w:marBottom w:val="0"/>
      <w:divBdr>
        <w:top w:val="none" w:sz="0" w:space="0" w:color="auto"/>
        <w:left w:val="none" w:sz="0" w:space="0" w:color="auto"/>
        <w:bottom w:val="none" w:sz="0" w:space="0" w:color="auto"/>
        <w:right w:val="none" w:sz="0" w:space="0" w:color="auto"/>
      </w:divBdr>
    </w:div>
    <w:div w:id="1936014291">
      <w:bodyDiv w:val="1"/>
      <w:marLeft w:val="0"/>
      <w:marRight w:val="0"/>
      <w:marTop w:val="0"/>
      <w:marBottom w:val="0"/>
      <w:divBdr>
        <w:top w:val="none" w:sz="0" w:space="0" w:color="auto"/>
        <w:left w:val="none" w:sz="0" w:space="0" w:color="auto"/>
        <w:bottom w:val="none" w:sz="0" w:space="0" w:color="auto"/>
        <w:right w:val="none" w:sz="0" w:space="0" w:color="auto"/>
      </w:divBdr>
    </w:div>
    <w:div w:id="1937395088">
      <w:bodyDiv w:val="1"/>
      <w:marLeft w:val="0"/>
      <w:marRight w:val="0"/>
      <w:marTop w:val="0"/>
      <w:marBottom w:val="0"/>
      <w:divBdr>
        <w:top w:val="none" w:sz="0" w:space="0" w:color="auto"/>
        <w:left w:val="none" w:sz="0" w:space="0" w:color="auto"/>
        <w:bottom w:val="none" w:sz="0" w:space="0" w:color="auto"/>
        <w:right w:val="none" w:sz="0" w:space="0" w:color="auto"/>
      </w:divBdr>
    </w:div>
    <w:div w:id="1941644376">
      <w:bodyDiv w:val="1"/>
      <w:marLeft w:val="0"/>
      <w:marRight w:val="0"/>
      <w:marTop w:val="0"/>
      <w:marBottom w:val="0"/>
      <w:divBdr>
        <w:top w:val="none" w:sz="0" w:space="0" w:color="auto"/>
        <w:left w:val="none" w:sz="0" w:space="0" w:color="auto"/>
        <w:bottom w:val="none" w:sz="0" w:space="0" w:color="auto"/>
        <w:right w:val="none" w:sz="0" w:space="0" w:color="auto"/>
      </w:divBdr>
    </w:div>
    <w:div w:id="1942102951">
      <w:bodyDiv w:val="1"/>
      <w:marLeft w:val="0"/>
      <w:marRight w:val="0"/>
      <w:marTop w:val="0"/>
      <w:marBottom w:val="0"/>
      <w:divBdr>
        <w:top w:val="none" w:sz="0" w:space="0" w:color="auto"/>
        <w:left w:val="none" w:sz="0" w:space="0" w:color="auto"/>
        <w:bottom w:val="none" w:sz="0" w:space="0" w:color="auto"/>
        <w:right w:val="none" w:sz="0" w:space="0" w:color="auto"/>
      </w:divBdr>
    </w:div>
    <w:div w:id="1943830515">
      <w:bodyDiv w:val="1"/>
      <w:marLeft w:val="0"/>
      <w:marRight w:val="0"/>
      <w:marTop w:val="0"/>
      <w:marBottom w:val="0"/>
      <w:divBdr>
        <w:top w:val="none" w:sz="0" w:space="0" w:color="auto"/>
        <w:left w:val="none" w:sz="0" w:space="0" w:color="auto"/>
        <w:bottom w:val="none" w:sz="0" w:space="0" w:color="auto"/>
        <w:right w:val="none" w:sz="0" w:space="0" w:color="auto"/>
      </w:divBdr>
    </w:div>
    <w:div w:id="1949964283">
      <w:bodyDiv w:val="1"/>
      <w:marLeft w:val="0"/>
      <w:marRight w:val="0"/>
      <w:marTop w:val="0"/>
      <w:marBottom w:val="0"/>
      <w:divBdr>
        <w:top w:val="none" w:sz="0" w:space="0" w:color="auto"/>
        <w:left w:val="none" w:sz="0" w:space="0" w:color="auto"/>
        <w:bottom w:val="none" w:sz="0" w:space="0" w:color="auto"/>
        <w:right w:val="none" w:sz="0" w:space="0" w:color="auto"/>
      </w:divBdr>
    </w:div>
    <w:div w:id="1950502111">
      <w:bodyDiv w:val="1"/>
      <w:marLeft w:val="0"/>
      <w:marRight w:val="0"/>
      <w:marTop w:val="0"/>
      <w:marBottom w:val="0"/>
      <w:divBdr>
        <w:top w:val="none" w:sz="0" w:space="0" w:color="auto"/>
        <w:left w:val="none" w:sz="0" w:space="0" w:color="auto"/>
        <w:bottom w:val="none" w:sz="0" w:space="0" w:color="auto"/>
        <w:right w:val="none" w:sz="0" w:space="0" w:color="auto"/>
      </w:divBdr>
    </w:div>
    <w:div w:id="1951621122">
      <w:bodyDiv w:val="1"/>
      <w:marLeft w:val="0"/>
      <w:marRight w:val="0"/>
      <w:marTop w:val="0"/>
      <w:marBottom w:val="0"/>
      <w:divBdr>
        <w:top w:val="none" w:sz="0" w:space="0" w:color="auto"/>
        <w:left w:val="none" w:sz="0" w:space="0" w:color="auto"/>
        <w:bottom w:val="none" w:sz="0" w:space="0" w:color="auto"/>
        <w:right w:val="none" w:sz="0" w:space="0" w:color="auto"/>
      </w:divBdr>
    </w:div>
    <w:div w:id="1954246479">
      <w:bodyDiv w:val="1"/>
      <w:marLeft w:val="0"/>
      <w:marRight w:val="0"/>
      <w:marTop w:val="0"/>
      <w:marBottom w:val="0"/>
      <w:divBdr>
        <w:top w:val="none" w:sz="0" w:space="0" w:color="auto"/>
        <w:left w:val="none" w:sz="0" w:space="0" w:color="auto"/>
        <w:bottom w:val="none" w:sz="0" w:space="0" w:color="auto"/>
        <w:right w:val="none" w:sz="0" w:space="0" w:color="auto"/>
      </w:divBdr>
    </w:div>
    <w:div w:id="1956674139">
      <w:bodyDiv w:val="1"/>
      <w:marLeft w:val="0"/>
      <w:marRight w:val="0"/>
      <w:marTop w:val="0"/>
      <w:marBottom w:val="0"/>
      <w:divBdr>
        <w:top w:val="none" w:sz="0" w:space="0" w:color="auto"/>
        <w:left w:val="none" w:sz="0" w:space="0" w:color="auto"/>
        <w:bottom w:val="none" w:sz="0" w:space="0" w:color="auto"/>
        <w:right w:val="none" w:sz="0" w:space="0" w:color="auto"/>
      </w:divBdr>
    </w:div>
    <w:div w:id="1958561080">
      <w:bodyDiv w:val="1"/>
      <w:marLeft w:val="0"/>
      <w:marRight w:val="0"/>
      <w:marTop w:val="0"/>
      <w:marBottom w:val="0"/>
      <w:divBdr>
        <w:top w:val="none" w:sz="0" w:space="0" w:color="auto"/>
        <w:left w:val="none" w:sz="0" w:space="0" w:color="auto"/>
        <w:bottom w:val="none" w:sz="0" w:space="0" w:color="auto"/>
        <w:right w:val="none" w:sz="0" w:space="0" w:color="auto"/>
      </w:divBdr>
    </w:div>
    <w:div w:id="1958637685">
      <w:bodyDiv w:val="1"/>
      <w:marLeft w:val="0"/>
      <w:marRight w:val="0"/>
      <w:marTop w:val="0"/>
      <w:marBottom w:val="0"/>
      <w:divBdr>
        <w:top w:val="none" w:sz="0" w:space="0" w:color="auto"/>
        <w:left w:val="none" w:sz="0" w:space="0" w:color="auto"/>
        <w:bottom w:val="none" w:sz="0" w:space="0" w:color="auto"/>
        <w:right w:val="none" w:sz="0" w:space="0" w:color="auto"/>
      </w:divBdr>
    </w:div>
    <w:div w:id="1959333968">
      <w:bodyDiv w:val="1"/>
      <w:marLeft w:val="0"/>
      <w:marRight w:val="0"/>
      <w:marTop w:val="0"/>
      <w:marBottom w:val="0"/>
      <w:divBdr>
        <w:top w:val="none" w:sz="0" w:space="0" w:color="auto"/>
        <w:left w:val="none" w:sz="0" w:space="0" w:color="auto"/>
        <w:bottom w:val="none" w:sz="0" w:space="0" w:color="auto"/>
        <w:right w:val="none" w:sz="0" w:space="0" w:color="auto"/>
      </w:divBdr>
    </w:div>
    <w:div w:id="1962220021">
      <w:bodyDiv w:val="1"/>
      <w:marLeft w:val="0"/>
      <w:marRight w:val="0"/>
      <w:marTop w:val="0"/>
      <w:marBottom w:val="0"/>
      <w:divBdr>
        <w:top w:val="none" w:sz="0" w:space="0" w:color="auto"/>
        <w:left w:val="none" w:sz="0" w:space="0" w:color="auto"/>
        <w:bottom w:val="none" w:sz="0" w:space="0" w:color="auto"/>
        <w:right w:val="none" w:sz="0" w:space="0" w:color="auto"/>
      </w:divBdr>
    </w:div>
    <w:div w:id="1963077789">
      <w:bodyDiv w:val="1"/>
      <w:marLeft w:val="0"/>
      <w:marRight w:val="0"/>
      <w:marTop w:val="0"/>
      <w:marBottom w:val="0"/>
      <w:divBdr>
        <w:top w:val="none" w:sz="0" w:space="0" w:color="auto"/>
        <w:left w:val="none" w:sz="0" w:space="0" w:color="auto"/>
        <w:bottom w:val="none" w:sz="0" w:space="0" w:color="auto"/>
        <w:right w:val="none" w:sz="0" w:space="0" w:color="auto"/>
      </w:divBdr>
    </w:div>
    <w:div w:id="1965041558">
      <w:bodyDiv w:val="1"/>
      <w:marLeft w:val="0"/>
      <w:marRight w:val="0"/>
      <w:marTop w:val="0"/>
      <w:marBottom w:val="0"/>
      <w:divBdr>
        <w:top w:val="none" w:sz="0" w:space="0" w:color="auto"/>
        <w:left w:val="none" w:sz="0" w:space="0" w:color="auto"/>
        <w:bottom w:val="none" w:sz="0" w:space="0" w:color="auto"/>
        <w:right w:val="none" w:sz="0" w:space="0" w:color="auto"/>
      </w:divBdr>
    </w:div>
    <w:div w:id="1966350267">
      <w:bodyDiv w:val="1"/>
      <w:marLeft w:val="0"/>
      <w:marRight w:val="0"/>
      <w:marTop w:val="0"/>
      <w:marBottom w:val="0"/>
      <w:divBdr>
        <w:top w:val="none" w:sz="0" w:space="0" w:color="auto"/>
        <w:left w:val="none" w:sz="0" w:space="0" w:color="auto"/>
        <w:bottom w:val="none" w:sz="0" w:space="0" w:color="auto"/>
        <w:right w:val="none" w:sz="0" w:space="0" w:color="auto"/>
      </w:divBdr>
    </w:div>
    <w:div w:id="1968270628">
      <w:bodyDiv w:val="1"/>
      <w:marLeft w:val="0"/>
      <w:marRight w:val="0"/>
      <w:marTop w:val="0"/>
      <w:marBottom w:val="0"/>
      <w:divBdr>
        <w:top w:val="none" w:sz="0" w:space="0" w:color="auto"/>
        <w:left w:val="none" w:sz="0" w:space="0" w:color="auto"/>
        <w:bottom w:val="none" w:sz="0" w:space="0" w:color="auto"/>
        <w:right w:val="none" w:sz="0" w:space="0" w:color="auto"/>
      </w:divBdr>
    </w:div>
    <w:div w:id="1968505654">
      <w:bodyDiv w:val="1"/>
      <w:marLeft w:val="0"/>
      <w:marRight w:val="0"/>
      <w:marTop w:val="0"/>
      <w:marBottom w:val="0"/>
      <w:divBdr>
        <w:top w:val="none" w:sz="0" w:space="0" w:color="auto"/>
        <w:left w:val="none" w:sz="0" w:space="0" w:color="auto"/>
        <w:bottom w:val="none" w:sz="0" w:space="0" w:color="auto"/>
        <w:right w:val="none" w:sz="0" w:space="0" w:color="auto"/>
      </w:divBdr>
    </w:div>
    <w:div w:id="1974094922">
      <w:bodyDiv w:val="1"/>
      <w:marLeft w:val="0"/>
      <w:marRight w:val="0"/>
      <w:marTop w:val="0"/>
      <w:marBottom w:val="0"/>
      <w:divBdr>
        <w:top w:val="none" w:sz="0" w:space="0" w:color="auto"/>
        <w:left w:val="none" w:sz="0" w:space="0" w:color="auto"/>
        <w:bottom w:val="none" w:sz="0" w:space="0" w:color="auto"/>
        <w:right w:val="none" w:sz="0" w:space="0" w:color="auto"/>
      </w:divBdr>
    </w:div>
    <w:div w:id="1975255046">
      <w:bodyDiv w:val="1"/>
      <w:marLeft w:val="0"/>
      <w:marRight w:val="0"/>
      <w:marTop w:val="0"/>
      <w:marBottom w:val="0"/>
      <w:divBdr>
        <w:top w:val="none" w:sz="0" w:space="0" w:color="auto"/>
        <w:left w:val="none" w:sz="0" w:space="0" w:color="auto"/>
        <w:bottom w:val="none" w:sz="0" w:space="0" w:color="auto"/>
        <w:right w:val="none" w:sz="0" w:space="0" w:color="auto"/>
      </w:divBdr>
    </w:div>
    <w:div w:id="1975405348">
      <w:bodyDiv w:val="1"/>
      <w:marLeft w:val="0"/>
      <w:marRight w:val="0"/>
      <w:marTop w:val="0"/>
      <w:marBottom w:val="0"/>
      <w:divBdr>
        <w:top w:val="none" w:sz="0" w:space="0" w:color="auto"/>
        <w:left w:val="none" w:sz="0" w:space="0" w:color="auto"/>
        <w:bottom w:val="none" w:sz="0" w:space="0" w:color="auto"/>
        <w:right w:val="none" w:sz="0" w:space="0" w:color="auto"/>
      </w:divBdr>
    </w:div>
    <w:div w:id="1975526743">
      <w:bodyDiv w:val="1"/>
      <w:marLeft w:val="0"/>
      <w:marRight w:val="0"/>
      <w:marTop w:val="0"/>
      <w:marBottom w:val="0"/>
      <w:divBdr>
        <w:top w:val="none" w:sz="0" w:space="0" w:color="auto"/>
        <w:left w:val="none" w:sz="0" w:space="0" w:color="auto"/>
        <w:bottom w:val="none" w:sz="0" w:space="0" w:color="auto"/>
        <w:right w:val="none" w:sz="0" w:space="0" w:color="auto"/>
      </w:divBdr>
    </w:div>
    <w:div w:id="1977181329">
      <w:bodyDiv w:val="1"/>
      <w:marLeft w:val="0"/>
      <w:marRight w:val="0"/>
      <w:marTop w:val="0"/>
      <w:marBottom w:val="0"/>
      <w:divBdr>
        <w:top w:val="none" w:sz="0" w:space="0" w:color="auto"/>
        <w:left w:val="none" w:sz="0" w:space="0" w:color="auto"/>
        <w:bottom w:val="none" w:sz="0" w:space="0" w:color="auto"/>
        <w:right w:val="none" w:sz="0" w:space="0" w:color="auto"/>
      </w:divBdr>
    </w:div>
    <w:div w:id="1981104747">
      <w:bodyDiv w:val="1"/>
      <w:marLeft w:val="0"/>
      <w:marRight w:val="0"/>
      <w:marTop w:val="0"/>
      <w:marBottom w:val="0"/>
      <w:divBdr>
        <w:top w:val="none" w:sz="0" w:space="0" w:color="auto"/>
        <w:left w:val="none" w:sz="0" w:space="0" w:color="auto"/>
        <w:bottom w:val="none" w:sz="0" w:space="0" w:color="auto"/>
        <w:right w:val="none" w:sz="0" w:space="0" w:color="auto"/>
      </w:divBdr>
    </w:div>
    <w:div w:id="1982885904">
      <w:bodyDiv w:val="1"/>
      <w:marLeft w:val="0"/>
      <w:marRight w:val="0"/>
      <w:marTop w:val="0"/>
      <w:marBottom w:val="0"/>
      <w:divBdr>
        <w:top w:val="none" w:sz="0" w:space="0" w:color="auto"/>
        <w:left w:val="none" w:sz="0" w:space="0" w:color="auto"/>
        <w:bottom w:val="none" w:sz="0" w:space="0" w:color="auto"/>
        <w:right w:val="none" w:sz="0" w:space="0" w:color="auto"/>
      </w:divBdr>
    </w:div>
    <w:div w:id="1983270080">
      <w:bodyDiv w:val="1"/>
      <w:marLeft w:val="0"/>
      <w:marRight w:val="0"/>
      <w:marTop w:val="0"/>
      <w:marBottom w:val="0"/>
      <w:divBdr>
        <w:top w:val="none" w:sz="0" w:space="0" w:color="auto"/>
        <w:left w:val="none" w:sz="0" w:space="0" w:color="auto"/>
        <w:bottom w:val="none" w:sz="0" w:space="0" w:color="auto"/>
        <w:right w:val="none" w:sz="0" w:space="0" w:color="auto"/>
      </w:divBdr>
    </w:div>
    <w:div w:id="1984000530">
      <w:bodyDiv w:val="1"/>
      <w:marLeft w:val="0"/>
      <w:marRight w:val="0"/>
      <w:marTop w:val="0"/>
      <w:marBottom w:val="0"/>
      <w:divBdr>
        <w:top w:val="none" w:sz="0" w:space="0" w:color="auto"/>
        <w:left w:val="none" w:sz="0" w:space="0" w:color="auto"/>
        <w:bottom w:val="none" w:sz="0" w:space="0" w:color="auto"/>
        <w:right w:val="none" w:sz="0" w:space="0" w:color="auto"/>
      </w:divBdr>
    </w:div>
    <w:div w:id="1985699660">
      <w:bodyDiv w:val="1"/>
      <w:marLeft w:val="0"/>
      <w:marRight w:val="0"/>
      <w:marTop w:val="0"/>
      <w:marBottom w:val="0"/>
      <w:divBdr>
        <w:top w:val="none" w:sz="0" w:space="0" w:color="auto"/>
        <w:left w:val="none" w:sz="0" w:space="0" w:color="auto"/>
        <w:bottom w:val="none" w:sz="0" w:space="0" w:color="auto"/>
        <w:right w:val="none" w:sz="0" w:space="0" w:color="auto"/>
      </w:divBdr>
    </w:div>
    <w:div w:id="1986664154">
      <w:bodyDiv w:val="1"/>
      <w:marLeft w:val="0"/>
      <w:marRight w:val="0"/>
      <w:marTop w:val="0"/>
      <w:marBottom w:val="0"/>
      <w:divBdr>
        <w:top w:val="none" w:sz="0" w:space="0" w:color="auto"/>
        <w:left w:val="none" w:sz="0" w:space="0" w:color="auto"/>
        <w:bottom w:val="none" w:sz="0" w:space="0" w:color="auto"/>
        <w:right w:val="none" w:sz="0" w:space="0" w:color="auto"/>
      </w:divBdr>
    </w:div>
    <w:div w:id="1986856294">
      <w:bodyDiv w:val="1"/>
      <w:marLeft w:val="0"/>
      <w:marRight w:val="0"/>
      <w:marTop w:val="0"/>
      <w:marBottom w:val="0"/>
      <w:divBdr>
        <w:top w:val="none" w:sz="0" w:space="0" w:color="auto"/>
        <w:left w:val="none" w:sz="0" w:space="0" w:color="auto"/>
        <w:bottom w:val="none" w:sz="0" w:space="0" w:color="auto"/>
        <w:right w:val="none" w:sz="0" w:space="0" w:color="auto"/>
      </w:divBdr>
    </w:div>
    <w:div w:id="1990329721">
      <w:bodyDiv w:val="1"/>
      <w:marLeft w:val="0"/>
      <w:marRight w:val="0"/>
      <w:marTop w:val="0"/>
      <w:marBottom w:val="0"/>
      <w:divBdr>
        <w:top w:val="none" w:sz="0" w:space="0" w:color="auto"/>
        <w:left w:val="none" w:sz="0" w:space="0" w:color="auto"/>
        <w:bottom w:val="none" w:sz="0" w:space="0" w:color="auto"/>
        <w:right w:val="none" w:sz="0" w:space="0" w:color="auto"/>
      </w:divBdr>
    </w:div>
    <w:div w:id="1991252210">
      <w:bodyDiv w:val="1"/>
      <w:marLeft w:val="0"/>
      <w:marRight w:val="0"/>
      <w:marTop w:val="0"/>
      <w:marBottom w:val="0"/>
      <w:divBdr>
        <w:top w:val="none" w:sz="0" w:space="0" w:color="auto"/>
        <w:left w:val="none" w:sz="0" w:space="0" w:color="auto"/>
        <w:bottom w:val="none" w:sz="0" w:space="0" w:color="auto"/>
        <w:right w:val="none" w:sz="0" w:space="0" w:color="auto"/>
      </w:divBdr>
    </w:div>
    <w:div w:id="1994092212">
      <w:bodyDiv w:val="1"/>
      <w:marLeft w:val="0"/>
      <w:marRight w:val="0"/>
      <w:marTop w:val="0"/>
      <w:marBottom w:val="0"/>
      <w:divBdr>
        <w:top w:val="none" w:sz="0" w:space="0" w:color="auto"/>
        <w:left w:val="none" w:sz="0" w:space="0" w:color="auto"/>
        <w:bottom w:val="none" w:sz="0" w:space="0" w:color="auto"/>
        <w:right w:val="none" w:sz="0" w:space="0" w:color="auto"/>
      </w:divBdr>
    </w:div>
    <w:div w:id="1994261856">
      <w:bodyDiv w:val="1"/>
      <w:marLeft w:val="0"/>
      <w:marRight w:val="0"/>
      <w:marTop w:val="0"/>
      <w:marBottom w:val="0"/>
      <w:divBdr>
        <w:top w:val="none" w:sz="0" w:space="0" w:color="auto"/>
        <w:left w:val="none" w:sz="0" w:space="0" w:color="auto"/>
        <w:bottom w:val="none" w:sz="0" w:space="0" w:color="auto"/>
        <w:right w:val="none" w:sz="0" w:space="0" w:color="auto"/>
      </w:divBdr>
    </w:div>
    <w:div w:id="1997486467">
      <w:bodyDiv w:val="1"/>
      <w:marLeft w:val="0"/>
      <w:marRight w:val="0"/>
      <w:marTop w:val="0"/>
      <w:marBottom w:val="0"/>
      <w:divBdr>
        <w:top w:val="none" w:sz="0" w:space="0" w:color="auto"/>
        <w:left w:val="none" w:sz="0" w:space="0" w:color="auto"/>
        <w:bottom w:val="none" w:sz="0" w:space="0" w:color="auto"/>
        <w:right w:val="none" w:sz="0" w:space="0" w:color="auto"/>
      </w:divBdr>
    </w:div>
    <w:div w:id="2000185937">
      <w:bodyDiv w:val="1"/>
      <w:marLeft w:val="0"/>
      <w:marRight w:val="0"/>
      <w:marTop w:val="0"/>
      <w:marBottom w:val="0"/>
      <w:divBdr>
        <w:top w:val="none" w:sz="0" w:space="0" w:color="auto"/>
        <w:left w:val="none" w:sz="0" w:space="0" w:color="auto"/>
        <w:bottom w:val="none" w:sz="0" w:space="0" w:color="auto"/>
        <w:right w:val="none" w:sz="0" w:space="0" w:color="auto"/>
      </w:divBdr>
    </w:div>
    <w:div w:id="2000839841">
      <w:bodyDiv w:val="1"/>
      <w:marLeft w:val="0"/>
      <w:marRight w:val="0"/>
      <w:marTop w:val="0"/>
      <w:marBottom w:val="0"/>
      <w:divBdr>
        <w:top w:val="none" w:sz="0" w:space="0" w:color="auto"/>
        <w:left w:val="none" w:sz="0" w:space="0" w:color="auto"/>
        <w:bottom w:val="none" w:sz="0" w:space="0" w:color="auto"/>
        <w:right w:val="none" w:sz="0" w:space="0" w:color="auto"/>
      </w:divBdr>
    </w:div>
    <w:div w:id="2002196490">
      <w:bodyDiv w:val="1"/>
      <w:marLeft w:val="0"/>
      <w:marRight w:val="0"/>
      <w:marTop w:val="0"/>
      <w:marBottom w:val="0"/>
      <w:divBdr>
        <w:top w:val="none" w:sz="0" w:space="0" w:color="auto"/>
        <w:left w:val="none" w:sz="0" w:space="0" w:color="auto"/>
        <w:bottom w:val="none" w:sz="0" w:space="0" w:color="auto"/>
        <w:right w:val="none" w:sz="0" w:space="0" w:color="auto"/>
      </w:divBdr>
    </w:div>
    <w:div w:id="2003121235">
      <w:bodyDiv w:val="1"/>
      <w:marLeft w:val="0"/>
      <w:marRight w:val="0"/>
      <w:marTop w:val="0"/>
      <w:marBottom w:val="0"/>
      <w:divBdr>
        <w:top w:val="none" w:sz="0" w:space="0" w:color="auto"/>
        <w:left w:val="none" w:sz="0" w:space="0" w:color="auto"/>
        <w:bottom w:val="none" w:sz="0" w:space="0" w:color="auto"/>
        <w:right w:val="none" w:sz="0" w:space="0" w:color="auto"/>
      </w:divBdr>
    </w:div>
    <w:div w:id="2003505965">
      <w:bodyDiv w:val="1"/>
      <w:marLeft w:val="0"/>
      <w:marRight w:val="0"/>
      <w:marTop w:val="0"/>
      <w:marBottom w:val="0"/>
      <w:divBdr>
        <w:top w:val="none" w:sz="0" w:space="0" w:color="auto"/>
        <w:left w:val="none" w:sz="0" w:space="0" w:color="auto"/>
        <w:bottom w:val="none" w:sz="0" w:space="0" w:color="auto"/>
        <w:right w:val="none" w:sz="0" w:space="0" w:color="auto"/>
      </w:divBdr>
    </w:div>
    <w:div w:id="2003779559">
      <w:bodyDiv w:val="1"/>
      <w:marLeft w:val="0"/>
      <w:marRight w:val="0"/>
      <w:marTop w:val="0"/>
      <w:marBottom w:val="0"/>
      <w:divBdr>
        <w:top w:val="none" w:sz="0" w:space="0" w:color="auto"/>
        <w:left w:val="none" w:sz="0" w:space="0" w:color="auto"/>
        <w:bottom w:val="none" w:sz="0" w:space="0" w:color="auto"/>
        <w:right w:val="none" w:sz="0" w:space="0" w:color="auto"/>
      </w:divBdr>
    </w:div>
    <w:div w:id="2004384972">
      <w:bodyDiv w:val="1"/>
      <w:marLeft w:val="0"/>
      <w:marRight w:val="0"/>
      <w:marTop w:val="0"/>
      <w:marBottom w:val="0"/>
      <w:divBdr>
        <w:top w:val="none" w:sz="0" w:space="0" w:color="auto"/>
        <w:left w:val="none" w:sz="0" w:space="0" w:color="auto"/>
        <w:bottom w:val="none" w:sz="0" w:space="0" w:color="auto"/>
        <w:right w:val="none" w:sz="0" w:space="0" w:color="auto"/>
      </w:divBdr>
    </w:div>
    <w:div w:id="2005208051">
      <w:bodyDiv w:val="1"/>
      <w:marLeft w:val="0"/>
      <w:marRight w:val="0"/>
      <w:marTop w:val="0"/>
      <w:marBottom w:val="0"/>
      <w:divBdr>
        <w:top w:val="none" w:sz="0" w:space="0" w:color="auto"/>
        <w:left w:val="none" w:sz="0" w:space="0" w:color="auto"/>
        <w:bottom w:val="none" w:sz="0" w:space="0" w:color="auto"/>
        <w:right w:val="none" w:sz="0" w:space="0" w:color="auto"/>
      </w:divBdr>
    </w:div>
    <w:div w:id="2005622001">
      <w:bodyDiv w:val="1"/>
      <w:marLeft w:val="0"/>
      <w:marRight w:val="0"/>
      <w:marTop w:val="0"/>
      <w:marBottom w:val="0"/>
      <w:divBdr>
        <w:top w:val="none" w:sz="0" w:space="0" w:color="auto"/>
        <w:left w:val="none" w:sz="0" w:space="0" w:color="auto"/>
        <w:bottom w:val="none" w:sz="0" w:space="0" w:color="auto"/>
        <w:right w:val="none" w:sz="0" w:space="0" w:color="auto"/>
      </w:divBdr>
    </w:div>
    <w:div w:id="2007245713">
      <w:bodyDiv w:val="1"/>
      <w:marLeft w:val="0"/>
      <w:marRight w:val="0"/>
      <w:marTop w:val="0"/>
      <w:marBottom w:val="0"/>
      <w:divBdr>
        <w:top w:val="none" w:sz="0" w:space="0" w:color="auto"/>
        <w:left w:val="none" w:sz="0" w:space="0" w:color="auto"/>
        <w:bottom w:val="none" w:sz="0" w:space="0" w:color="auto"/>
        <w:right w:val="none" w:sz="0" w:space="0" w:color="auto"/>
      </w:divBdr>
    </w:div>
    <w:div w:id="2007589168">
      <w:bodyDiv w:val="1"/>
      <w:marLeft w:val="0"/>
      <w:marRight w:val="0"/>
      <w:marTop w:val="0"/>
      <w:marBottom w:val="0"/>
      <w:divBdr>
        <w:top w:val="none" w:sz="0" w:space="0" w:color="auto"/>
        <w:left w:val="none" w:sz="0" w:space="0" w:color="auto"/>
        <w:bottom w:val="none" w:sz="0" w:space="0" w:color="auto"/>
        <w:right w:val="none" w:sz="0" w:space="0" w:color="auto"/>
      </w:divBdr>
    </w:div>
    <w:div w:id="2008247422">
      <w:bodyDiv w:val="1"/>
      <w:marLeft w:val="0"/>
      <w:marRight w:val="0"/>
      <w:marTop w:val="0"/>
      <w:marBottom w:val="0"/>
      <w:divBdr>
        <w:top w:val="none" w:sz="0" w:space="0" w:color="auto"/>
        <w:left w:val="none" w:sz="0" w:space="0" w:color="auto"/>
        <w:bottom w:val="none" w:sz="0" w:space="0" w:color="auto"/>
        <w:right w:val="none" w:sz="0" w:space="0" w:color="auto"/>
      </w:divBdr>
    </w:div>
    <w:div w:id="2011322764">
      <w:bodyDiv w:val="1"/>
      <w:marLeft w:val="0"/>
      <w:marRight w:val="0"/>
      <w:marTop w:val="0"/>
      <w:marBottom w:val="0"/>
      <w:divBdr>
        <w:top w:val="none" w:sz="0" w:space="0" w:color="auto"/>
        <w:left w:val="none" w:sz="0" w:space="0" w:color="auto"/>
        <w:bottom w:val="none" w:sz="0" w:space="0" w:color="auto"/>
        <w:right w:val="none" w:sz="0" w:space="0" w:color="auto"/>
      </w:divBdr>
    </w:div>
    <w:div w:id="2011711496">
      <w:bodyDiv w:val="1"/>
      <w:marLeft w:val="0"/>
      <w:marRight w:val="0"/>
      <w:marTop w:val="0"/>
      <w:marBottom w:val="0"/>
      <w:divBdr>
        <w:top w:val="none" w:sz="0" w:space="0" w:color="auto"/>
        <w:left w:val="none" w:sz="0" w:space="0" w:color="auto"/>
        <w:bottom w:val="none" w:sz="0" w:space="0" w:color="auto"/>
        <w:right w:val="none" w:sz="0" w:space="0" w:color="auto"/>
      </w:divBdr>
    </w:div>
    <w:div w:id="20117167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3869080">
      <w:bodyDiv w:val="1"/>
      <w:marLeft w:val="0"/>
      <w:marRight w:val="0"/>
      <w:marTop w:val="0"/>
      <w:marBottom w:val="0"/>
      <w:divBdr>
        <w:top w:val="none" w:sz="0" w:space="0" w:color="auto"/>
        <w:left w:val="none" w:sz="0" w:space="0" w:color="auto"/>
        <w:bottom w:val="none" w:sz="0" w:space="0" w:color="auto"/>
        <w:right w:val="none" w:sz="0" w:space="0" w:color="auto"/>
      </w:divBdr>
    </w:div>
    <w:div w:id="2018193449">
      <w:bodyDiv w:val="1"/>
      <w:marLeft w:val="0"/>
      <w:marRight w:val="0"/>
      <w:marTop w:val="0"/>
      <w:marBottom w:val="0"/>
      <w:divBdr>
        <w:top w:val="none" w:sz="0" w:space="0" w:color="auto"/>
        <w:left w:val="none" w:sz="0" w:space="0" w:color="auto"/>
        <w:bottom w:val="none" w:sz="0" w:space="0" w:color="auto"/>
        <w:right w:val="none" w:sz="0" w:space="0" w:color="auto"/>
      </w:divBdr>
    </w:div>
    <w:div w:id="2019769121">
      <w:bodyDiv w:val="1"/>
      <w:marLeft w:val="0"/>
      <w:marRight w:val="0"/>
      <w:marTop w:val="0"/>
      <w:marBottom w:val="0"/>
      <w:divBdr>
        <w:top w:val="none" w:sz="0" w:space="0" w:color="auto"/>
        <w:left w:val="none" w:sz="0" w:space="0" w:color="auto"/>
        <w:bottom w:val="none" w:sz="0" w:space="0" w:color="auto"/>
        <w:right w:val="none" w:sz="0" w:space="0" w:color="auto"/>
      </w:divBdr>
    </w:div>
    <w:div w:id="2020278399">
      <w:bodyDiv w:val="1"/>
      <w:marLeft w:val="0"/>
      <w:marRight w:val="0"/>
      <w:marTop w:val="0"/>
      <w:marBottom w:val="0"/>
      <w:divBdr>
        <w:top w:val="none" w:sz="0" w:space="0" w:color="auto"/>
        <w:left w:val="none" w:sz="0" w:space="0" w:color="auto"/>
        <w:bottom w:val="none" w:sz="0" w:space="0" w:color="auto"/>
        <w:right w:val="none" w:sz="0" w:space="0" w:color="auto"/>
      </w:divBdr>
    </w:div>
    <w:div w:id="2020351424">
      <w:bodyDiv w:val="1"/>
      <w:marLeft w:val="0"/>
      <w:marRight w:val="0"/>
      <w:marTop w:val="0"/>
      <w:marBottom w:val="0"/>
      <w:divBdr>
        <w:top w:val="none" w:sz="0" w:space="0" w:color="auto"/>
        <w:left w:val="none" w:sz="0" w:space="0" w:color="auto"/>
        <w:bottom w:val="none" w:sz="0" w:space="0" w:color="auto"/>
        <w:right w:val="none" w:sz="0" w:space="0" w:color="auto"/>
      </w:divBdr>
    </w:div>
    <w:div w:id="2022003258">
      <w:bodyDiv w:val="1"/>
      <w:marLeft w:val="0"/>
      <w:marRight w:val="0"/>
      <w:marTop w:val="0"/>
      <w:marBottom w:val="0"/>
      <w:divBdr>
        <w:top w:val="none" w:sz="0" w:space="0" w:color="auto"/>
        <w:left w:val="none" w:sz="0" w:space="0" w:color="auto"/>
        <w:bottom w:val="none" w:sz="0" w:space="0" w:color="auto"/>
        <w:right w:val="none" w:sz="0" w:space="0" w:color="auto"/>
      </w:divBdr>
    </w:div>
    <w:div w:id="2022509709">
      <w:bodyDiv w:val="1"/>
      <w:marLeft w:val="0"/>
      <w:marRight w:val="0"/>
      <w:marTop w:val="0"/>
      <w:marBottom w:val="0"/>
      <w:divBdr>
        <w:top w:val="none" w:sz="0" w:space="0" w:color="auto"/>
        <w:left w:val="none" w:sz="0" w:space="0" w:color="auto"/>
        <w:bottom w:val="none" w:sz="0" w:space="0" w:color="auto"/>
        <w:right w:val="none" w:sz="0" w:space="0" w:color="auto"/>
      </w:divBdr>
    </w:div>
    <w:div w:id="2023894609">
      <w:bodyDiv w:val="1"/>
      <w:marLeft w:val="0"/>
      <w:marRight w:val="0"/>
      <w:marTop w:val="0"/>
      <w:marBottom w:val="0"/>
      <w:divBdr>
        <w:top w:val="none" w:sz="0" w:space="0" w:color="auto"/>
        <w:left w:val="none" w:sz="0" w:space="0" w:color="auto"/>
        <w:bottom w:val="none" w:sz="0" w:space="0" w:color="auto"/>
        <w:right w:val="none" w:sz="0" w:space="0" w:color="auto"/>
      </w:divBdr>
    </w:div>
    <w:div w:id="2024739749">
      <w:bodyDiv w:val="1"/>
      <w:marLeft w:val="0"/>
      <w:marRight w:val="0"/>
      <w:marTop w:val="0"/>
      <w:marBottom w:val="0"/>
      <w:divBdr>
        <w:top w:val="none" w:sz="0" w:space="0" w:color="auto"/>
        <w:left w:val="none" w:sz="0" w:space="0" w:color="auto"/>
        <w:bottom w:val="none" w:sz="0" w:space="0" w:color="auto"/>
        <w:right w:val="none" w:sz="0" w:space="0" w:color="auto"/>
      </w:divBdr>
    </w:div>
    <w:div w:id="2028628092">
      <w:bodyDiv w:val="1"/>
      <w:marLeft w:val="0"/>
      <w:marRight w:val="0"/>
      <w:marTop w:val="0"/>
      <w:marBottom w:val="0"/>
      <w:divBdr>
        <w:top w:val="none" w:sz="0" w:space="0" w:color="auto"/>
        <w:left w:val="none" w:sz="0" w:space="0" w:color="auto"/>
        <w:bottom w:val="none" w:sz="0" w:space="0" w:color="auto"/>
        <w:right w:val="none" w:sz="0" w:space="0" w:color="auto"/>
      </w:divBdr>
    </w:div>
    <w:div w:id="2029021517">
      <w:bodyDiv w:val="1"/>
      <w:marLeft w:val="0"/>
      <w:marRight w:val="0"/>
      <w:marTop w:val="0"/>
      <w:marBottom w:val="0"/>
      <w:divBdr>
        <w:top w:val="none" w:sz="0" w:space="0" w:color="auto"/>
        <w:left w:val="none" w:sz="0" w:space="0" w:color="auto"/>
        <w:bottom w:val="none" w:sz="0" w:space="0" w:color="auto"/>
        <w:right w:val="none" w:sz="0" w:space="0" w:color="auto"/>
      </w:divBdr>
    </w:div>
    <w:div w:id="2030984571">
      <w:bodyDiv w:val="1"/>
      <w:marLeft w:val="0"/>
      <w:marRight w:val="0"/>
      <w:marTop w:val="0"/>
      <w:marBottom w:val="0"/>
      <w:divBdr>
        <w:top w:val="none" w:sz="0" w:space="0" w:color="auto"/>
        <w:left w:val="none" w:sz="0" w:space="0" w:color="auto"/>
        <w:bottom w:val="none" w:sz="0" w:space="0" w:color="auto"/>
        <w:right w:val="none" w:sz="0" w:space="0" w:color="auto"/>
      </w:divBdr>
    </w:div>
    <w:div w:id="2031102661">
      <w:bodyDiv w:val="1"/>
      <w:marLeft w:val="0"/>
      <w:marRight w:val="0"/>
      <w:marTop w:val="0"/>
      <w:marBottom w:val="0"/>
      <w:divBdr>
        <w:top w:val="none" w:sz="0" w:space="0" w:color="auto"/>
        <w:left w:val="none" w:sz="0" w:space="0" w:color="auto"/>
        <w:bottom w:val="none" w:sz="0" w:space="0" w:color="auto"/>
        <w:right w:val="none" w:sz="0" w:space="0" w:color="auto"/>
      </w:divBdr>
    </w:div>
    <w:div w:id="2032298944">
      <w:bodyDiv w:val="1"/>
      <w:marLeft w:val="0"/>
      <w:marRight w:val="0"/>
      <w:marTop w:val="0"/>
      <w:marBottom w:val="0"/>
      <w:divBdr>
        <w:top w:val="none" w:sz="0" w:space="0" w:color="auto"/>
        <w:left w:val="none" w:sz="0" w:space="0" w:color="auto"/>
        <w:bottom w:val="none" w:sz="0" w:space="0" w:color="auto"/>
        <w:right w:val="none" w:sz="0" w:space="0" w:color="auto"/>
      </w:divBdr>
    </w:div>
    <w:div w:id="2032880395">
      <w:bodyDiv w:val="1"/>
      <w:marLeft w:val="0"/>
      <w:marRight w:val="0"/>
      <w:marTop w:val="0"/>
      <w:marBottom w:val="0"/>
      <w:divBdr>
        <w:top w:val="none" w:sz="0" w:space="0" w:color="auto"/>
        <w:left w:val="none" w:sz="0" w:space="0" w:color="auto"/>
        <w:bottom w:val="none" w:sz="0" w:space="0" w:color="auto"/>
        <w:right w:val="none" w:sz="0" w:space="0" w:color="auto"/>
      </w:divBdr>
    </w:div>
    <w:div w:id="2036154256">
      <w:bodyDiv w:val="1"/>
      <w:marLeft w:val="0"/>
      <w:marRight w:val="0"/>
      <w:marTop w:val="0"/>
      <w:marBottom w:val="0"/>
      <w:divBdr>
        <w:top w:val="none" w:sz="0" w:space="0" w:color="auto"/>
        <w:left w:val="none" w:sz="0" w:space="0" w:color="auto"/>
        <w:bottom w:val="none" w:sz="0" w:space="0" w:color="auto"/>
        <w:right w:val="none" w:sz="0" w:space="0" w:color="auto"/>
      </w:divBdr>
    </w:div>
    <w:div w:id="2038659587">
      <w:bodyDiv w:val="1"/>
      <w:marLeft w:val="0"/>
      <w:marRight w:val="0"/>
      <w:marTop w:val="0"/>
      <w:marBottom w:val="0"/>
      <w:divBdr>
        <w:top w:val="none" w:sz="0" w:space="0" w:color="auto"/>
        <w:left w:val="none" w:sz="0" w:space="0" w:color="auto"/>
        <w:bottom w:val="none" w:sz="0" w:space="0" w:color="auto"/>
        <w:right w:val="none" w:sz="0" w:space="0" w:color="auto"/>
      </w:divBdr>
    </w:div>
    <w:div w:id="2039114394">
      <w:bodyDiv w:val="1"/>
      <w:marLeft w:val="0"/>
      <w:marRight w:val="0"/>
      <w:marTop w:val="0"/>
      <w:marBottom w:val="0"/>
      <w:divBdr>
        <w:top w:val="none" w:sz="0" w:space="0" w:color="auto"/>
        <w:left w:val="none" w:sz="0" w:space="0" w:color="auto"/>
        <w:bottom w:val="none" w:sz="0" w:space="0" w:color="auto"/>
        <w:right w:val="none" w:sz="0" w:space="0" w:color="auto"/>
      </w:divBdr>
    </w:div>
    <w:div w:id="2044092474">
      <w:bodyDiv w:val="1"/>
      <w:marLeft w:val="0"/>
      <w:marRight w:val="0"/>
      <w:marTop w:val="0"/>
      <w:marBottom w:val="0"/>
      <w:divBdr>
        <w:top w:val="none" w:sz="0" w:space="0" w:color="auto"/>
        <w:left w:val="none" w:sz="0" w:space="0" w:color="auto"/>
        <w:bottom w:val="none" w:sz="0" w:space="0" w:color="auto"/>
        <w:right w:val="none" w:sz="0" w:space="0" w:color="auto"/>
      </w:divBdr>
    </w:div>
    <w:div w:id="2044360119">
      <w:bodyDiv w:val="1"/>
      <w:marLeft w:val="0"/>
      <w:marRight w:val="0"/>
      <w:marTop w:val="0"/>
      <w:marBottom w:val="0"/>
      <w:divBdr>
        <w:top w:val="none" w:sz="0" w:space="0" w:color="auto"/>
        <w:left w:val="none" w:sz="0" w:space="0" w:color="auto"/>
        <w:bottom w:val="none" w:sz="0" w:space="0" w:color="auto"/>
        <w:right w:val="none" w:sz="0" w:space="0" w:color="auto"/>
      </w:divBdr>
    </w:div>
    <w:div w:id="2044548722">
      <w:bodyDiv w:val="1"/>
      <w:marLeft w:val="0"/>
      <w:marRight w:val="0"/>
      <w:marTop w:val="0"/>
      <w:marBottom w:val="0"/>
      <w:divBdr>
        <w:top w:val="none" w:sz="0" w:space="0" w:color="auto"/>
        <w:left w:val="none" w:sz="0" w:space="0" w:color="auto"/>
        <w:bottom w:val="none" w:sz="0" w:space="0" w:color="auto"/>
        <w:right w:val="none" w:sz="0" w:space="0" w:color="auto"/>
      </w:divBdr>
    </w:div>
    <w:div w:id="2044549873">
      <w:bodyDiv w:val="1"/>
      <w:marLeft w:val="0"/>
      <w:marRight w:val="0"/>
      <w:marTop w:val="0"/>
      <w:marBottom w:val="0"/>
      <w:divBdr>
        <w:top w:val="none" w:sz="0" w:space="0" w:color="auto"/>
        <w:left w:val="none" w:sz="0" w:space="0" w:color="auto"/>
        <w:bottom w:val="none" w:sz="0" w:space="0" w:color="auto"/>
        <w:right w:val="none" w:sz="0" w:space="0" w:color="auto"/>
      </w:divBdr>
    </w:div>
    <w:div w:id="2045207290">
      <w:bodyDiv w:val="1"/>
      <w:marLeft w:val="0"/>
      <w:marRight w:val="0"/>
      <w:marTop w:val="0"/>
      <w:marBottom w:val="0"/>
      <w:divBdr>
        <w:top w:val="none" w:sz="0" w:space="0" w:color="auto"/>
        <w:left w:val="none" w:sz="0" w:space="0" w:color="auto"/>
        <w:bottom w:val="none" w:sz="0" w:space="0" w:color="auto"/>
        <w:right w:val="none" w:sz="0" w:space="0" w:color="auto"/>
      </w:divBdr>
    </w:div>
    <w:div w:id="2047682948">
      <w:bodyDiv w:val="1"/>
      <w:marLeft w:val="0"/>
      <w:marRight w:val="0"/>
      <w:marTop w:val="0"/>
      <w:marBottom w:val="0"/>
      <w:divBdr>
        <w:top w:val="none" w:sz="0" w:space="0" w:color="auto"/>
        <w:left w:val="none" w:sz="0" w:space="0" w:color="auto"/>
        <w:bottom w:val="none" w:sz="0" w:space="0" w:color="auto"/>
        <w:right w:val="none" w:sz="0" w:space="0" w:color="auto"/>
      </w:divBdr>
    </w:div>
    <w:div w:id="2051371260">
      <w:bodyDiv w:val="1"/>
      <w:marLeft w:val="0"/>
      <w:marRight w:val="0"/>
      <w:marTop w:val="0"/>
      <w:marBottom w:val="0"/>
      <w:divBdr>
        <w:top w:val="none" w:sz="0" w:space="0" w:color="auto"/>
        <w:left w:val="none" w:sz="0" w:space="0" w:color="auto"/>
        <w:bottom w:val="none" w:sz="0" w:space="0" w:color="auto"/>
        <w:right w:val="none" w:sz="0" w:space="0" w:color="auto"/>
      </w:divBdr>
    </w:div>
    <w:div w:id="2052264276">
      <w:bodyDiv w:val="1"/>
      <w:marLeft w:val="0"/>
      <w:marRight w:val="0"/>
      <w:marTop w:val="0"/>
      <w:marBottom w:val="0"/>
      <w:divBdr>
        <w:top w:val="none" w:sz="0" w:space="0" w:color="auto"/>
        <w:left w:val="none" w:sz="0" w:space="0" w:color="auto"/>
        <w:bottom w:val="none" w:sz="0" w:space="0" w:color="auto"/>
        <w:right w:val="none" w:sz="0" w:space="0" w:color="auto"/>
      </w:divBdr>
    </w:div>
    <w:div w:id="2052878640">
      <w:bodyDiv w:val="1"/>
      <w:marLeft w:val="0"/>
      <w:marRight w:val="0"/>
      <w:marTop w:val="0"/>
      <w:marBottom w:val="0"/>
      <w:divBdr>
        <w:top w:val="none" w:sz="0" w:space="0" w:color="auto"/>
        <w:left w:val="none" w:sz="0" w:space="0" w:color="auto"/>
        <w:bottom w:val="none" w:sz="0" w:space="0" w:color="auto"/>
        <w:right w:val="none" w:sz="0" w:space="0" w:color="auto"/>
      </w:divBdr>
    </w:div>
    <w:div w:id="2054453604">
      <w:bodyDiv w:val="1"/>
      <w:marLeft w:val="0"/>
      <w:marRight w:val="0"/>
      <w:marTop w:val="0"/>
      <w:marBottom w:val="0"/>
      <w:divBdr>
        <w:top w:val="none" w:sz="0" w:space="0" w:color="auto"/>
        <w:left w:val="none" w:sz="0" w:space="0" w:color="auto"/>
        <w:bottom w:val="none" w:sz="0" w:space="0" w:color="auto"/>
        <w:right w:val="none" w:sz="0" w:space="0" w:color="auto"/>
      </w:divBdr>
    </w:div>
    <w:div w:id="2055962156">
      <w:bodyDiv w:val="1"/>
      <w:marLeft w:val="0"/>
      <w:marRight w:val="0"/>
      <w:marTop w:val="0"/>
      <w:marBottom w:val="0"/>
      <w:divBdr>
        <w:top w:val="none" w:sz="0" w:space="0" w:color="auto"/>
        <w:left w:val="none" w:sz="0" w:space="0" w:color="auto"/>
        <w:bottom w:val="none" w:sz="0" w:space="0" w:color="auto"/>
        <w:right w:val="none" w:sz="0" w:space="0" w:color="auto"/>
      </w:divBdr>
    </w:div>
    <w:div w:id="2058426401">
      <w:bodyDiv w:val="1"/>
      <w:marLeft w:val="0"/>
      <w:marRight w:val="0"/>
      <w:marTop w:val="0"/>
      <w:marBottom w:val="0"/>
      <w:divBdr>
        <w:top w:val="none" w:sz="0" w:space="0" w:color="auto"/>
        <w:left w:val="none" w:sz="0" w:space="0" w:color="auto"/>
        <w:bottom w:val="none" w:sz="0" w:space="0" w:color="auto"/>
        <w:right w:val="none" w:sz="0" w:space="0" w:color="auto"/>
      </w:divBdr>
    </w:div>
    <w:div w:id="2059696769">
      <w:bodyDiv w:val="1"/>
      <w:marLeft w:val="0"/>
      <w:marRight w:val="0"/>
      <w:marTop w:val="0"/>
      <w:marBottom w:val="0"/>
      <w:divBdr>
        <w:top w:val="none" w:sz="0" w:space="0" w:color="auto"/>
        <w:left w:val="none" w:sz="0" w:space="0" w:color="auto"/>
        <w:bottom w:val="none" w:sz="0" w:space="0" w:color="auto"/>
        <w:right w:val="none" w:sz="0" w:space="0" w:color="auto"/>
      </w:divBdr>
    </w:div>
    <w:div w:id="2061513113">
      <w:bodyDiv w:val="1"/>
      <w:marLeft w:val="0"/>
      <w:marRight w:val="0"/>
      <w:marTop w:val="0"/>
      <w:marBottom w:val="0"/>
      <w:divBdr>
        <w:top w:val="none" w:sz="0" w:space="0" w:color="auto"/>
        <w:left w:val="none" w:sz="0" w:space="0" w:color="auto"/>
        <w:bottom w:val="none" w:sz="0" w:space="0" w:color="auto"/>
        <w:right w:val="none" w:sz="0" w:space="0" w:color="auto"/>
      </w:divBdr>
    </w:div>
    <w:div w:id="2061975533">
      <w:bodyDiv w:val="1"/>
      <w:marLeft w:val="0"/>
      <w:marRight w:val="0"/>
      <w:marTop w:val="0"/>
      <w:marBottom w:val="0"/>
      <w:divBdr>
        <w:top w:val="none" w:sz="0" w:space="0" w:color="auto"/>
        <w:left w:val="none" w:sz="0" w:space="0" w:color="auto"/>
        <w:bottom w:val="none" w:sz="0" w:space="0" w:color="auto"/>
        <w:right w:val="none" w:sz="0" w:space="0" w:color="auto"/>
      </w:divBdr>
    </w:div>
    <w:div w:id="2062511331">
      <w:bodyDiv w:val="1"/>
      <w:marLeft w:val="0"/>
      <w:marRight w:val="0"/>
      <w:marTop w:val="0"/>
      <w:marBottom w:val="0"/>
      <w:divBdr>
        <w:top w:val="none" w:sz="0" w:space="0" w:color="auto"/>
        <w:left w:val="none" w:sz="0" w:space="0" w:color="auto"/>
        <w:bottom w:val="none" w:sz="0" w:space="0" w:color="auto"/>
        <w:right w:val="none" w:sz="0" w:space="0" w:color="auto"/>
      </w:divBdr>
    </w:div>
    <w:div w:id="2066026755">
      <w:bodyDiv w:val="1"/>
      <w:marLeft w:val="0"/>
      <w:marRight w:val="0"/>
      <w:marTop w:val="0"/>
      <w:marBottom w:val="0"/>
      <w:divBdr>
        <w:top w:val="none" w:sz="0" w:space="0" w:color="auto"/>
        <w:left w:val="none" w:sz="0" w:space="0" w:color="auto"/>
        <w:bottom w:val="none" w:sz="0" w:space="0" w:color="auto"/>
        <w:right w:val="none" w:sz="0" w:space="0" w:color="auto"/>
      </w:divBdr>
    </w:div>
    <w:div w:id="2066875148">
      <w:bodyDiv w:val="1"/>
      <w:marLeft w:val="0"/>
      <w:marRight w:val="0"/>
      <w:marTop w:val="0"/>
      <w:marBottom w:val="0"/>
      <w:divBdr>
        <w:top w:val="none" w:sz="0" w:space="0" w:color="auto"/>
        <w:left w:val="none" w:sz="0" w:space="0" w:color="auto"/>
        <w:bottom w:val="none" w:sz="0" w:space="0" w:color="auto"/>
        <w:right w:val="none" w:sz="0" w:space="0" w:color="auto"/>
      </w:divBdr>
    </w:div>
    <w:div w:id="2067491480">
      <w:bodyDiv w:val="1"/>
      <w:marLeft w:val="0"/>
      <w:marRight w:val="0"/>
      <w:marTop w:val="0"/>
      <w:marBottom w:val="0"/>
      <w:divBdr>
        <w:top w:val="none" w:sz="0" w:space="0" w:color="auto"/>
        <w:left w:val="none" w:sz="0" w:space="0" w:color="auto"/>
        <w:bottom w:val="none" w:sz="0" w:space="0" w:color="auto"/>
        <w:right w:val="none" w:sz="0" w:space="0" w:color="auto"/>
      </w:divBdr>
    </w:div>
    <w:div w:id="2068528847">
      <w:bodyDiv w:val="1"/>
      <w:marLeft w:val="0"/>
      <w:marRight w:val="0"/>
      <w:marTop w:val="0"/>
      <w:marBottom w:val="0"/>
      <w:divBdr>
        <w:top w:val="none" w:sz="0" w:space="0" w:color="auto"/>
        <w:left w:val="none" w:sz="0" w:space="0" w:color="auto"/>
        <w:bottom w:val="none" w:sz="0" w:space="0" w:color="auto"/>
        <w:right w:val="none" w:sz="0" w:space="0" w:color="auto"/>
      </w:divBdr>
    </w:div>
    <w:div w:id="2069108692">
      <w:bodyDiv w:val="1"/>
      <w:marLeft w:val="0"/>
      <w:marRight w:val="0"/>
      <w:marTop w:val="0"/>
      <w:marBottom w:val="0"/>
      <w:divBdr>
        <w:top w:val="none" w:sz="0" w:space="0" w:color="auto"/>
        <w:left w:val="none" w:sz="0" w:space="0" w:color="auto"/>
        <w:bottom w:val="none" w:sz="0" w:space="0" w:color="auto"/>
        <w:right w:val="none" w:sz="0" w:space="0" w:color="auto"/>
      </w:divBdr>
    </w:div>
    <w:div w:id="2070180065">
      <w:bodyDiv w:val="1"/>
      <w:marLeft w:val="0"/>
      <w:marRight w:val="0"/>
      <w:marTop w:val="0"/>
      <w:marBottom w:val="0"/>
      <w:divBdr>
        <w:top w:val="none" w:sz="0" w:space="0" w:color="auto"/>
        <w:left w:val="none" w:sz="0" w:space="0" w:color="auto"/>
        <w:bottom w:val="none" w:sz="0" w:space="0" w:color="auto"/>
        <w:right w:val="none" w:sz="0" w:space="0" w:color="auto"/>
      </w:divBdr>
    </w:div>
    <w:div w:id="2070570910">
      <w:bodyDiv w:val="1"/>
      <w:marLeft w:val="0"/>
      <w:marRight w:val="0"/>
      <w:marTop w:val="0"/>
      <w:marBottom w:val="0"/>
      <w:divBdr>
        <w:top w:val="none" w:sz="0" w:space="0" w:color="auto"/>
        <w:left w:val="none" w:sz="0" w:space="0" w:color="auto"/>
        <w:bottom w:val="none" w:sz="0" w:space="0" w:color="auto"/>
        <w:right w:val="none" w:sz="0" w:space="0" w:color="auto"/>
      </w:divBdr>
    </w:div>
    <w:div w:id="2072843540">
      <w:bodyDiv w:val="1"/>
      <w:marLeft w:val="0"/>
      <w:marRight w:val="0"/>
      <w:marTop w:val="0"/>
      <w:marBottom w:val="0"/>
      <w:divBdr>
        <w:top w:val="none" w:sz="0" w:space="0" w:color="auto"/>
        <w:left w:val="none" w:sz="0" w:space="0" w:color="auto"/>
        <w:bottom w:val="none" w:sz="0" w:space="0" w:color="auto"/>
        <w:right w:val="none" w:sz="0" w:space="0" w:color="auto"/>
      </w:divBdr>
    </w:div>
    <w:div w:id="2075348830">
      <w:bodyDiv w:val="1"/>
      <w:marLeft w:val="0"/>
      <w:marRight w:val="0"/>
      <w:marTop w:val="0"/>
      <w:marBottom w:val="0"/>
      <w:divBdr>
        <w:top w:val="none" w:sz="0" w:space="0" w:color="auto"/>
        <w:left w:val="none" w:sz="0" w:space="0" w:color="auto"/>
        <w:bottom w:val="none" w:sz="0" w:space="0" w:color="auto"/>
        <w:right w:val="none" w:sz="0" w:space="0" w:color="auto"/>
      </w:divBdr>
    </w:div>
    <w:div w:id="2079017090">
      <w:bodyDiv w:val="1"/>
      <w:marLeft w:val="0"/>
      <w:marRight w:val="0"/>
      <w:marTop w:val="0"/>
      <w:marBottom w:val="0"/>
      <w:divBdr>
        <w:top w:val="none" w:sz="0" w:space="0" w:color="auto"/>
        <w:left w:val="none" w:sz="0" w:space="0" w:color="auto"/>
        <w:bottom w:val="none" w:sz="0" w:space="0" w:color="auto"/>
        <w:right w:val="none" w:sz="0" w:space="0" w:color="auto"/>
      </w:divBdr>
    </w:div>
    <w:div w:id="2080590213">
      <w:bodyDiv w:val="1"/>
      <w:marLeft w:val="0"/>
      <w:marRight w:val="0"/>
      <w:marTop w:val="0"/>
      <w:marBottom w:val="0"/>
      <w:divBdr>
        <w:top w:val="none" w:sz="0" w:space="0" w:color="auto"/>
        <w:left w:val="none" w:sz="0" w:space="0" w:color="auto"/>
        <w:bottom w:val="none" w:sz="0" w:space="0" w:color="auto"/>
        <w:right w:val="none" w:sz="0" w:space="0" w:color="auto"/>
      </w:divBdr>
    </w:div>
    <w:div w:id="2082672452">
      <w:bodyDiv w:val="1"/>
      <w:marLeft w:val="0"/>
      <w:marRight w:val="0"/>
      <w:marTop w:val="0"/>
      <w:marBottom w:val="0"/>
      <w:divBdr>
        <w:top w:val="none" w:sz="0" w:space="0" w:color="auto"/>
        <w:left w:val="none" w:sz="0" w:space="0" w:color="auto"/>
        <w:bottom w:val="none" w:sz="0" w:space="0" w:color="auto"/>
        <w:right w:val="none" w:sz="0" w:space="0" w:color="auto"/>
      </w:divBdr>
    </w:div>
    <w:div w:id="2084136464">
      <w:bodyDiv w:val="1"/>
      <w:marLeft w:val="0"/>
      <w:marRight w:val="0"/>
      <w:marTop w:val="0"/>
      <w:marBottom w:val="0"/>
      <w:divBdr>
        <w:top w:val="none" w:sz="0" w:space="0" w:color="auto"/>
        <w:left w:val="none" w:sz="0" w:space="0" w:color="auto"/>
        <w:bottom w:val="none" w:sz="0" w:space="0" w:color="auto"/>
        <w:right w:val="none" w:sz="0" w:space="0" w:color="auto"/>
      </w:divBdr>
    </w:div>
    <w:div w:id="2085492366">
      <w:bodyDiv w:val="1"/>
      <w:marLeft w:val="0"/>
      <w:marRight w:val="0"/>
      <w:marTop w:val="0"/>
      <w:marBottom w:val="0"/>
      <w:divBdr>
        <w:top w:val="none" w:sz="0" w:space="0" w:color="auto"/>
        <w:left w:val="none" w:sz="0" w:space="0" w:color="auto"/>
        <w:bottom w:val="none" w:sz="0" w:space="0" w:color="auto"/>
        <w:right w:val="none" w:sz="0" w:space="0" w:color="auto"/>
      </w:divBdr>
    </w:div>
    <w:div w:id="2085645673">
      <w:bodyDiv w:val="1"/>
      <w:marLeft w:val="0"/>
      <w:marRight w:val="0"/>
      <w:marTop w:val="0"/>
      <w:marBottom w:val="0"/>
      <w:divBdr>
        <w:top w:val="none" w:sz="0" w:space="0" w:color="auto"/>
        <w:left w:val="none" w:sz="0" w:space="0" w:color="auto"/>
        <w:bottom w:val="none" w:sz="0" w:space="0" w:color="auto"/>
        <w:right w:val="none" w:sz="0" w:space="0" w:color="auto"/>
      </w:divBdr>
    </w:div>
    <w:div w:id="2085880944">
      <w:bodyDiv w:val="1"/>
      <w:marLeft w:val="0"/>
      <w:marRight w:val="0"/>
      <w:marTop w:val="0"/>
      <w:marBottom w:val="0"/>
      <w:divBdr>
        <w:top w:val="none" w:sz="0" w:space="0" w:color="auto"/>
        <w:left w:val="none" w:sz="0" w:space="0" w:color="auto"/>
        <w:bottom w:val="none" w:sz="0" w:space="0" w:color="auto"/>
        <w:right w:val="none" w:sz="0" w:space="0" w:color="auto"/>
      </w:divBdr>
    </w:div>
    <w:div w:id="2085910613">
      <w:bodyDiv w:val="1"/>
      <w:marLeft w:val="0"/>
      <w:marRight w:val="0"/>
      <w:marTop w:val="0"/>
      <w:marBottom w:val="0"/>
      <w:divBdr>
        <w:top w:val="none" w:sz="0" w:space="0" w:color="auto"/>
        <w:left w:val="none" w:sz="0" w:space="0" w:color="auto"/>
        <w:bottom w:val="none" w:sz="0" w:space="0" w:color="auto"/>
        <w:right w:val="none" w:sz="0" w:space="0" w:color="auto"/>
      </w:divBdr>
    </w:div>
    <w:div w:id="2086994318">
      <w:bodyDiv w:val="1"/>
      <w:marLeft w:val="0"/>
      <w:marRight w:val="0"/>
      <w:marTop w:val="0"/>
      <w:marBottom w:val="0"/>
      <w:divBdr>
        <w:top w:val="none" w:sz="0" w:space="0" w:color="auto"/>
        <w:left w:val="none" w:sz="0" w:space="0" w:color="auto"/>
        <w:bottom w:val="none" w:sz="0" w:space="0" w:color="auto"/>
        <w:right w:val="none" w:sz="0" w:space="0" w:color="auto"/>
      </w:divBdr>
    </w:div>
    <w:div w:id="2087143046">
      <w:bodyDiv w:val="1"/>
      <w:marLeft w:val="0"/>
      <w:marRight w:val="0"/>
      <w:marTop w:val="0"/>
      <w:marBottom w:val="0"/>
      <w:divBdr>
        <w:top w:val="none" w:sz="0" w:space="0" w:color="auto"/>
        <w:left w:val="none" w:sz="0" w:space="0" w:color="auto"/>
        <w:bottom w:val="none" w:sz="0" w:space="0" w:color="auto"/>
        <w:right w:val="none" w:sz="0" w:space="0" w:color="auto"/>
      </w:divBdr>
    </w:div>
    <w:div w:id="2088109530">
      <w:bodyDiv w:val="1"/>
      <w:marLeft w:val="0"/>
      <w:marRight w:val="0"/>
      <w:marTop w:val="0"/>
      <w:marBottom w:val="0"/>
      <w:divBdr>
        <w:top w:val="none" w:sz="0" w:space="0" w:color="auto"/>
        <w:left w:val="none" w:sz="0" w:space="0" w:color="auto"/>
        <w:bottom w:val="none" w:sz="0" w:space="0" w:color="auto"/>
        <w:right w:val="none" w:sz="0" w:space="0" w:color="auto"/>
      </w:divBdr>
    </w:div>
    <w:div w:id="2094352076">
      <w:bodyDiv w:val="1"/>
      <w:marLeft w:val="0"/>
      <w:marRight w:val="0"/>
      <w:marTop w:val="0"/>
      <w:marBottom w:val="0"/>
      <w:divBdr>
        <w:top w:val="none" w:sz="0" w:space="0" w:color="auto"/>
        <w:left w:val="none" w:sz="0" w:space="0" w:color="auto"/>
        <w:bottom w:val="none" w:sz="0" w:space="0" w:color="auto"/>
        <w:right w:val="none" w:sz="0" w:space="0" w:color="auto"/>
      </w:divBdr>
    </w:div>
    <w:div w:id="2094663962">
      <w:bodyDiv w:val="1"/>
      <w:marLeft w:val="0"/>
      <w:marRight w:val="0"/>
      <w:marTop w:val="0"/>
      <w:marBottom w:val="0"/>
      <w:divBdr>
        <w:top w:val="none" w:sz="0" w:space="0" w:color="auto"/>
        <w:left w:val="none" w:sz="0" w:space="0" w:color="auto"/>
        <w:bottom w:val="none" w:sz="0" w:space="0" w:color="auto"/>
        <w:right w:val="none" w:sz="0" w:space="0" w:color="auto"/>
      </w:divBdr>
    </w:div>
    <w:div w:id="2097506916">
      <w:bodyDiv w:val="1"/>
      <w:marLeft w:val="0"/>
      <w:marRight w:val="0"/>
      <w:marTop w:val="0"/>
      <w:marBottom w:val="0"/>
      <w:divBdr>
        <w:top w:val="none" w:sz="0" w:space="0" w:color="auto"/>
        <w:left w:val="none" w:sz="0" w:space="0" w:color="auto"/>
        <w:bottom w:val="none" w:sz="0" w:space="0" w:color="auto"/>
        <w:right w:val="none" w:sz="0" w:space="0" w:color="auto"/>
      </w:divBdr>
    </w:div>
    <w:div w:id="2099862327">
      <w:bodyDiv w:val="1"/>
      <w:marLeft w:val="0"/>
      <w:marRight w:val="0"/>
      <w:marTop w:val="0"/>
      <w:marBottom w:val="0"/>
      <w:divBdr>
        <w:top w:val="none" w:sz="0" w:space="0" w:color="auto"/>
        <w:left w:val="none" w:sz="0" w:space="0" w:color="auto"/>
        <w:bottom w:val="none" w:sz="0" w:space="0" w:color="auto"/>
        <w:right w:val="none" w:sz="0" w:space="0" w:color="auto"/>
      </w:divBdr>
    </w:div>
    <w:div w:id="2100447545">
      <w:bodyDiv w:val="1"/>
      <w:marLeft w:val="0"/>
      <w:marRight w:val="0"/>
      <w:marTop w:val="0"/>
      <w:marBottom w:val="0"/>
      <w:divBdr>
        <w:top w:val="none" w:sz="0" w:space="0" w:color="auto"/>
        <w:left w:val="none" w:sz="0" w:space="0" w:color="auto"/>
        <w:bottom w:val="none" w:sz="0" w:space="0" w:color="auto"/>
        <w:right w:val="none" w:sz="0" w:space="0" w:color="auto"/>
      </w:divBdr>
    </w:div>
    <w:div w:id="2103838740">
      <w:bodyDiv w:val="1"/>
      <w:marLeft w:val="0"/>
      <w:marRight w:val="0"/>
      <w:marTop w:val="0"/>
      <w:marBottom w:val="0"/>
      <w:divBdr>
        <w:top w:val="none" w:sz="0" w:space="0" w:color="auto"/>
        <w:left w:val="none" w:sz="0" w:space="0" w:color="auto"/>
        <w:bottom w:val="none" w:sz="0" w:space="0" w:color="auto"/>
        <w:right w:val="none" w:sz="0" w:space="0" w:color="auto"/>
      </w:divBdr>
    </w:div>
    <w:div w:id="2103913966">
      <w:bodyDiv w:val="1"/>
      <w:marLeft w:val="0"/>
      <w:marRight w:val="0"/>
      <w:marTop w:val="0"/>
      <w:marBottom w:val="0"/>
      <w:divBdr>
        <w:top w:val="none" w:sz="0" w:space="0" w:color="auto"/>
        <w:left w:val="none" w:sz="0" w:space="0" w:color="auto"/>
        <w:bottom w:val="none" w:sz="0" w:space="0" w:color="auto"/>
        <w:right w:val="none" w:sz="0" w:space="0" w:color="auto"/>
      </w:divBdr>
    </w:div>
    <w:div w:id="2106031290">
      <w:bodyDiv w:val="1"/>
      <w:marLeft w:val="0"/>
      <w:marRight w:val="0"/>
      <w:marTop w:val="0"/>
      <w:marBottom w:val="0"/>
      <w:divBdr>
        <w:top w:val="none" w:sz="0" w:space="0" w:color="auto"/>
        <w:left w:val="none" w:sz="0" w:space="0" w:color="auto"/>
        <w:bottom w:val="none" w:sz="0" w:space="0" w:color="auto"/>
        <w:right w:val="none" w:sz="0" w:space="0" w:color="auto"/>
      </w:divBdr>
    </w:div>
    <w:div w:id="2109539398">
      <w:bodyDiv w:val="1"/>
      <w:marLeft w:val="0"/>
      <w:marRight w:val="0"/>
      <w:marTop w:val="0"/>
      <w:marBottom w:val="0"/>
      <w:divBdr>
        <w:top w:val="none" w:sz="0" w:space="0" w:color="auto"/>
        <w:left w:val="none" w:sz="0" w:space="0" w:color="auto"/>
        <w:bottom w:val="none" w:sz="0" w:space="0" w:color="auto"/>
        <w:right w:val="none" w:sz="0" w:space="0" w:color="auto"/>
      </w:divBdr>
    </w:div>
    <w:div w:id="2110932489">
      <w:bodyDiv w:val="1"/>
      <w:marLeft w:val="0"/>
      <w:marRight w:val="0"/>
      <w:marTop w:val="0"/>
      <w:marBottom w:val="0"/>
      <w:divBdr>
        <w:top w:val="none" w:sz="0" w:space="0" w:color="auto"/>
        <w:left w:val="none" w:sz="0" w:space="0" w:color="auto"/>
        <w:bottom w:val="none" w:sz="0" w:space="0" w:color="auto"/>
        <w:right w:val="none" w:sz="0" w:space="0" w:color="auto"/>
      </w:divBdr>
    </w:div>
    <w:div w:id="2111506866">
      <w:bodyDiv w:val="1"/>
      <w:marLeft w:val="0"/>
      <w:marRight w:val="0"/>
      <w:marTop w:val="0"/>
      <w:marBottom w:val="0"/>
      <w:divBdr>
        <w:top w:val="none" w:sz="0" w:space="0" w:color="auto"/>
        <w:left w:val="none" w:sz="0" w:space="0" w:color="auto"/>
        <w:bottom w:val="none" w:sz="0" w:space="0" w:color="auto"/>
        <w:right w:val="none" w:sz="0" w:space="0" w:color="auto"/>
      </w:divBdr>
    </w:div>
    <w:div w:id="2112891112">
      <w:bodyDiv w:val="1"/>
      <w:marLeft w:val="0"/>
      <w:marRight w:val="0"/>
      <w:marTop w:val="0"/>
      <w:marBottom w:val="0"/>
      <w:divBdr>
        <w:top w:val="none" w:sz="0" w:space="0" w:color="auto"/>
        <w:left w:val="none" w:sz="0" w:space="0" w:color="auto"/>
        <w:bottom w:val="none" w:sz="0" w:space="0" w:color="auto"/>
        <w:right w:val="none" w:sz="0" w:space="0" w:color="auto"/>
      </w:divBdr>
    </w:div>
    <w:div w:id="2113436108">
      <w:bodyDiv w:val="1"/>
      <w:marLeft w:val="0"/>
      <w:marRight w:val="0"/>
      <w:marTop w:val="0"/>
      <w:marBottom w:val="0"/>
      <w:divBdr>
        <w:top w:val="none" w:sz="0" w:space="0" w:color="auto"/>
        <w:left w:val="none" w:sz="0" w:space="0" w:color="auto"/>
        <w:bottom w:val="none" w:sz="0" w:space="0" w:color="auto"/>
        <w:right w:val="none" w:sz="0" w:space="0" w:color="auto"/>
      </w:divBdr>
    </w:div>
    <w:div w:id="2113933867">
      <w:bodyDiv w:val="1"/>
      <w:marLeft w:val="0"/>
      <w:marRight w:val="0"/>
      <w:marTop w:val="0"/>
      <w:marBottom w:val="0"/>
      <w:divBdr>
        <w:top w:val="none" w:sz="0" w:space="0" w:color="auto"/>
        <w:left w:val="none" w:sz="0" w:space="0" w:color="auto"/>
        <w:bottom w:val="none" w:sz="0" w:space="0" w:color="auto"/>
        <w:right w:val="none" w:sz="0" w:space="0" w:color="auto"/>
      </w:divBdr>
    </w:div>
    <w:div w:id="2114980692">
      <w:bodyDiv w:val="1"/>
      <w:marLeft w:val="0"/>
      <w:marRight w:val="0"/>
      <w:marTop w:val="0"/>
      <w:marBottom w:val="0"/>
      <w:divBdr>
        <w:top w:val="none" w:sz="0" w:space="0" w:color="auto"/>
        <w:left w:val="none" w:sz="0" w:space="0" w:color="auto"/>
        <w:bottom w:val="none" w:sz="0" w:space="0" w:color="auto"/>
        <w:right w:val="none" w:sz="0" w:space="0" w:color="auto"/>
      </w:divBdr>
    </w:div>
    <w:div w:id="2115468714">
      <w:bodyDiv w:val="1"/>
      <w:marLeft w:val="0"/>
      <w:marRight w:val="0"/>
      <w:marTop w:val="0"/>
      <w:marBottom w:val="0"/>
      <w:divBdr>
        <w:top w:val="none" w:sz="0" w:space="0" w:color="auto"/>
        <w:left w:val="none" w:sz="0" w:space="0" w:color="auto"/>
        <w:bottom w:val="none" w:sz="0" w:space="0" w:color="auto"/>
        <w:right w:val="none" w:sz="0" w:space="0" w:color="auto"/>
      </w:divBdr>
    </w:div>
    <w:div w:id="2117097812">
      <w:bodyDiv w:val="1"/>
      <w:marLeft w:val="0"/>
      <w:marRight w:val="0"/>
      <w:marTop w:val="0"/>
      <w:marBottom w:val="0"/>
      <w:divBdr>
        <w:top w:val="none" w:sz="0" w:space="0" w:color="auto"/>
        <w:left w:val="none" w:sz="0" w:space="0" w:color="auto"/>
        <w:bottom w:val="none" w:sz="0" w:space="0" w:color="auto"/>
        <w:right w:val="none" w:sz="0" w:space="0" w:color="auto"/>
      </w:divBdr>
    </w:div>
    <w:div w:id="2117403386">
      <w:bodyDiv w:val="1"/>
      <w:marLeft w:val="0"/>
      <w:marRight w:val="0"/>
      <w:marTop w:val="0"/>
      <w:marBottom w:val="0"/>
      <w:divBdr>
        <w:top w:val="none" w:sz="0" w:space="0" w:color="auto"/>
        <w:left w:val="none" w:sz="0" w:space="0" w:color="auto"/>
        <w:bottom w:val="none" w:sz="0" w:space="0" w:color="auto"/>
        <w:right w:val="none" w:sz="0" w:space="0" w:color="auto"/>
      </w:divBdr>
    </w:div>
    <w:div w:id="2117558455">
      <w:bodyDiv w:val="1"/>
      <w:marLeft w:val="0"/>
      <w:marRight w:val="0"/>
      <w:marTop w:val="0"/>
      <w:marBottom w:val="0"/>
      <w:divBdr>
        <w:top w:val="none" w:sz="0" w:space="0" w:color="auto"/>
        <w:left w:val="none" w:sz="0" w:space="0" w:color="auto"/>
        <w:bottom w:val="none" w:sz="0" w:space="0" w:color="auto"/>
        <w:right w:val="none" w:sz="0" w:space="0" w:color="auto"/>
      </w:divBdr>
    </w:div>
    <w:div w:id="2120756643">
      <w:bodyDiv w:val="1"/>
      <w:marLeft w:val="0"/>
      <w:marRight w:val="0"/>
      <w:marTop w:val="0"/>
      <w:marBottom w:val="0"/>
      <w:divBdr>
        <w:top w:val="none" w:sz="0" w:space="0" w:color="auto"/>
        <w:left w:val="none" w:sz="0" w:space="0" w:color="auto"/>
        <w:bottom w:val="none" w:sz="0" w:space="0" w:color="auto"/>
        <w:right w:val="none" w:sz="0" w:space="0" w:color="auto"/>
      </w:divBdr>
    </w:div>
    <w:div w:id="2121879296">
      <w:bodyDiv w:val="1"/>
      <w:marLeft w:val="0"/>
      <w:marRight w:val="0"/>
      <w:marTop w:val="0"/>
      <w:marBottom w:val="0"/>
      <w:divBdr>
        <w:top w:val="none" w:sz="0" w:space="0" w:color="auto"/>
        <w:left w:val="none" w:sz="0" w:space="0" w:color="auto"/>
        <w:bottom w:val="none" w:sz="0" w:space="0" w:color="auto"/>
        <w:right w:val="none" w:sz="0" w:space="0" w:color="auto"/>
      </w:divBdr>
    </w:div>
    <w:div w:id="2122260848">
      <w:bodyDiv w:val="1"/>
      <w:marLeft w:val="0"/>
      <w:marRight w:val="0"/>
      <w:marTop w:val="0"/>
      <w:marBottom w:val="0"/>
      <w:divBdr>
        <w:top w:val="none" w:sz="0" w:space="0" w:color="auto"/>
        <w:left w:val="none" w:sz="0" w:space="0" w:color="auto"/>
        <w:bottom w:val="none" w:sz="0" w:space="0" w:color="auto"/>
        <w:right w:val="none" w:sz="0" w:space="0" w:color="auto"/>
      </w:divBdr>
    </w:div>
    <w:div w:id="2123646016">
      <w:bodyDiv w:val="1"/>
      <w:marLeft w:val="0"/>
      <w:marRight w:val="0"/>
      <w:marTop w:val="0"/>
      <w:marBottom w:val="0"/>
      <w:divBdr>
        <w:top w:val="none" w:sz="0" w:space="0" w:color="auto"/>
        <w:left w:val="none" w:sz="0" w:space="0" w:color="auto"/>
        <w:bottom w:val="none" w:sz="0" w:space="0" w:color="auto"/>
        <w:right w:val="none" w:sz="0" w:space="0" w:color="auto"/>
      </w:divBdr>
    </w:div>
    <w:div w:id="2124111945">
      <w:bodyDiv w:val="1"/>
      <w:marLeft w:val="0"/>
      <w:marRight w:val="0"/>
      <w:marTop w:val="0"/>
      <w:marBottom w:val="0"/>
      <w:divBdr>
        <w:top w:val="none" w:sz="0" w:space="0" w:color="auto"/>
        <w:left w:val="none" w:sz="0" w:space="0" w:color="auto"/>
        <w:bottom w:val="none" w:sz="0" w:space="0" w:color="auto"/>
        <w:right w:val="none" w:sz="0" w:space="0" w:color="auto"/>
      </w:divBdr>
    </w:div>
    <w:div w:id="2125077016">
      <w:bodyDiv w:val="1"/>
      <w:marLeft w:val="0"/>
      <w:marRight w:val="0"/>
      <w:marTop w:val="0"/>
      <w:marBottom w:val="0"/>
      <w:divBdr>
        <w:top w:val="none" w:sz="0" w:space="0" w:color="auto"/>
        <w:left w:val="none" w:sz="0" w:space="0" w:color="auto"/>
        <w:bottom w:val="none" w:sz="0" w:space="0" w:color="auto"/>
        <w:right w:val="none" w:sz="0" w:space="0" w:color="auto"/>
      </w:divBdr>
    </w:div>
    <w:div w:id="2126727089">
      <w:bodyDiv w:val="1"/>
      <w:marLeft w:val="0"/>
      <w:marRight w:val="0"/>
      <w:marTop w:val="0"/>
      <w:marBottom w:val="0"/>
      <w:divBdr>
        <w:top w:val="none" w:sz="0" w:space="0" w:color="auto"/>
        <w:left w:val="none" w:sz="0" w:space="0" w:color="auto"/>
        <w:bottom w:val="none" w:sz="0" w:space="0" w:color="auto"/>
        <w:right w:val="none" w:sz="0" w:space="0" w:color="auto"/>
      </w:divBdr>
    </w:div>
    <w:div w:id="2129664086">
      <w:bodyDiv w:val="1"/>
      <w:marLeft w:val="0"/>
      <w:marRight w:val="0"/>
      <w:marTop w:val="0"/>
      <w:marBottom w:val="0"/>
      <w:divBdr>
        <w:top w:val="none" w:sz="0" w:space="0" w:color="auto"/>
        <w:left w:val="none" w:sz="0" w:space="0" w:color="auto"/>
        <w:bottom w:val="none" w:sz="0" w:space="0" w:color="auto"/>
        <w:right w:val="none" w:sz="0" w:space="0" w:color="auto"/>
      </w:divBdr>
    </w:div>
    <w:div w:id="2130778711">
      <w:bodyDiv w:val="1"/>
      <w:marLeft w:val="0"/>
      <w:marRight w:val="0"/>
      <w:marTop w:val="0"/>
      <w:marBottom w:val="0"/>
      <w:divBdr>
        <w:top w:val="none" w:sz="0" w:space="0" w:color="auto"/>
        <w:left w:val="none" w:sz="0" w:space="0" w:color="auto"/>
        <w:bottom w:val="none" w:sz="0" w:space="0" w:color="auto"/>
        <w:right w:val="none" w:sz="0" w:space="0" w:color="auto"/>
      </w:divBdr>
    </w:div>
    <w:div w:id="2131975583">
      <w:bodyDiv w:val="1"/>
      <w:marLeft w:val="0"/>
      <w:marRight w:val="0"/>
      <w:marTop w:val="0"/>
      <w:marBottom w:val="0"/>
      <w:divBdr>
        <w:top w:val="none" w:sz="0" w:space="0" w:color="auto"/>
        <w:left w:val="none" w:sz="0" w:space="0" w:color="auto"/>
        <w:bottom w:val="none" w:sz="0" w:space="0" w:color="auto"/>
        <w:right w:val="none" w:sz="0" w:space="0" w:color="auto"/>
      </w:divBdr>
    </w:div>
    <w:div w:id="2134866699">
      <w:bodyDiv w:val="1"/>
      <w:marLeft w:val="0"/>
      <w:marRight w:val="0"/>
      <w:marTop w:val="0"/>
      <w:marBottom w:val="0"/>
      <w:divBdr>
        <w:top w:val="none" w:sz="0" w:space="0" w:color="auto"/>
        <w:left w:val="none" w:sz="0" w:space="0" w:color="auto"/>
        <w:bottom w:val="none" w:sz="0" w:space="0" w:color="auto"/>
        <w:right w:val="none" w:sz="0" w:space="0" w:color="auto"/>
      </w:divBdr>
    </w:div>
    <w:div w:id="2135950712">
      <w:bodyDiv w:val="1"/>
      <w:marLeft w:val="0"/>
      <w:marRight w:val="0"/>
      <w:marTop w:val="0"/>
      <w:marBottom w:val="0"/>
      <w:divBdr>
        <w:top w:val="none" w:sz="0" w:space="0" w:color="auto"/>
        <w:left w:val="none" w:sz="0" w:space="0" w:color="auto"/>
        <w:bottom w:val="none" w:sz="0" w:space="0" w:color="auto"/>
        <w:right w:val="none" w:sz="0" w:space="0" w:color="auto"/>
      </w:divBdr>
    </w:div>
    <w:div w:id="2139226926">
      <w:bodyDiv w:val="1"/>
      <w:marLeft w:val="0"/>
      <w:marRight w:val="0"/>
      <w:marTop w:val="0"/>
      <w:marBottom w:val="0"/>
      <w:divBdr>
        <w:top w:val="none" w:sz="0" w:space="0" w:color="auto"/>
        <w:left w:val="none" w:sz="0" w:space="0" w:color="auto"/>
        <w:bottom w:val="none" w:sz="0" w:space="0" w:color="auto"/>
        <w:right w:val="none" w:sz="0" w:space="0" w:color="auto"/>
      </w:divBdr>
    </w:div>
    <w:div w:id="2139644586">
      <w:bodyDiv w:val="1"/>
      <w:marLeft w:val="0"/>
      <w:marRight w:val="0"/>
      <w:marTop w:val="0"/>
      <w:marBottom w:val="0"/>
      <w:divBdr>
        <w:top w:val="none" w:sz="0" w:space="0" w:color="auto"/>
        <w:left w:val="none" w:sz="0" w:space="0" w:color="auto"/>
        <w:bottom w:val="none" w:sz="0" w:space="0" w:color="auto"/>
        <w:right w:val="none" w:sz="0" w:space="0" w:color="auto"/>
      </w:divBdr>
    </w:div>
    <w:div w:id="2139839407">
      <w:bodyDiv w:val="1"/>
      <w:marLeft w:val="0"/>
      <w:marRight w:val="0"/>
      <w:marTop w:val="0"/>
      <w:marBottom w:val="0"/>
      <w:divBdr>
        <w:top w:val="none" w:sz="0" w:space="0" w:color="auto"/>
        <w:left w:val="none" w:sz="0" w:space="0" w:color="auto"/>
        <w:bottom w:val="none" w:sz="0" w:space="0" w:color="auto"/>
        <w:right w:val="none" w:sz="0" w:space="0" w:color="auto"/>
      </w:divBdr>
    </w:div>
    <w:div w:id="2140174920">
      <w:bodyDiv w:val="1"/>
      <w:marLeft w:val="0"/>
      <w:marRight w:val="0"/>
      <w:marTop w:val="0"/>
      <w:marBottom w:val="0"/>
      <w:divBdr>
        <w:top w:val="none" w:sz="0" w:space="0" w:color="auto"/>
        <w:left w:val="none" w:sz="0" w:space="0" w:color="auto"/>
        <w:bottom w:val="none" w:sz="0" w:space="0" w:color="auto"/>
        <w:right w:val="none" w:sz="0" w:space="0" w:color="auto"/>
      </w:divBdr>
    </w:div>
    <w:div w:id="2141875259">
      <w:bodyDiv w:val="1"/>
      <w:marLeft w:val="0"/>
      <w:marRight w:val="0"/>
      <w:marTop w:val="0"/>
      <w:marBottom w:val="0"/>
      <w:divBdr>
        <w:top w:val="none" w:sz="0" w:space="0" w:color="auto"/>
        <w:left w:val="none" w:sz="0" w:space="0" w:color="auto"/>
        <w:bottom w:val="none" w:sz="0" w:space="0" w:color="auto"/>
        <w:right w:val="none" w:sz="0" w:space="0" w:color="auto"/>
      </w:divBdr>
    </w:div>
    <w:div w:id="2142188101">
      <w:bodyDiv w:val="1"/>
      <w:marLeft w:val="0"/>
      <w:marRight w:val="0"/>
      <w:marTop w:val="0"/>
      <w:marBottom w:val="0"/>
      <w:divBdr>
        <w:top w:val="none" w:sz="0" w:space="0" w:color="auto"/>
        <w:left w:val="none" w:sz="0" w:space="0" w:color="auto"/>
        <w:bottom w:val="none" w:sz="0" w:space="0" w:color="auto"/>
        <w:right w:val="none" w:sz="0" w:space="0" w:color="auto"/>
      </w:divBdr>
    </w:div>
    <w:div w:id="2143036736">
      <w:bodyDiv w:val="1"/>
      <w:marLeft w:val="0"/>
      <w:marRight w:val="0"/>
      <w:marTop w:val="0"/>
      <w:marBottom w:val="0"/>
      <w:divBdr>
        <w:top w:val="none" w:sz="0" w:space="0" w:color="auto"/>
        <w:left w:val="none" w:sz="0" w:space="0" w:color="auto"/>
        <w:bottom w:val="none" w:sz="0" w:space="0" w:color="auto"/>
        <w:right w:val="none" w:sz="0" w:space="0" w:color="auto"/>
      </w:divBdr>
    </w:div>
    <w:div w:id="2143424953">
      <w:bodyDiv w:val="1"/>
      <w:marLeft w:val="0"/>
      <w:marRight w:val="0"/>
      <w:marTop w:val="0"/>
      <w:marBottom w:val="0"/>
      <w:divBdr>
        <w:top w:val="none" w:sz="0" w:space="0" w:color="auto"/>
        <w:left w:val="none" w:sz="0" w:space="0" w:color="auto"/>
        <w:bottom w:val="none" w:sz="0" w:space="0" w:color="auto"/>
        <w:right w:val="none" w:sz="0" w:space="0" w:color="auto"/>
      </w:divBdr>
    </w:div>
    <w:div w:id="2144232574">
      <w:bodyDiv w:val="1"/>
      <w:marLeft w:val="0"/>
      <w:marRight w:val="0"/>
      <w:marTop w:val="0"/>
      <w:marBottom w:val="0"/>
      <w:divBdr>
        <w:top w:val="none" w:sz="0" w:space="0" w:color="auto"/>
        <w:left w:val="none" w:sz="0" w:space="0" w:color="auto"/>
        <w:bottom w:val="none" w:sz="0" w:space="0" w:color="auto"/>
        <w:right w:val="none" w:sz="0" w:space="0" w:color="auto"/>
      </w:divBdr>
    </w:div>
    <w:div w:id="2145655970">
      <w:bodyDiv w:val="1"/>
      <w:marLeft w:val="0"/>
      <w:marRight w:val="0"/>
      <w:marTop w:val="0"/>
      <w:marBottom w:val="0"/>
      <w:divBdr>
        <w:top w:val="none" w:sz="0" w:space="0" w:color="auto"/>
        <w:left w:val="none" w:sz="0" w:space="0" w:color="auto"/>
        <w:bottom w:val="none" w:sz="0" w:space="0" w:color="auto"/>
        <w:right w:val="none" w:sz="0" w:space="0" w:color="auto"/>
      </w:divBdr>
    </w:div>
    <w:div w:id="2146046064">
      <w:bodyDiv w:val="1"/>
      <w:marLeft w:val="0"/>
      <w:marRight w:val="0"/>
      <w:marTop w:val="0"/>
      <w:marBottom w:val="0"/>
      <w:divBdr>
        <w:top w:val="none" w:sz="0" w:space="0" w:color="auto"/>
        <w:left w:val="none" w:sz="0" w:space="0" w:color="auto"/>
        <w:bottom w:val="none" w:sz="0" w:space="0" w:color="auto"/>
        <w:right w:val="none" w:sz="0" w:space="0" w:color="auto"/>
      </w:divBdr>
    </w:div>
    <w:div w:id="2146197932">
      <w:bodyDiv w:val="1"/>
      <w:marLeft w:val="0"/>
      <w:marRight w:val="0"/>
      <w:marTop w:val="0"/>
      <w:marBottom w:val="0"/>
      <w:divBdr>
        <w:top w:val="none" w:sz="0" w:space="0" w:color="auto"/>
        <w:left w:val="none" w:sz="0" w:space="0" w:color="auto"/>
        <w:bottom w:val="none" w:sz="0" w:space="0" w:color="auto"/>
        <w:right w:val="none" w:sz="0" w:space="0" w:color="auto"/>
      </w:divBdr>
    </w:div>
    <w:div w:id="2146391769">
      <w:bodyDiv w:val="1"/>
      <w:marLeft w:val="0"/>
      <w:marRight w:val="0"/>
      <w:marTop w:val="0"/>
      <w:marBottom w:val="0"/>
      <w:divBdr>
        <w:top w:val="none" w:sz="0" w:space="0" w:color="auto"/>
        <w:left w:val="none" w:sz="0" w:space="0" w:color="auto"/>
        <w:bottom w:val="none" w:sz="0" w:space="0" w:color="auto"/>
        <w:right w:val="none" w:sz="0" w:space="0" w:color="auto"/>
      </w:divBdr>
    </w:div>
    <w:div w:id="21465838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299" Type="http://schemas.microsoft.com/office/2007/relationships/hdphoto" Target="media/hdphoto13.wdp"/><Relationship Id="rId21" Type="http://schemas.openxmlformats.org/officeDocument/2006/relationships/header" Target="header6.xml"/><Relationship Id="rId63" Type="http://schemas.openxmlformats.org/officeDocument/2006/relationships/image" Target="media/image16.jpeg"/><Relationship Id="rId159" Type="http://schemas.openxmlformats.org/officeDocument/2006/relationships/image" Target="media/image69.png"/><Relationship Id="rId170" Type="http://schemas.openxmlformats.org/officeDocument/2006/relationships/diagramData" Target="diagrams/data17.xml"/><Relationship Id="rId226" Type="http://schemas.openxmlformats.org/officeDocument/2006/relationships/diagramData" Target="diagrams/data23.xml"/><Relationship Id="rId268" Type="http://schemas.openxmlformats.org/officeDocument/2006/relationships/hyperlink" Target="https://www.bjs.gov/index.cfm?ty=dca" TargetMode="External"/><Relationship Id="rId32" Type="http://schemas.openxmlformats.org/officeDocument/2006/relationships/diagramLayout" Target="diagrams/layout2.xml"/><Relationship Id="rId74" Type="http://schemas.openxmlformats.org/officeDocument/2006/relationships/diagramData" Target="diagrams/data8.xml"/><Relationship Id="rId128" Type="http://schemas.openxmlformats.org/officeDocument/2006/relationships/image" Target="media/image42.svg"/><Relationship Id="rId5" Type="http://schemas.openxmlformats.org/officeDocument/2006/relationships/settings" Target="settings.xml"/><Relationship Id="rId181" Type="http://schemas.openxmlformats.org/officeDocument/2006/relationships/image" Target="media/image74.jpg"/><Relationship Id="rId237" Type="http://schemas.openxmlformats.org/officeDocument/2006/relationships/diagramLayout" Target="diagrams/layout25.xml"/><Relationship Id="rId279" Type="http://schemas.openxmlformats.org/officeDocument/2006/relationships/hyperlink" Target="https://www.fhfa.gov/DataTools/Downloads" TargetMode="External"/><Relationship Id="rId43" Type="http://schemas.openxmlformats.org/officeDocument/2006/relationships/diagramData" Target="diagrams/data4.xml"/><Relationship Id="rId139" Type="http://schemas.openxmlformats.org/officeDocument/2006/relationships/image" Target="media/image60.png"/><Relationship Id="rId290" Type="http://schemas.openxmlformats.org/officeDocument/2006/relationships/hyperlink" Target="https://you.com/?chatMode=research" TargetMode="External"/><Relationship Id="rId304" Type="http://schemas.openxmlformats.org/officeDocument/2006/relationships/image" Target="media/image120.png"/><Relationship Id="rId85" Type="http://schemas.openxmlformats.org/officeDocument/2006/relationships/header" Target="header11.xml"/><Relationship Id="rId150" Type="http://schemas.openxmlformats.org/officeDocument/2006/relationships/diagramColors" Target="diagrams/colors14.xml"/><Relationship Id="rId192" Type="http://schemas.openxmlformats.org/officeDocument/2006/relationships/diagramColors" Target="diagrams/colors20.xml"/><Relationship Id="rId206" Type="http://schemas.microsoft.com/office/2007/relationships/hdphoto" Target="media/hdphoto6.wdp"/><Relationship Id="rId248" Type="http://schemas.openxmlformats.org/officeDocument/2006/relationships/header" Target="header19.xml"/><Relationship Id="rId12" Type="http://schemas.openxmlformats.org/officeDocument/2006/relationships/footer" Target="footer2.xml"/><Relationship Id="rId108" Type="http://schemas.openxmlformats.org/officeDocument/2006/relationships/hyperlink" Target="https://www.apa.org/ethics/code/index" TargetMode="External"/><Relationship Id="rId54" Type="http://schemas.openxmlformats.org/officeDocument/2006/relationships/footer" Target="footer8.xml"/><Relationship Id="rId96" Type="http://schemas.openxmlformats.org/officeDocument/2006/relationships/image" Target="media/image30.png"/><Relationship Id="rId161" Type="http://schemas.openxmlformats.org/officeDocument/2006/relationships/diagramLayout" Target="diagrams/layout16.xml"/><Relationship Id="rId217" Type="http://schemas.openxmlformats.org/officeDocument/2006/relationships/image" Target="media/image90.png"/><Relationship Id="rId259" Type="http://schemas.openxmlformats.org/officeDocument/2006/relationships/image" Target="media/image110.png"/><Relationship Id="rId23" Type="http://schemas.openxmlformats.org/officeDocument/2006/relationships/header" Target="header7.xml"/><Relationship Id="rId119" Type="http://schemas.openxmlformats.org/officeDocument/2006/relationships/diagramLayout" Target="diagrams/layout12.xml"/><Relationship Id="rId270" Type="http://schemas.openxmlformats.org/officeDocument/2006/relationships/hyperlink" Target="https://www.bea.gov/" TargetMode="External"/><Relationship Id="rId65" Type="http://schemas.openxmlformats.org/officeDocument/2006/relationships/diagramLayout" Target="diagrams/layout6.xml"/><Relationship Id="rId130" Type="http://schemas.openxmlformats.org/officeDocument/2006/relationships/image" Target="media/image44.svg"/><Relationship Id="rId172" Type="http://schemas.openxmlformats.org/officeDocument/2006/relationships/diagramQuickStyle" Target="diagrams/quickStyle17.xml"/><Relationship Id="rId193" Type="http://schemas.microsoft.com/office/2007/relationships/diagramDrawing" Target="diagrams/drawing20.xml"/><Relationship Id="rId207" Type="http://schemas.openxmlformats.org/officeDocument/2006/relationships/diagramData" Target="diagrams/data22.xml"/><Relationship Id="rId228" Type="http://schemas.openxmlformats.org/officeDocument/2006/relationships/diagramQuickStyle" Target="diagrams/quickStyle23.xml"/><Relationship Id="rId249" Type="http://schemas.openxmlformats.org/officeDocument/2006/relationships/image" Target="media/image106.png"/><Relationship Id="rId13" Type="http://schemas.openxmlformats.org/officeDocument/2006/relationships/header" Target="header2.xml"/><Relationship Id="rId109" Type="http://schemas.openxmlformats.org/officeDocument/2006/relationships/diagramData" Target="diagrams/data11.xml"/><Relationship Id="rId260" Type="http://schemas.microsoft.com/office/2007/relationships/hdphoto" Target="media/hdphoto11.wdp"/><Relationship Id="rId281" Type="http://schemas.openxmlformats.org/officeDocument/2006/relationships/hyperlink" Target="https://www.foreignassistance.gov/" TargetMode="External"/><Relationship Id="rId34" Type="http://schemas.openxmlformats.org/officeDocument/2006/relationships/diagramColors" Target="diagrams/colors2.xml"/><Relationship Id="rId55" Type="http://schemas.openxmlformats.org/officeDocument/2006/relationships/header" Target="header9.xml"/><Relationship Id="rId76" Type="http://schemas.openxmlformats.org/officeDocument/2006/relationships/diagramQuickStyle" Target="diagrams/quickStyle8.xml"/><Relationship Id="rId97" Type="http://schemas.openxmlformats.org/officeDocument/2006/relationships/image" Target="media/image31.png"/><Relationship Id="rId120" Type="http://schemas.openxmlformats.org/officeDocument/2006/relationships/diagramQuickStyle" Target="diagrams/quickStyle12.xml"/><Relationship Id="rId141" Type="http://schemas.openxmlformats.org/officeDocument/2006/relationships/image" Target="media/image62.png"/><Relationship Id="rId7" Type="http://schemas.openxmlformats.org/officeDocument/2006/relationships/footnotes" Target="footnotes.xml"/><Relationship Id="rId162" Type="http://schemas.openxmlformats.org/officeDocument/2006/relationships/diagramQuickStyle" Target="diagrams/quickStyle16.xml"/><Relationship Id="rId183" Type="http://schemas.openxmlformats.org/officeDocument/2006/relationships/image" Target="media/image76.jpeg"/><Relationship Id="rId218" Type="http://schemas.openxmlformats.org/officeDocument/2006/relationships/image" Target="media/image91.png"/><Relationship Id="rId239" Type="http://schemas.openxmlformats.org/officeDocument/2006/relationships/diagramColors" Target="diagrams/colors25.xml"/><Relationship Id="rId250" Type="http://schemas.microsoft.com/office/2007/relationships/hdphoto" Target="media/hdphoto8.wdp"/><Relationship Id="rId271" Type="http://schemas.openxmlformats.org/officeDocument/2006/relationships/hyperlink" Target="https://data.census.gov/cedsci/?intcmp=aff_cedsci_banner" TargetMode="External"/><Relationship Id="rId292" Type="http://schemas.openxmlformats.org/officeDocument/2006/relationships/hyperlink" Target="https://www.plos.org/" TargetMode="External"/><Relationship Id="rId306" Type="http://schemas.openxmlformats.org/officeDocument/2006/relationships/header" Target="header26.xml"/><Relationship Id="rId24" Type="http://schemas.openxmlformats.org/officeDocument/2006/relationships/image" Target="media/image1.jpeg"/><Relationship Id="rId45" Type="http://schemas.openxmlformats.org/officeDocument/2006/relationships/diagramQuickStyle" Target="diagrams/quickStyle4.xml"/><Relationship Id="rId66" Type="http://schemas.openxmlformats.org/officeDocument/2006/relationships/diagramQuickStyle" Target="diagrams/quickStyle6.xml"/><Relationship Id="rId87" Type="http://schemas.microsoft.com/office/2007/relationships/hdphoto" Target="media/hdphoto2.wdp"/><Relationship Id="rId110" Type="http://schemas.openxmlformats.org/officeDocument/2006/relationships/diagramLayout" Target="diagrams/layout11.xml"/><Relationship Id="rId131" Type="http://schemas.openxmlformats.org/officeDocument/2006/relationships/image" Target="media/image45.png"/><Relationship Id="rId152" Type="http://schemas.openxmlformats.org/officeDocument/2006/relationships/image" Target="media/image67.jpeg"/><Relationship Id="rId173" Type="http://schemas.openxmlformats.org/officeDocument/2006/relationships/diagramColors" Target="diagrams/colors17.xml"/><Relationship Id="rId194" Type="http://schemas.openxmlformats.org/officeDocument/2006/relationships/diagramData" Target="diagrams/data21.xml"/><Relationship Id="rId208" Type="http://schemas.openxmlformats.org/officeDocument/2006/relationships/diagramLayout" Target="diagrams/layout22.xml"/><Relationship Id="rId229" Type="http://schemas.openxmlformats.org/officeDocument/2006/relationships/diagramColors" Target="diagrams/colors23.xml"/><Relationship Id="rId240" Type="http://schemas.microsoft.com/office/2007/relationships/diagramDrawing" Target="diagrams/drawing25.xml"/><Relationship Id="rId261" Type="http://schemas.openxmlformats.org/officeDocument/2006/relationships/image" Target="media/image111.png"/><Relationship Id="rId14" Type="http://schemas.openxmlformats.org/officeDocument/2006/relationships/footer" Target="footer3.xml"/><Relationship Id="rId35" Type="http://schemas.microsoft.com/office/2007/relationships/diagramDrawing" Target="diagrams/drawing2.xml"/><Relationship Id="rId56" Type="http://schemas.openxmlformats.org/officeDocument/2006/relationships/image" Target="media/image15.png"/><Relationship Id="rId77" Type="http://schemas.openxmlformats.org/officeDocument/2006/relationships/diagramColors" Target="diagrams/colors8.xml"/><Relationship Id="rId100" Type="http://schemas.openxmlformats.org/officeDocument/2006/relationships/image" Target="media/image34.png"/><Relationship Id="rId282" Type="http://schemas.openxmlformats.org/officeDocument/2006/relationships/hyperlink" Target="https://dataverse.harvard.edu/" TargetMode="External"/><Relationship Id="rId8" Type="http://schemas.openxmlformats.org/officeDocument/2006/relationships/endnotes" Target="endnotes.xml"/><Relationship Id="rId98" Type="http://schemas.openxmlformats.org/officeDocument/2006/relationships/image" Target="media/image32.png"/><Relationship Id="rId121" Type="http://schemas.openxmlformats.org/officeDocument/2006/relationships/diagramColors" Target="diagrams/colors12.xml"/><Relationship Id="rId142" Type="http://schemas.openxmlformats.org/officeDocument/2006/relationships/image" Target="media/image63.png"/><Relationship Id="rId163" Type="http://schemas.openxmlformats.org/officeDocument/2006/relationships/diagramColors" Target="diagrams/colors16.xml"/><Relationship Id="rId184" Type="http://schemas.openxmlformats.org/officeDocument/2006/relationships/diagramData" Target="diagrams/data19.xml"/><Relationship Id="rId219" Type="http://schemas.openxmlformats.org/officeDocument/2006/relationships/image" Target="media/image92.png"/><Relationship Id="rId230" Type="http://schemas.microsoft.com/office/2007/relationships/diagramDrawing" Target="diagrams/drawing23.xml"/><Relationship Id="rId251" Type="http://schemas.openxmlformats.org/officeDocument/2006/relationships/image" Target="media/image107.png"/><Relationship Id="rId25" Type="http://schemas.openxmlformats.org/officeDocument/2006/relationships/image" Target="media/image2.png"/><Relationship Id="rId46" Type="http://schemas.openxmlformats.org/officeDocument/2006/relationships/diagramColors" Target="diagrams/colors4.xml"/><Relationship Id="rId67" Type="http://schemas.openxmlformats.org/officeDocument/2006/relationships/diagramColors" Target="diagrams/colors6.xml"/><Relationship Id="rId272" Type="http://schemas.openxmlformats.org/officeDocument/2006/relationships/hyperlink" Target="https://www.data.gov/" TargetMode="External"/><Relationship Id="rId293" Type="http://schemas.openxmlformats.org/officeDocument/2006/relationships/hyperlink" Target="https://www.congress.gov/" TargetMode="External"/><Relationship Id="rId307" Type="http://schemas.openxmlformats.org/officeDocument/2006/relationships/image" Target="media/image122.png"/><Relationship Id="rId88" Type="http://schemas.openxmlformats.org/officeDocument/2006/relationships/image" Target="media/image18.png"/><Relationship Id="rId111" Type="http://schemas.openxmlformats.org/officeDocument/2006/relationships/diagramQuickStyle" Target="diagrams/quickStyle11.xml"/><Relationship Id="rId132" Type="http://schemas.openxmlformats.org/officeDocument/2006/relationships/image" Target="media/image46.svg"/><Relationship Id="rId153" Type="http://schemas.openxmlformats.org/officeDocument/2006/relationships/image" Target="media/image68.jpeg"/><Relationship Id="rId174" Type="http://schemas.microsoft.com/office/2007/relationships/diagramDrawing" Target="diagrams/drawing17.xml"/><Relationship Id="rId195" Type="http://schemas.openxmlformats.org/officeDocument/2006/relationships/diagramLayout" Target="diagrams/layout21.xml"/><Relationship Id="rId209" Type="http://schemas.openxmlformats.org/officeDocument/2006/relationships/diagramQuickStyle" Target="diagrams/quickStyle22.xml"/><Relationship Id="rId220" Type="http://schemas.openxmlformats.org/officeDocument/2006/relationships/image" Target="media/image93.png"/><Relationship Id="rId241" Type="http://schemas.openxmlformats.org/officeDocument/2006/relationships/image" Target="media/image99.png"/><Relationship Id="rId15" Type="http://schemas.openxmlformats.org/officeDocument/2006/relationships/header" Target="header3.xml"/><Relationship Id="rId36" Type="http://schemas.openxmlformats.org/officeDocument/2006/relationships/image" Target="media/image5.png"/><Relationship Id="rId57" Type="http://schemas.microsoft.com/office/2007/relationships/hdphoto" Target="media/hdphoto1.wdp"/><Relationship Id="rId262" Type="http://schemas.openxmlformats.org/officeDocument/2006/relationships/image" Target="media/image112.jpg"/><Relationship Id="rId283" Type="http://schemas.openxmlformats.org/officeDocument/2006/relationships/hyperlink" Target="https://www.icpsr.umich.edu/icpsrweb/ICPSR/" TargetMode="External"/><Relationship Id="rId78" Type="http://schemas.microsoft.com/office/2007/relationships/diagramDrawing" Target="diagrams/drawing8.xml"/><Relationship Id="rId99" Type="http://schemas.openxmlformats.org/officeDocument/2006/relationships/image" Target="media/image33.png"/><Relationship Id="rId101" Type="http://schemas.microsoft.com/office/2007/relationships/hdphoto" Target="media/hdphoto4.wdp"/><Relationship Id="rId122" Type="http://schemas.microsoft.com/office/2007/relationships/diagramDrawing" Target="diagrams/drawing12.xml"/><Relationship Id="rId143" Type="http://schemas.openxmlformats.org/officeDocument/2006/relationships/image" Target="media/image64.png"/><Relationship Id="rId164" Type="http://schemas.microsoft.com/office/2007/relationships/diagramDrawing" Target="diagrams/drawing16.xml"/><Relationship Id="rId185" Type="http://schemas.openxmlformats.org/officeDocument/2006/relationships/diagramLayout" Target="diagrams/layout19.xml"/><Relationship Id="rId9" Type="http://schemas.openxmlformats.org/officeDocument/2006/relationships/hyperlink" Target="https://creativecommons.org/licenses/by-nc-sa/4.0/" TargetMode="External"/><Relationship Id="rId210" Type="http://schemas.openxmlformats.org/officeDocument/2006/relationships/diagramColors" Target="diagrams/colors22.xml"/><Relationship Id="rId26" Type="http://schemas.openxmlformats.org/officeDocument/2006/relationships/diagramData" Target="diagrams/data1.xml"/><Relationship Id="rId231" Type="http://schemas.openxmlformats.org/officeDocument/2006/relationships/diagramData" Target="diagrams/data24.xml"/><Relationship Id="rId252" Type="http://schemas.openxmlformats.org/officeDocument/2006/relationships/header" Target="header20.xml"/><Relationship Id="rId273" Type="http://schemas.openxmlformats.org/officeDocument/2006/relationships/hyperlink" Target="https://www.ers.usda.gov/" TargetMode="External"/><Relationship Id="rId294" Type="http://schemas.openxmlformats.org/officeDocument/2006/relationships/header" Target="header24.xml"/><Relationship Id="rId308" Type="http://schemas.microsoft.com/office/2007/relationships/hdphoto" Target="media/hdphoto14.wdp"/><Relationship Id="rId47" Type="http://schemas.microsoft.com/office/2007/relationships/diagramDrawing" Target="diagrams/drawing4.xml"/><Relationship Id="rId68" Type="http://schemas.microsoft.com/office/2007/relationships/diagramDrawing" Target="diagrams/drawing6.xml"/><Relationship Id="rId89" Type="http://schemas.microsoft.com/office/2007/relationships/hdphoto" Target="media/hdphoto3.wdp"/><Relationship Id="rId112" Type="http://schemas.openxmlformats.org/officeDocument/2006/relationships/diagramColors" Target="diagrams/colors11.xml"/><Relationship Id="rId133" Type="http://schemas.openxmlformats.org/officeDocument/2006/relationships/diagramData" Target="diagrams/data13.xml"/><Relationship Id="rId154" Type="http://schemas.openxmlformats.org/officeDocument/2006/relationships/diagramData" Target="diagrams/data15.xml"/><Relationship Id="rId175" Type="http://schemas.openxmlformats.org/officeDocument/2006/relationships/diagramData" Target="diagrams/data18.xml"/><Relationship Id="rId196" Type="http://schemas.openxmlformats.org/officeDocument/2006/relationships/diagramQuickStyle" Target="diagrams/quickStyle21.xml"/><Relationship Id="rId200" Type="http://schemas.openxmlformats.org/officeDocument/2006/relationships/image" Target="media/image78.jpg"/><Relationship Id="rId16" Type="http://schemas.openxmlformats.org/officeDocument/2006/relationships/footer" Target="footer4.xml"/><Relationship Id="rId221" Type="http://schemas.openxmlformats.org/officeDocument/2006/relationships/image" Target="media/image94.jpg"/><Relationship Id="rId242" Type="http://schemas.openxmlformats.org/officeDocument/2006/relationships/image" Target="media/image100.svg"/><Relationship Id="rId263" Type="http://schemas.openxmlformats.org/officeDocument/2006/relationships/hyperlink" Target="https://www.loc.gov/folklife/edresources/ed-trainingdocuments.html" TargetMode="External"/><Relationship Id="rId284" Type="http://schemas.openxmlformats.org/officeDocument/2006/relationships/hyperlink" Target="https://www.cdc.gov/nchs/data_access/ftp_data.htm" TargetMode="External"/><Relationship Id="rId37" Type="http://schemas.openxmlformats.org/officeDocument/2006/relationships/image" Target="media/image6.png"/><Relationship Id="rId58" Type="http://schemas.openxmlformats.org/officeDocument/2006/relationships/diagramData" Target="diagrams/data5.xml"/><Relationship Id="rId79" Type="http://schemas.openxmlformats.org/officeDocument/2006/relationships/diagramData" Target="diagrams/data9.xml"/><Relationship Id="rId102" Type="http://schemas.openxmlformats.org/officeDocument/2006/relationships/hyperlink" Target="https://aom.org/about-aom/governance/ethics/code-of-ethics" TargetMode="External"/><Relationship Id="rId123" Type="http://schemas.openxmlformats.org/officeDocument/2006/relationships/image" Target="media/image37.png"/><Relationship Id="rId144" Type="http://schemas.openxmlformats.org/officeDocument/2006/relationships/image" Target="media/image65.png"/><Relationship Id="rId90" Type="http://schemas.openxmlformats.org/officeDocument/2006/relationships/diagramData" Target="diagrams/data10.xml"/><Relationship Id="rId165" Type="http://schemas.openxmlformats.org/officeDocument/2006/relationships/image" Target="media/image70.png"/><Relationship Id="rId186" Type="http://schemas.openxmlformats.org/officeDocument/2006/relationships/diagramQuickStyle" Target="diagrams/quickStyle19.xml"/><Relationship Id="rId211" Type="http://schemas.microsoft.com/office/2007/relationships/diagramDrawing" Target="diagrams/drawing22.xml"/><Relationship Id="rId232" Type="http://schemas.openxmlformats.org/officeDocument/2006/relationships/diagramLayout" Target="diagrams/layout24.xml"/><Relationship Id="rId253" Type="http://schemas.openxmlformats.org/officeDocument/2006/relationships/image" Target="media/image108.png"/><Relationship Id="rId274" Type="http://schemas.openxmlformats.org/officeDocument/2006/relationships/hyperlink" Target="https://www2.ed.gov/rschstat/landing.jhtml?src=pn" TargetMode="External"/><Relationship Id="rId295" Type="http://schemas.openxmlformats.org/officeDocument/2006/relationships/image" Target="media/image114.png"/><Relationship Id="rId309" Type="http://schemas.openxmlformats.org/officeDocument/2006/relationships/header" Target="header27.xml"/><Relationship Id="rId27" Type="http://schemas.openxmlformats.org/officeDocument/2006/relationships/diagramLayout" Target="diagrams/layout1.xml"/><Relationship Id="rId48" Type="http://schemas.openxmlformats.org/officeDocument/2006/relationships/image" Target="media/image10.jpeg"/><Relationship Id="rId69" Type="http://schemas.openxmlformats.org/officeDocument/2006/relationships/diagramData" Target="diagrams/data7.xml"/><Relationship Id="rId113" Type="http://schemas.microsoft.com/office/2007/relationships/diagramDrawing" Target="diagrams/drawing11.xml"/><Relationship Id="rId134" Type="http://schemas.openxmlformats.org/officeDocument/2006/relationships/diagramLayout" Target="diagrams/layout13.xml"/><Relationship Id="rId80" Type="http://schemas.openxmlformats.org/officeDocument/2006/relationships/diagramLayout" Target="diagrams/layout9.xml"/><Relationship Id="rId155" Type="http://schemas.openxmlformats.org/officeDocument/2006/relationships/diagramLayout" Target="diagrams/layout15.xml"/><Relationship Id="rId176" Type="http://schemas.openxmlformats.org/officeDocument/2006/relationships/diagramLayout" Target="diagrams/layout18.xml"/><Relationship Id="rId197" Type="http://schemas.openxmlformats.org/officeDocument/2006/relationships/diagramColors" Target="diagrams/colors21.xml"/><Relationship Id="rId201" Type="http://schemas.openxmlformats.org/officeDocument/2006/relationships/image" Target="media/image79.jpg"/><Relationship Id="rId222" Type="http://schemas.openxmlformats.org/officeDocument/2006/relationships/image" Target="media/image95.png"/><Relationship Id="rId243" Type="http://schemas.openxmlformats.org/officeDocument/2006/relationships/image" Target="media/image101.png"/><Relationship Id="rId264" Type="http://schemas.openxmlformats.org/officeDocument/2006/relationships/hyperlink" Target="https://www.loc.gov/folklife/edresources/ed-trainingdocuments.html" TargetMode="External"/><Relationship Id="rId285" Type="http://schemas.openxmlformats.org/officeDocument/2006/relationships/hyperlink" Target="https://www.ncdc.noaa.gov/data-access" TargetMode="External"/><Relationship Id="rId17" Type="http://schemas.openxmlformats.org/officeDocument/2006/relationships/header" Target="header4.xml"/><Relationship Id="rId38" Type="http://schemas.openxmlformats.org/officeDocument/2006/relationships/diagramData" Target="diagrams/data3.xml"/><Relationship Id="rId59" Type="http://schemas.openxmlformats.org/officeDocument/2006/relationships/diagramLayout" Target="diagrams/layout5.xml"/><Relationship Id="rId103" Type="http://schemas.openxmlformats.org/officeDocument/2006/relationships/hyperlink" Target="https://www.insightsassociation.org/issues-policies/insights-association-code-standards-and-ethics-market-research-and-data-analytics-0" TargetMode="External"/><Relationship Id="rId124" Type="http://schemas.openxmlformats.org/officeDocument/2006/relationships/image" Target="media/image38.svg"/><Relationship Id="rId310" Type="http://schemas.openxmlformats.org/officeDocument/2006/relationships/header" Target="header28.xml"/><Relationship Id="rId70" Type="http://schemas.openxmlformats.org/officeDocument/2006/relationships/diagramLayout" Target="diagrams/layout7.xml"/><Relationship Id="rId91" Type="http://schemas.openxmlformats.org/officeDocument/2006/relationships/diagramLayout" Target="diagrams/layout10.xml"/><Relationship Id="rId145" Type="http://schemas.openxmlformats.org/officeDocument/2006/relationships/header" Target="header14.xml"/><Relationship Id="rId166" Type="http://schemas.openxmlformats.org/officeDocument/2006/relationships/image" Target="media/image71.png"/><Relationship Id="rId187" Type="http://schemas.openxmlformats.org/officeDocument/2006/relationships/diagramColors" Target="diagrams/colors19.xml"/><Relationship Id="rId1" Type="http://schemas.openxmlformats.org/officeDocument/2006/relationships/customXml" Target="../customXml/item1.xml"/><Relationship Id="rId212" Type="http://schemas.openxmlformats.org/officeDocument/2006/relationships/image" Target="media/image85.png"/><Relationship Id="rId233" Type="http://schemas.openxmlformats.org/officeDocument/2006/relationships/diagramQuickStyle" Target="diagrams/quickStyle24.xml"/><Relationship Id="rId254" Type="http://schemas.microsoft.com/office/2007/relationships/hdphoto" Target="media/hdphoto9.wdp"/><Relationship Id="rId28" Type="http://schemas.openxmlformats.org/officeDocument/2006/relationships/diagramQuickStyle" Target="diagrams/quickStyle1.xml"/><Relationship Id="rId49" Type="http://schemas.openxmlformats.org/officeDocument/2006/relationships/image" Target="media/image11.jpeg"/><Relationship Id="rId114" Type="http://schemas.openxmlformats.org/officeDocument/2006/relationships/image" Target="media/image35.png"/><Relationship Id="rId275" Type="http://schemas.openxmlformats.org/officeDocument/2006/relationships/hyperlink" Target="https://healthdata.gov/" TargetMode="External"/><Relationship Id="rId296" Type="http://schemas.microsoft.com/office/2007/relationships/hdphoto" Target="media/hdphoto12.wdp"/><Relationship Id="rId300" Type="http://schemas.openxmlformats.org/officeDocument/2006/relationships/image" Target="media/image116.png"/><Relationship Id="rId60" Type="http://schemas.openxmlformats.org/officeDocument/2006/relationships/diagramQuickStyle" Target="diagrams/quickStyle5.xml"/><Relationship Id="rId81" Type="http://schemas.openxmlformats.org/officeDocument/2006/relationships/diagramQuickStyle" Target="diagrams/quickStyle9.xml"/><Relationship Id="rId135" Type="http://schemas.openxmlformats.org/officeDocument/2006/relationships/diagramQuickStyle" Target="diagrams/quickStyle13.xml"/><Relationship Id="rId156" Type="http://schemas.openxmlformats.org/officeDocument/2006/relationships/diagramQuickStyle" Target="diagrams/quickStyle15.xml"/><Relationship Id="rId177" Type="http://schemas.openxmlformats.org/officeDocument/2006/relationships/diagramQuickStyle" Target="diagrams/quickStyle18.xml"/><Relationship Id="rId198" Type="http://schemas.microsoft.com/office/2007/relationships/diagramDrawing" Target="diagrams/drawing21.xml"/><Relationship Id="rId202" Type="http://schemas.openxmlformats.org/officeDocument/2006/relationships/image" Target="media/image80.jpg"/><Relationship Id="rId223" Type="http://schemas.openxmlformats.org/officeDocument/2006/relationships/header" Target="header18.xml"/><Relationship Id="rId244" Type="http://schemas.openxmlformats.org/officeDocument/2006/relationships/image" Target="media/image102.svg"/><Relationship Id="rId18" Type="http://schemas.openxmlformats.org/officeDocument/2006/relationships/footer" Target="footer5.xml"/><Relationship Id="rId39" Type="http://schemas.openxmlformats.org/officeDocument/2006/relationships/diagramLayout" Target="diagrams/layout3.xml"/><Relationship Id="rId265" Type="http://schemas.openxmlformats.org/officeDocument/2006/relationships/header" Target="header23.xml"/><Relationship Id="rId286" Type="http://schemas.openxmlformats.org/officeDocument/2006/relationships/hyperlink" Target="http://data.un.org/" TargetMode="External"/><Relationship Id="rId50" Type="http://schemas.openxmlformats.org/officeDocument/2006/relationships/image" Target="media/image12.jpeg"/><Relationship Id="rId104" Type="http://schemas.openxmlformats.org/officeDocument/2006/relationships/hyperlink" Target="https://charteredabs.org/wp-content/uploads/2015/02/abs_ethics_guide_-_2012.pdf" TargetMode="External"/><Relationship Id="rId125" Type="http://schemas.openxmlformats.org/officeDocument/2006/relationships/image" Target="media/image39.png"/><Relationship Id="rId146" Type="http://schemas.openxmlformats.org/officeDocument/2006/relationships/image" Target="media/image66.jpeg"/><Relationship Id="rId167" Type="http://schemas.openxmlformats.org/officeDocument/2006/relationships/header" Target="header15.xml"/><Relationship Id="rId188" Type="http://schemas.microsoft.com/office/2007/relationships/diagramDrawing" Target="diagrams/drawing19.xml"/><Relationship Id="rId311" Type="http://schemas.openxmlformats.org/officeDocument/2006/relationships/header" Target="header29.xml"/><Relationship Id="rId71" Type="http://schemas.openxmlformats.org/officeDocument/2006/relationships/diagramQuickStyle" Target="diagrams/quickStyle7.xml"/><Relationship Id="rId92" Type="http://schemas.openxmlformats.org/officeDocument/2006/relationships/diagramQuickStyle" Target="diagrams/quickStyle10.xml"/><Relationship Id="rId213" Type="http://schemas.openxmlformats.org/officeDocument/2006/relationships/image" Target="media/image86.png"/><Relationship Id="rId234" Type="http://schemas.openxmlformats.org/officeDocument/2006/relationships/diagramColors" Target="diagrams/colors24.xml"/><Relationship Id="rId2" Type="http://schemas.openxmlformats.org/officeDocument/2006/relationships/customXml" Target="../customXml/item2.xml"/><Relationship Id="rId29" Type="http://schemas.openxmlformats.org/officeDocument/2006/relationships/diagramColors" Target="diagrams/colors1.xml"/><Relationship Id="rId255" Type="http://schemas.openxmlformats.org/officeDocument/2006/relationships/header" Target="header21.xml"/><Relationship Id="rId276" Type="http://schemas.openxmlformats.org/officeDocument/2006/relationships/hyperlink" Target="https://www.huduser.gov/portal/pdrdatas_landing.html" TargetMode="External"/><Relationship Id="rId297" Type="http://schemas.openxmlformats.org/officeDocument/2006/relationships/header" Target="header25.xml"/><Relationship Id="rId40" Type="http://schemas.openxmlformats.org/officeDocument/2006/relationships/diagramQuickStyle" Target="diagrams/quickStyle3.xml"/><Relationship Id="rId115" Type="http://schemas.openxmlformats.org/officeDocument/2006/relationships/header" Target="header12.xml"/><Relationship Id="rId136" Type="http://schemas.openxmlformats.org/officeDocument/2006/relationships/diagramColors" Target="diagrams/colors13.xml"/><Relationship Id="rId157" Type="http://schemas.openxmlformats.org/officeDocument/2006/relationships/diagramColors" Target="diagrams/colors15.xml"/><Relationship Id="rId178" Type="http://schemas.openxmlformats.org/officeDocument/2006/relationships/diagramColors" Target="diagrams/colors18.xml"/><Relationship Id="rId301" Type="http://schemas.openxmlformats.org/officeDocument/2006/relationships/image" Target="media/image117.png"/><Relationship Id="rId61" Type="http://schemas.openxmlformats.org/officeDocument/2006/relationships/diagramColors" Target="diagrams/colors5.xml"/><Relationship Id="rId82" Type="http://schemas.openxmlformats.org/officeDocument/2006/relationships/diagramColors" Target="diagrams/colors9.xml"/><Relationship Id="rId199" Type="http://schemas.openxmlformats.org/officeDocument/2006/relationships/image" Target="media/image77.jpg"/><Relationship Id="rId203" Type="http://schemas.openxmlformats.org/officeDocument/2006/relationships/header" Target="header16.xml"/><Relationship Id="rId19" Type="http://schemas.openxmlformats.org/officeDocument/2006/relationships/header" Target="header5.xml"/><Relationship Id="rId224" Type="http://schemas.openxmlformats.org/officeDocument/2006/relationships/image" Target="media/image96.png"/><Relationship Id="rId245" Type="http://schemas.openxmlformats.org/officeDocument/2006/relationships/image" Target="media/image103.png"/><Relationship Id="rId266" Type="http://schemas.openxmlformats.org/officeDocument/2006/relationships/image" Target="media/image113.jpeg"/><Relationship Id="rId287" Type="http://schemas.openxmlformats.org/officeDocument/2006/relationships/hyperlink" Target="https://datacatalog.worldbank.org/" TargetMode="External"/><Relationship Id="rId30" Type="http://schemas.microsoft.com/office/2007/relationships/diagramDrawing" Target="diagrams/drawing1.xml"/><Relationship Id="rId105" Type="http://schemas.openxmlformats.org/officeDocument/2006/relationships/hyperlink" Target="https://www.mrs.org.uk/standards/code%20of%20conduct" TargetMode="External"/><Relationship Id="rId126" Type="http://schemas.openxmlformats.org/officeDocument/2006/relationships/image" Target="media/image40.svg"/><Relationship Id="rId147" Type="http://schemas.openxmlformats.org/officeDocument/2006/relationships/diagramData" Target="diagrams/data14.xml"/><Relationship Id="rId168" Type="http://schemas.openxmlformats.org/officeDocument/2006/relationships/image" Target="media/image72.png"/><Relationship Id="rId312" Type="http://schemas.openxmlformats.org/officeDocument/2006/relationships/header" Target="header30.xml"/><Relationship Id="rId51" Type="http://schemas.openxmlformats.org/officeDocument/2006/relationships/image" Target="media/image13.jpeg"/><Relationship Id="rId72" Type="http://schemas.openxmlformats.org/officeDocument/2006/relationships/diagramColors" Target="diagrams/colors7.xml"/><Relationship Id="rId93" Type="http://schemas.openxmlformats.org/officeDocument/2006/relationships/diagramColors" Target="diagrams/colors10.xml"/><Relationship Id="rId189" Type="http://schemas.openxmlformats.org/officeDocument/2006/relationships/diagramData" Target="diagrams/data20.xml"/><Relationship Id="rId3" Type="http://schemas.openxmlformats.org/officeDocument/2006/relationships/numbering" Target="numbering.xml"/><Relationship Id="rId214" Type="http://schemas.openxmlformats.org/officeDocument/2006/relationships/image" Target="media/image87.png"/><Relationship Id="rId235" Type="http://schemas.microsoft.com/office/2007/relationships/diagramDrawing" Target="diagrams/drawing24.xml"/><Relationship Id="rId256" Type="http://schemas.openxmlformats.org/officeDocument/2006/relationships/image" Target="media/image109.png"/><Relationship Id="rId277" Type="http://schemas.openxmlformats.org/officeDocument/2006/relationships/hyperlink" Target="https://www.export.gov/Trade-Data-and-Analysis" TargetMode="External"/><Relationship Id="rId298" Type="http://schemas.openxmlformats.org/officeDocument/2006/relationships/image" Target="media/image115.png"/><Relationship Id="rId116" Type="http://schemas.openxmlformats.org/officeDocument/2006/relationships/header" Target="header13.xml"/><Relationship Id="rId137" Type="http://schemas.microsoft.com/office/2007/relationships/diagramDrawing" Target="diagrams/drawing13.xml"/><Relationship Id="rId158" Type="http://schemas.microsoft.com/office/2007/relationships/diagramDrawing" Target="diagrams/drawing15.xml"/><Relationship Id="rId302" Type="http://schemas.openxmlformats.org/officeDocument/2006/relationships/image" Target="media/image118.png"/><Relationship Id="rId20" Type="http://schemas.openxmlformats.org/officeDocument/2006/relationships/footer" Target="footer6.xml"/><Relationship Id="rId41" Type="http://schemas.openxmlformats.org/officeDocument/2006/relationships/diagramColors" Target="diagrams/colors3.xml"/><Relationship Id="rId62" Type="http://schemas.microsoft.com/office/2007/relationships/diagramDrawing" Target="diagrams/drawing5.xml"/><Relationship Id="rId83" Type="http://schemas.microsoft.com/office/2007/relationships/diagramDrawing" Target="diagrams/drawing9.xml"/><Relationship Id="rId179" Type="http://schemas.microsoft.com/office/2007/relationships/diagramDrawing" Target="diagrams/drawing18.xml"/><Relationship Id="rId190" Type="http://schemas.openxmlformats.org/officeDocument/2006/relationships/diagramLayout" Target="diagrams/layout20.xml"/><Relationship Id="rId204" Type="http://schemas.openxmlformats.org/officeDocument/2006/relationships/header" Target="header17.xml"/><Relationship Id="rId225" Type="http://schemas.microsoft.com/office/2007/relationships/hdphoto" Target="media/hdphoto7.wdp"/><Relationship Id="rId246" Type="http://schemas.openxmlformats.org/officeDocument/2006/relationships/image" Target="media/image104.svg"/><Relationship Id="rId267" Type="http://schemas.openxmlformats.org/officeDocument/2006/relationships/hyperlink" Target="https://www.ahrq.gov/chsp/data-resources/compendium.html" TargetMode="External"/><Relationship Id="rId288" Type="http://schemas.openxmlformats.org/officeDocument/2006/relationships/hyperlink" Target="https://www.cia.gov/the-world-factbook/" TargetMode="External"/><Relationship Id="rId106" Type="http://schemas.openxmlformats.org/officeDocument/2006/relationships/hyperlink" Target="https://the-sra.org.uk/research-ethics/ethics-guidelines/" TargetMode="External"/><Relationship Id="rId127" Type="http://schemas.openxmlformats.org/officeDocument/2006/relationships/image" Target="media/image41.png"/><Relationship Id="rId313"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diagramData" Target="diagrams/data2.xml"/><Relationship Id="rId52" Type="http://schemas.openxmlformats.org/officeDocument/2006/relationships/image" Target="media/image14.png"/><Relationship Id="rId73" Type="http://schemas.microsoft.com/office/2007/relationships/diagramDrawing" Target="diagrams/drawing7.xml"/><Relationship Id="rId94" Type="http://schemas.microsoft.com/office/2007/relationships/diagramDrawing" Target="diagrams/drawing10.xml"/><Relationship Id="rId148" Type="http://schemas.openxmlformats.org/officeDocument/2006/relationships/diagramLayout" Target="diagrams/layout14.xml"/><Relationship Id="rId169" Type="http://schemas.microsoft.com/office/2007/relationships/hdphoto" Target="media/hdphoto5.wdp"/><Relationship Id="rId4" Type="http://schemas.openxmlformats.org/officeDocument/2006/relationships/styles" Target="styles.xml"/><Relationship Id="rId180" Type="http://schemas.openxmlformats.org/officeDocument/2006/relationships/image" Target="media/image73.jpg"/><Relationship Id="rId215" Type="http://schemas.openxmlformats.org/officeDocument/2006/relationships/image" Target="media/image88.png"/><Relationship Id="rId236" Type="http://schemas.openxmlformats.org/officeDocument/2006/relationships/diagramData" Target="diagrams/data25.xml"/><Relationship Id="rId257" Type="http://schemas.microsoft.com/office/2007/relationships/hdphoto" Target="media/hdphoto10.wdp"/><Relationship Id="rId278" Type="http://schemas.openxmlformats.org/officeDocument/2006/relationships/hyperlink" Target="https://www.fbi.gov/how-we-can-help-you/more-fbi-services-and-information/ucr" TargetMode="External"/><Relationship Id="rId303" Type="http://schemas.openxmlformats.org/officeDocument/2006/relationships/image" Target="media/image119.png"/><Relationship Id="rId42" Type="http://schemas.microsoft.com/office/2007/relationships/diagramDrawing" Target="diagrams/drawing3.xml"/><Relationship Id="rId84" Type="http://schemas.openxmlformats.org/officeDocument/2006/relationships/header" Target="header10.xml"/><Relationship Id="rId138" Type="http://schemas.openxmlformats.org/officeDocument/2006/relationships/image" Target="media/image59.png"/><Relationship Id="rId191" Type="http://schemas.openxmlformats.org/officeDocument/2006/relationships/diagramQuickStyle" Target="diagrams/quickStyle20.xml"/><Relationship Id="rId205" Type="http://schemas.openxmlformats.org/officeDocument/2006/relationships/image" Target="media/image81.png"/><Relationship Id="rId247" Type="http://schemas.openxmlformats.org/officeDocument/2006/relationships/image" Target="media/image105.png"/><Relationship Id="rId107" Type="http://schemas.openxmlformats.org/officeDocument/2006/relationships/hyperlink" Target="https://www.asanet.org/about/governance-and-leadership/code-ethics" TargetMode="External"/><Relationship Id="rId289" Type="http://schemas.openxmlformats.org/officeDocument/2006/relationships/hyperlink" Target="https://scholar.google.com" TargetMode="External"/><Relationship Id="rId11" Type="http://schemas.openxmlformats.org/officeDocument/2006/relationships/header" Target="header1.xml"/><Relationship Id="rId53" Type="http://schemas.openxmlformats.org/officeDocument/2006/relationships/header" Target="header8.xml"/><Relationship Id="rId149" Type="http://schemas.openxmlformats.org/officeDocument/2006/relationships/diagramQuickStyle" Target="diagrams/quickStyle14.xml"/><Relationship Id="rId314" Type="http://schemas.openxmlformats.org/officeDocument/2006/relationships/theme" Target="theme/theme1.xml"/><Relationship Id="rId95" Type="http://schemas.openxmlformats.org/officeDocument/2006/relationships/image" Target="media/image29.png"/><Relationship Id="rId160" Type="http://schemas.openxmlformats.org/officeDocument/2006/relationships/diagramData" Target="diagrams/data16.xml"/><Relationship Id="rId216" Type="http://schemas.openxmlformats.org/officeDocument/2006/relationships/image" Target="media/image89.png"/><Relationship Id="rId258" Type="http://schemas.openxmlformats.org/officeDocument/2006/relationships/header" Target="header22.xml"/><Relationship Id="rId22" Type="http://schemas.openxmlformats.org/officeDocument/2006/relationships/footer" Target="footer7.xml"/><Relationship Id="rId64" Type="http://schemas.openxmlformats.org/officeDocument/2006/relationships/diagramData" Target="diagrams/data6.xml"/><Relationship Id="rId118" Type="http://schemas.openxmlformats.org/officeDocument/2006/relationships/diagramData" Target="diagrams/data12.xml"/><Relationship Id="rId171" Type="http://schemas.openxmlformats.org/officeDocument/2006/relationships/diagramLayout" Target="diagrams/layout17.xml"/><Relationship Id="rId227" Type="http://schemas.openxmlformats.org/officeDocument/2006/relationships/diagramLayout" Target="diagrams/layout23.xml"/><Relationship Id="rId269" Type="http://schemas.openxmlformats.org/officeDocument/2006/relationships/hyperlink" Target="https://www.bls.gov/" TargetMode="External"/><Relationship Id="rId33" Type="http://schemas.openxmlformats.org/officeDocument/2006/relationships/diagramQuickStyle" Target="diagrams/quickStyle2.xml"/><Relationship Id="rId129" Type="http://schemas.openxmlformats.org/officeDocument/2006/relationships/image" Target="media/image43.png"/><Relationship Id="rId280" Type="http://schemas.openxmlformats.org/officeDocument/2006/relationships/hyperlink" Target="https://www.federalreserve.gov/data.htm" TargetMode="External"/><Relationship Id="rId75" Type="http://schemas.openxmlformats.org/officeDocument/2006/relationships/diagramLayout" Target="diagrams/layout8.xml"/><Relationship Id="rId140" Type="http://schemas.openxmlformats.org/officeDocument/2006/relationships/image" Target="media/image61.png"/><Relationship Id="rId182" Type="http://schemas.openxmlformats.org/officeDocument/2006/relationships/image" Target="media/image75.jpg"/><Relationship Id="rId6" Type="http://schemas.openxmlformats.org/officeDocument/2006/relationships/webSettings" Target="webSettings.xml"/><Relationship Id="rId238" Type="http://schemas.openxmlformats.org/officeDocument/2006/relationships/diagramQuickStyle" Target="diagrams/quickStyle25.xml"/><Relationship Id="rId291" Type="http://schemas.openxmlformats.org/officeDocument/2006/relationships/hyperlink" Target="https://www.archives.gov/research" TargetMode="External"/><Relationship Id="rId305" Type="http://schemas.openxmlformats.org/officeDocument/2006/relationships/image" Target="media/image121.png"/><Relationship Id="rId44" Type="http://schemas.openxmlformats.org/officeDocument/2006/relationships/diagramLayout" Target="diagrams/layout4.xml"/><Relationship Id="rId86" Type="http://schemas.openxmlformats.org/officeDocument/2006/relationships/image" Target="media/image17.png"/><Relationship Id="rId151" Type="http://schemas.microsoft.com/office/2007/relationships/diagramDrawing" Target="diagrams/drawing14.xml"/></Relationships>
</file>

<file path=word/_rels/footnotes.xml.rels><?xml version="1.0" encoding="UTF-8" standalone="yes"?>
<Relationships xmlns="http://schemas.openxmlformats.org/package/2006/relationships"><Relationship Id="rId2" Type="http://schemas.openxmlformats.org/officeDocument/2006/relationships/hyperlink" Target="https://www.offthemark.com/cartoon/leisure-hobbies/home-garden/2006-05-30" TargetMode="External"/><Relationship Id="rId1" Type="http://schemas.openxmlformats.org/officeDocument/2006/relationships/hyperlink" Target="https://www.calculator.net/standard-deviation-calculator.html" TargetMode="External"/></Relationships>
</file>

<file path=word/diagrams/_rels/data10.xml.rels><?xml version="1.0" encoding="UTF-8" standalone="yes"?>
<Relationships xmlns="http://schemas.openxmlformats.org/package/2006/relationships"><Relationship Id="rId8" Type="http://schemas.openxmlformats.org/officeDocument/2006/relationships/image" Target="../media/image26.svg"/><Relationship Id="rId3" Type="http://schemas.openxmlformats.org/officeDocument/2006/relationships/image" Target="../media/image21.png"/><Relationship Id="rId7" Type="http://schemas.openxmlformats.org/officeDocument/2006/relationships/image" Target="../media/image25.png"/><Relationship Id="rId2" Type="http://schemas.openxmlformats.org/officeDocument/2006/relationships/image" Target="../media/image20.svg"/><Relationship Id="rId1" Type="http://schemas.openxmlformats.org/officeDocument/2006/relationships/image" Target="../media/image19.png"/><Relationship Id="rId6" Type="http://schemas.openxmlformats.org/officeDocument/2006/relationships/image" Target="../media/image24.svg"/><Relationship Id="rId5" Type="http://schemas.openxmlformats.org/officeDocument/2006/relationships/image" Target="../media/image23.png"/><Relationship Id="rId10" Type="http://schemas.openxmlformats.org/officeDocument/2006/relationships/image" Target="../media/image28.svg"/><Relationship Id="rId4" Type="http://schemas.openxmlformats.org/officeDocument/2006/relationships/image" Target="../media/image22.svg"/><Relationship Id="rId9" Type="http://schemas.openxmlformats.org/officeDocument/2006/relationships/image" Target="../media/image27.png"/></Relationships>
</file>

<file path=word/diagrams/_rels/data1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diagrams/_rels/data13.xml.rels><?xml version="1.0" encoding="UTF-8" standalone="yes"?>
<Relationships xmlns="http://schemas.openxmlformats.org/package/2006/relationships"><Relationship Id="rId8" Type="http://schemas.openxmlformats.org/officeDocument/2006/relationships/image" Target="../media/image52.svg"/><Relationship Id="rId13" Type="http://schemas.openxmlformats.org/officeDocument/2006/relationships/image" Target="../media/image57.png"/><Relationship Id="rId3" Type="http://schemas.openxmlformats.org/officeDocument/2006/relationships/image" Target="../media/image49.png"/><Relationship Id="rId7" Type="http://schemas.openxmlformats.org/officeDocument/2006/relationships/image" Target="../media/image51.png"/><Relationship Id="rId12" Type="http://schemas.openxmlformats.org/officeDocument/2006/relationships/image" Target="../media/image56.svg"/><Relationship Id="rId2" Type="http://schemas.openxmlformats.org/officeDocument/2006/relationships/image" Target="../media/image48.svg"/><Relationship Id="rId1" Type="http://schemas.openxmlformats.org/officeDocument/2006/relationships/image" Target="../media/image47.png"/><Relationship Id="rId6" Type="http://schemas.openxmlformats.org/officeDocument/2006/relationships/image" Target="../media/image46.svg"/><Relationship Id="rId11" Type="http://schemas.openxmlformats.org/officeDocument/2006/relationships/image" Target="../media/image55.png"/><Relationship Id="rId5" Type="http://schemas.openxmlformats.org/officeDocument/2006/relationships/image" Target="../media/image45.png"/><Relationship Id="rId10" Type="http://schemas.openxmlformats.org/officeDocument/2006/relationships/image" Target="../media/image54.svg"/><Relationship Id="rId4" Type="http://schemas.openxmlformats.org/officeDocument/2006/relationships/image" Target="../media/image50.svg"/><Relationship Id="rId9" Type="http://schemas.openxmlformats.org/officeDocument/2006/relationships/image" Target="../media/image53.png"/><Relationship Id="rId14" Type="http://schemas.openxmlformats.org/officeDocument/2006/relationships/image" Target="../media/image58.svg"/></Relationships>
</file>

<file path=word/diagrams/_rels/data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diagrams/_rels/data22.xml.rels><?xml version="1.0" encoding="UTF-8" standalone="yes"?>
<Relationships xmlns="http://schemas.openxmlformats.org/package/2006/relationships"><Relationship Id="rId3" Type="http://schemas.openxmlformats.org/officeDocument/2006/relationships/image" Target="../media/image84.jpeg"/><Relationship Id="rId2" Type="http://schemas.openxmlformats.org/officeDocument/2006/relationships/image" Target="../media/image83.jpeg"/><Relationship Id="rId1" Type="http://schemas.openxmlformats.org/officeDocument/2006/relationships/image" Target="../media/image82.jpeg"/></Relationships>
</file>

<file path=word/diagrams/_rels/data24.xml.rels><?xml version="1.0" encoding="UTF-8" standalone="yes"?>
<Relationships xmlns="http://schemas.openxmlformats.org/package/2006/relationships"><Relationship Id="rId2" Type="http://schemas.openxmlformats.org/officeDocument/2006/relationships/image" Target="../media/image98.jpeg"/><Relationship Id="rId1" Type="http://schemas.openxmlformats.org/officeDocument/2006/relationships/image" Target="../media/image97.jpeg"/></Relationships>
</file>

<file path=word/diagrams/_rels/data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diagrams/_rels/drawing10.xml.rels><?xml version="1.0" encoding="UTF-8" standalone="yes"?>
<Relationships xmlns="http://schemas.openxmlformats.org/package/2006/relationships"><Relationship Id="rId8" Type="http://schemas.openxmlformats.org/officeDocument/2006/relationships/image" Target="../media/image26.svg"/><Relationship Id="rId3" Type="http://schemas.openxmlformats.org/officeDocument/2006/relationships/image" Target="../media/image21.png"/><Relationship Id="rId7" Type="http://schemas.openxmlformats.org/officeDocument/2006/relationships/image" Target="../media/image25.png"/><Relationship Id="rId2" Type="http://schemas.openxmlformats.org/officeDocument/2006/relationships/image" Target="../media/image20.svg"/><Relationship Id="rId1" Type="http://schemas.openxmlformats.org/officeDocument/2006/relationships/image" Target="../media/image19.png"/><Relationship Id="rId6" Type="http://schemas.openxmlformats.org/officeDocument/2006/relationships/image" Target="../media/image24.svg"/><Relationship Id="rId5" Type="http://schemas.openxmlformats.org/officeDocument/2006/relationships/image" Target="../media/image23.png"/><Relationship Id="rId10" Type="http://schemas.openxmlformats.org/officeDocument/2006/relationships/image" Target="../media/image28.svg"/><Relationship Id="rId4" Type="http://schemas.openxmlformats.org/officeDocument/2006/relationships/image" Target="../media/image22.svg"/><Relationship Id="rId9" Type="http://schemas.openxmlformats.org/officeDocument/2006/relationships/image" Target="../media/image27.png"/></Relationships>
</file>

<file path=word/diagrams/_rels/drawing1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diagrams/_rels/drawing13.xml.rels><?xml version="1.0" encoding="UTF-8" standalone="yes"?>
<Relationships xmlns="http://schemas.openxmlformats.org/package/2006/relationships"><Relationship Id="rId8" Type="http://schemas.openxmlformats.org/officeDocument/2006/relationships/image" Target="../media/image56.svg"/><Relationship Id="rId13" Type="http://schemas.openxmlformats.org/officeDocument/2006/relationships/image" Target="../media/image45.png"/><Relationship Id="rId3" Type="http://schemas.openxmlformats.org/officeDocument/2006/relationships/image" Target="../media/image51.png"/><Relationship Id="rId7" Type="http://schemas.openxmlformats.org/officeDocument/2006/relationships/image" Target="../media/image55.png"/><Relationship Id="rId12" Type="http://schemas.openxmlformats.org/officeDocument/2006/relationships/image" Target="../media/image50.svg"/><Relationship Id="rId2" Type="http://schemas.openxmlformats.org/officeDocument/2006/relationships/image" Target="../media/image48.svg"/><Relationship Id="rId1" Type="http://schemas.openxmlformats.org/officeDocument/2006/relationships/image" Target="../media/image47.png"/><Relationship Id="rId6" Type="http://schemas.openxmlformats.org/officeDocument/2006/relationships/image" Target="../media/image54.svg"/><Relationship Id="rId11" Type="http://schemas.openxmlformats.org/officeDocument/2006/relationships/image" Target="../media/image49.png"/><Relationship Id="rId5" Type="http://schemas.openxmlformats.org/officeDocument/2006/relationships/image" Target="../media/image53.png"/><Relationship Id="rId10" Type="http://schemas.openxmlformats.org/officeDocument/2006/relationships/image" Target="../media/image58.svg"/><Relationship Id="rId4" Type="http://schemas.openxmlformats.org/officeDocument/2006/relationships/image" Target="../media/image52.svg"/><Relationship Id="rId9" Type="http://schemas.openxmlformats.org/officeDocument/2006/relationships/image" Target="../media/image57.png"/><Relationship Id="rId14" Type="http://schemas.openxmlformats.org/officeDocument/2006/relationships/image" Target="../media/image46.svg"/></Relationships>
</file>

<file path=word/diagrams/_rels/drawing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diagrams/_rels/drawing22.xml.rels><?xml version="1.0" encoding="UTF-8" standalone="yes"?>
<Relationships xmlns="http://schemas.openxmlformats.org/package/2006/relationships"><Relationship Id="rId3" Type="http://schemas.openxmlformats.org/officeDocument/2006/relationships/image" Target="../media/image84.jpeg"/><Relationship Id="rId2" Type="http://schemas.openxmlformats.org/officeDocument/2006/relationships/image" Target="../media/image83.jpeg"/><Relationship Id="rId1" Type="http://schemas.openxmlformats.org/officeDocument/2006/relationships/image" Target="../media/image82.jpeg"/></Relationships>
</file>

<file path=word/diagrams/_rels/drawing24.xml.rels><?xml version="1.0" encoding="UTF-8" standalone="yes"?>
<Relationships xmlns="http://schemas.openxmlformats.org/package/2006/relationships"><Relationship Id="rId2" Type="http://schemas.openxmlformats.org/officeDocument/2006/relationships/image" Target="../media/image98.jpeg"/><Relationship Id="rId1" Type="http://schemas.openxmlformats.org/officeDocument/2006/relationships/image" Target="../media/image97.jpeg"/></Relationships>
</file>

<file path=word/diagrams/_rels/drawing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7093C6-B575-4AD5-937D-34DA36C853F8}" type="doc">
      <dgm:prSet loTypeId="urn:microsoft.com/office/officeart/2005/8/layout/radial3" loCatId="relationship" qsTypeId="urn:microsoft.com/office/officeart/2005/8/quickstyle/simple1" qsCatId="simple" csTypeId="urn:microsoft.com/office/officeart/2005/8/colors/colorful1" csCatId="colorful" phldr="1"/>
      <dgm:spPr/>
    </dgm:pt>
    <dgm:pt modelId="{F272EAE3-C157-4581-9ABC-5E351DEA12D1}">
      <dgm:prSet phldrT="[Text]"/>
      <dgm:spPr/>
      <dgm:t>
        <a:bodyPr/>
        <a:lstStyle/>
        <a:p>
          <a:r>
            <a:rPr lang="en-US"/>
            <a:t>Sources of Knowledge</a:t>
          </a:r>
        </a:p>
      </dgm:t>
    </dgm:pt>
    <dgm:pt modelId="{2C47F70C-1E7E-4FBC-AE64-4B122A34F69C}" type="parTrans" cxnId="{680CA63A-256D-468D-AF68-F9C3A5765AA8}">
      <dgm:prSet/>
      <dgm:spPr/>
      <dgm:t>
        <a:bodyPr/>
        <a:lstStyle/>
        <a:p>
          <a:endParaRPr lang="en-US"/>
        </a:p>
      </dgm:t>
    </dgm:pt>
    <dgm:pt modelId="{5D7568E2-7391-412E-800C-BF7C05CF01C7}" type="sibTrans" cxnId="{680CA63A-256D-468D-AF68-F9C3A5765AA8}">
      <dgm:prSet/>
      <dgm:spPr/>
      <dgm:t>
        <a:bodyPr/>
        <a:lstStyle/>
        <a:p>
          <a:endParaRPr lang="en-US"/>
        </a:p>
      </dgm:t>
    </dgm:pt>
    <dgm:pt modelId="{381033FD-8665-4EA8-9B20-124DFEDFAB79}">
      <dgm:prSet phldrT="[Text]"/>
      <dgm:spPr/>
      <dgm:t>
        <a:bodyPr/>
        <a:lstStyle/>
        <a:p>
          <a:r>
            <a:rPr lang="en-US"/>
            <a:t>Tradition</a:t>
          </a:r>
        </a:p>
      </dgm:t>
    </dgm:pt>
    <dgm:pt modelId="{E32651CB-1647-4058-AFAD-E6091F517DA6}" type="parTrans" cxnId="{6B5D0E76-14A0-46F1-97D2-41D5CF4A4ECB}">
      <dgm:prSet/>
      <dgm:spPr/>
      <dgm:t>
        <a:bodyPr/>
        <a:lstStyle/>
        <a:p>
          <a:endParaRPr lang="en-US"/>
        </a:p>
      </dgm:t>
    </dgm:pt>
    <dgm:pt modelId="{2B29C509-E80D-4378-B0C7-05F662E00117}" type="sibTrans" cxnId="{6B5D0E76-14A0-46F1-97D2-41D5CF4A4ECB}">
      <dgm:prSet/>
      <dgm:spPr/>
      <dgm:t>
        <a:bodyPr/>
        <a:lstStyle/>
        <a:p>
          <a:endParaRPr lang="en-US"/>
        </a:p>
      </dgm:t>
    </dgm:pt>
    <dgm:pt modelId="{3E940A3C-F8B2-4A22-8E75-717FE5A22DB1}">
      <dgm:prSet phldrT="[Text]"/>
      <dgm:spPr/>
      <dgm:t>
        <a:bodyPr/>
        <a:lstStyle/>
        <a:p>
          <a:r>
            <a:rPr lang="en-US"/>
            <a:t>Generalization</a:t>
          </a:r>
        </a:p>
      </dgm:t>
    </dgm:pt>
    <dgm:pt modelId="{F65FE849-4A56-4B83-B677-4E2501008561}" type="parTrans" cxnId="{F79F0801-D2D9-4298-A517-88DD1F9A6D78}">
      <dgm:prSet/>
      <dgm:spPr/>
      <dgm:t>
        <a:bodyPr/>
        <a:lstStyle/>
        <a:p>
          <a:endParaRPr lang="en-US"/>
        </a:p>
      </dgm:t>
    </dgm:pt>
    <dgm:pt modelId="{33CF4867-91D4-43FD-B96F-3B212E058FB0}" type="sibTrans" cxnId="{F79F0801-D2D9-4298-A517-88DD1F9A6D78}">
      <dgm:prSet/>
      <dgm:spPr/>
      <dgm:t>
        <a:bodyPr/>
        <a:lstStyle/>
        <a:p>
          <a:endParaRPr lang="en-US"/>
        </a:p>
      </dgm:t>
    </dgm:pt>
    <dgm:pt modelId="{EFE615DD-EF2B-4AE2-9760-ADFCAE3C7F40}">
      <dgm:prSet phldrT="[Text]"/>
      <dgm:spPr/>
      <dgm:t>
        <a:bodyPr/>
        <a:lstStyle/>
        <a:p>
          <a:r>
            <a:rPr lang="en-US"/>
            <a:t>Observation</a:t>
          </a:r>
        </a:p>
      </dgm:t>
    </dgm:pt>
    <dgm:pt modelId="{44731099-1244-4C7A-B4DE-0393542A6DE0}" type="parTrans" cxnId="{316C8D4A-17BE-4F3F-B03D-54161A4FC2DB}">
      <dgm:prSet/>
      <dgm:spPr/>
      <dgm:t>
        <a:bodyPr/>
        <a:lstStyle/>
        <a:p>
          <a:endParaRPr lang="en-US"/>
        </a:p>
      </dgm:t>
    </dgm:pt>
    <dgm:pt modelId="{6491223D-C48A-40F1-A462-5C26E4BF7256}" type="sibTrans" cxnId="{316C8D4A-17BE-4F3F-B03D-54161A4FC2DB}">
      <dgm:prSet/>
      <dgm:spPr/>
      <dgm:t>
        <a:bodyPr/>
        <a:lstStyle/>
        <a:p>
          <a:endParaRPr lang="en-US"/>
        </a:p>
      </dgm:t>
    </dgm:pt>
    <dgm:pt modelId="{C0DB7A61-60C8-4AA7-B503-07B03FFD8929}">
      <dgm:prSet phldrT="[Text]"/>
      <dgm:spPr/>
      <dgm:t>
        <a:bodyPr/>
        <a:lstStyle/>
        <a:p>
          <a:r>
            <a:rPr lang="en-US"/>
            <a:t>Authority</a:t>
          </a:r>
        </a:p>
      </dgm:t>
    </dgm:pt>
    <dgm:pt modelId="{7980B9C4-3747-4923-A9E3-F53A24F3E039}" type="parTrans" cxnId="{15892FA8-1BD0-42E7-85E3-8990FD195625}">
      <dgm:prSet/>
      <dgm:spPr/>
      <dgm:t>
        <a:bodyPr/>
        <a:lstStyle/>
        <a:p>
          <a:endParaRPr lang="en-US"/>
        </a:p>
      </dgm:t>
    </dgm:pt>
    <dgm:pt modelId="{5D78CF7A-122B-402D-A16E-CA2666B380D8}" type="sibTrans" cxnId="{15892FA8-1BD0-42E7-85E3-8990FD195625}">
      <dgm:prSet/>
      <dgm:spPr/>
      <dgm:t>
        <a:bodyPr/>
        <a:lstStyle/>
        <a:p>
          <a:endParaRPr lang="en-US"/>
        </a:p>
      </dgm:t>
    </dgm:pt>
    <dgm:pt modelId="{C08ACFC4-3635-4DC9-ADBD-77F735EBC48E}">
      <dgm:prSet phldrT="[Text]"/>
      <dgm:spPr/>
      <dgm:t>
        <a:bodyPr/>
        <a:lstStyle/>
        <a:p>
          <a:r>
            <a:rPr lang="en-US"/>
            <a:t>Direct Experience</a:t>
          </a:r>
        </a:p>
      </dgm:t>
    </dgm:pt>
    <dgm:pt modelId="{C733F9B8-A624-4693-A3BD-FDD10B68FD97}" type="parTrans" cxnId="{D8EFF8D7-1912-4565-B3BB-5CDB84BF0246}">
      <dgm:prSet/>
      <dgm:spPr/>
      <dgm:t>
        <a:bodyPr/>
        <a:lstStyle/>
        <a:p>
          <a:endParaRPr lang="en-US"/>
        </a:p>
      </dgm:t>
    </dgm:pt>
    <dgm:pt modelId="{7F5B7DA6-CF59-47A6-8964-1C54911AD12D}" type="sibTrans" cxnId="{D8EFF8D7-1912-4565-B3BB-5CDB84BF0246}">
      <dgm:prSet/>
      <dgm:spPr/>
      <dgm:t>
        <a:bodyPr/>
        <a:lstStyle/>
        <a:p>
          <a:endParaRPr lang="en-US"/>
        </a:p>
      </dgm:t>
    </dgm:pt>
    <dgm:pt modelId="{57DC27CA-4076-4474-8E22-88A459263574}">
      <dgm:prSet phldrT="[Text]"/>
      <dgm:spPr/>
      <dgm:t>
        <a:bodyPr/>
        <a:lstStyle/>
        <a:p>
          <a:r>
            <a:rPr lang="en-US"/>
            <a:t>Assumptions</a:t>
          </a:r>
        </a:p>
      </dgm:t>
    </dgm:pt>
    <dgm:pt modelId="{354D9023-1D75-4D2C-B6EA-A2505AAD6155}" type="parTrans" cxnId="{2F5E6AFF-298F-441D-85E7-C241D670885A}">
      <dgm:prSet/>
      <dgm:spPr/>
    </dgm:pt>
    <dgm:pt modelId="{890DD89C-A492-4CC2-8D3F-BDAC76B11936}" type="sibTrans" cxnId="{2F5E6AFF-298F-441D-85E7-C241D670885A}">
      <dgm:prSet/>
      <dgm:spPr/>
    </dgm:pt>
    <dgm:pt modelId="{C50C07C8-FB16-4345-95F3-2982171E1094}" type="pres">
      <dgm:prSet presAssocID="{FE7093C6-B575-4AD5-937D-34DA36C853F8}" presName="composite" presStyleCnt="0">
        <dgm:presLayoutVars>
          <dgm:chMax val="1"/>
          <dgm:dir/>
          <dgm:resizeHandles val="exact"/>
        </dgm:presLayoutVars>
      </dgm:prSet>
      <dgm:spPr/>
    </dgm:pt>
    <dgm:pt modelId="{42EE1ADC-B38B-45A2-86D5-D52C4F09A1F4}" type="pres">
      <dgm:prSet presAssocID="{FE7093C6-B575-4AD5-937D-34DA36C853F8}" presName="radial" presStyleCnt="0">
        <dgm:presLayoutVars>
          <dgm:animLvl val="ctr"/>
        </dgm:presLayoutVars>
      </dgm:prSet>
      <dgm:spPr/>
    </dgm:pt>
    <dgm:pt modelId="{73FFCFE6-3B36-40AE-891C-3E4304BBC0C3}" type="pres">
      <dgm:prSet presAssocID="{F272EAE3-C157-4581-9ABC-5E351DEA12D1}" presName="centerShape" presStyleLbl="vennNode1" presStyleIdx="0" presStyleCnt="7"/>
      <dgm:spPr/>
    </dgm:pt>
    <dgm:pt modelId="{3CBFA582-C62F-4FB8-ABF7-2287CF7E37E8}" type="pres">
      <dgm:prSet presAssocID="{57DC27CA-4076-4474-8E22-88A459263574}" presName="node" presStyleLbl="vennNode1" presStyleIdx="1" presStyleCnt="7">
        <dgm:presLayoutVars>
          <dgm:bulletEnabled val="1"/>
        </dgm:presLayoutVars>
      </dgm:prSet>
      <dgm:spPr/>
    </dgm:pt>
    <dgm:pt modelId="{4253137A-77D6-4FBD-A7F1-F212FB5BE443}" type="pres">
      <dgm:prSet presAssocID="{C08ACFC4-3635-4DC9-ADBD-77F735EBC48E}" presName="node" presStyleLbl="vennNode1" presStyleIdx="2" presStyleCnt="7">
        <dgm:presLayoutVars>
          <dgm:bulletEnabled val="1"/>
        </dgm:presLayoutVars>
      </dgm:prSet>
      <dgm:spPr/>
    </dgm:pt>
    <dgm:pt modelId="{056E8EA5-6045-450E-9986-48438FACAF58}" type="pres">
      <dgm:prSet presAssocID="{381033FD-8665-4EA8-9B20-124DFEDFAB79}" presName="node" presStyleLbl="vennNode1" presStyleIdx="3" presStyleCnt="7">
        <dgm:presLayoutVars>
          <dgm:bulletEnabled val="1"/>
        </dgm:presLayoutVars>
      </dgm:prSet>
      <dgm:spPr/>
    </dgm:pt>
    <dgm:pt modelId="{9881D57F-2745-454E-A67D-5A1F665EE064}" type="pres">
      <dgm:prSet presAssocID="{3E940A3C-F8B2-4A22-8E75-717FE5A22DB1}" presName="node" presStyleLbl="vennNode1" presStyleIdx="4" presStyleCnt="7">
        <dgm:presLayoutVars>
          <dgm:bulletEnabled val="1"/>
        </dgm:presLayoutVars>
      </dgm:prSet>
      <dgm:spPr/>
    </dgm:pt>
    <dgm:pt modelId="{B1AB0816-DF26-47BE-8F81-408FA915259B}" type="pres">
      <dgm:prSet presAssocID="{EFE615DD-EF2B-4AE2-9760-ADFCAE3C7F40}" presName="node" presStyleLbl="vennNode1" presStyleIdx="5" presStyleCnt="7">
        <dgm:presLayoutVars>
          <dgm:bulletEnabled val="1"/>
        </dgm:presLayoutVars>
      </dgm:prSet>
      <dgm:spPr/>
    </dgm:pt>
    <dgm:pt modelId="{5E8D0325-745A-41AC-A729-1B1A6961AFF0}" type="pres">
      <dgm:prSet presAssocID="{C0DB7A61-60C8-4AA7-B503-07B03FFD8929}" presName="node" presStyleLbl="vennNode1" presStyleIdx="6" presStyleCnt="7">
        <dgm:presLayoutVars>
          <dgm:bulletEnabled val="1"/>
        </dgm:presLayoutVars>
      </dgm:prSet>
      <dgm:spPr/>
    </dgm:pt>
  </dgm:ptLst>
  <dgm:cxnLst>
    <dgm:cxn modelId="{F79F0801-D2D9-4298-A517-88DD1F9A6D78}" srcId="{F272EAE3-C157-4581-9ABC-5E351DEA12D1}" destId="{3E940A3C-F8B2-4A22-8E75-717FE5A22DB1}" srcOrd="3" destOrd="0" parTransId="{F65FE849-4A56-4B83-B677-4E2501008561}" sibTransId="{33CF4867-91D4-43FD-B96F-3B212E058FB0}"/>
    <dgm:cxn modelId="{3D3FFD08-C1CA-4334-BA34-04EAE6D585BD}" type="presOf" srcId="{C0DB7A61-60C8-4AA7-B503-07B03FFD8929}" destId="{5E8D0325-745A-41AC-A729-1B1A6961AFF0}" srcOrd="0" destOrd="0" presId="urn:microsoft.com/office/officeart/2005/8/layout/radial3"/>
    <dgm:cxn modelId="{EB65C634-2154-4BF4-B1A2-68EF230848DC}" type="presOf" srcId="{57DC27CA-4076-4474-8E22-88A459263574}" destId="{3CBFA582-C62F-4FB8-ABF7-2287CF7E37E8}" srcOrd="0" destOrd="0" presId="urn:microsoft.com/office/officeart/2005/8/layout/radial3"/>
    <dgm:cxn modelId="{680CA63A-256D-468D-AF68-F9C3A5765AA8}" srcId="{FE7093C6-B575-4AD5-937D-34DA36C853F8}" destId="{F272EAE3-C157-4581-9ABC-5E351DEA12D1}" srcOrd="0" destOrd="0" parTransId="{2C47F70C-1E7E-4FBC-AE64-4B122A34F69C}" sibTransId="{5D7568E2-7391-412E-800C-BF7C05CF01C7}"/>
    <dgm:cxn modelId="{316C8D4A-17BE-4F3F-B03D-54161A4FC2DB}" srcId="{F272EAE3-C157-4581-9ABC-5E351DEA12D1}" destId="{EFE615DD-EF2B-4AE2-9760-ADFCAE3C7F40}" srcOrd="4" destOrd="0" parTransId="{44731099-1244-4C7A-B4DE-0393542A6DE0}" sibTransId="{6491223D-C48A-40F1-A462-5C26E4BF7256}"/>
    <dgm:cxn modelId="{FE995454-606E-4845-8169-CF909B387F2D}" type="presOf" srcId="{EFE615DD-EF2B-4AE2-9760-ADFCAE3C7F40}" destId="{B1AB0816-DF26-47BE-8F81-408FA915259B}" srcOrd="0" destOrd="0" presId="urn:microsoft.com/office/officeart/2005/8/layout/radial3"/>
    <dgm:cxn modelId="{6B5D0E76-14A0-46F1-97D2-41D5CF4A4ECB}" srcId="{F272EAE3-C157-4581-9ABC-5E351DEA12D1}" destId="{381033FD-8665-4EA8-9B20-124DFEDFAB79}" srcOrd="2" destOrd="0" parTransId="{E32651CB-1647-4058-AFAD-E6091F517DA6}" sibTransId="{2B29C509-E80D-4378-B0C7-05F662E00117}"/>
    <dgm:cxn modelId="{4D85B579-8E95-418F-B097-04A7FB071C03}" type="presOf" srcId="{3E940A3C-F8B2-4A22-8E75-717FE5A22DB1}" destId="{9881D57F-2745-454E-A67D-5A1F665EE064}" srcOrd="0" destOrd="0" presId="urn:microsoft.com/office/officeart/2005/8/layout/radial3"/>
    <dgm:cxn modelId="{70BD877B-2DF7-4F14-B009-8DB23383C173}" type="presOf" srcId="{C08ACFC4-3635-4DC9-ADBD-77F735EBC48E}" destId="{4253137A-77D6-4FBD-A7F1-F212FB5BE443}" srcOrd="0" destOrd="0" presId="urn:microsoft.com/office/officeart/2005/8/layout/radial3"/>
    <dgm:cxn modelId="{15892FA8-1BD0-42E7-85E3-8990FD195625}" srcId="{F272EAE3-C157-4581-9ABC-5E351DEA12D1}" destId="{C0DB7A61-60C8-4AA7-B503-07B03FFD8929}" srcOrd="5" destOrd="0" parTransId="{7980B9C4-3747-4923-A9E3-F53A24F3E039}" sibTransId="{5D78CF7A-122B-402D-A16E-CA2666B380D8}"/>
    <dgm:cxn modelId="{C75165D0-97F9-4000-BB3C-404BFCFBFD4D}" type="presOf" srcId="{FE7093C6-B575-4AD5-937D-34DA36C853F8}" destId="{C50C07C8-FB16-4345-95F3-2982171E1094}" srcOrd="0" destOrd="0" presId="urn:microsoft.com/office/officeart/2005/8/layout/radial3"/>
    <dgm:cxn modelId="{D0EF29D2-3743-496E-BB66-B9373E8B06D6}" type="presOf" srcId="{F272EAE3-C157-4581-9ABC-5E351DEA12D1}" destId="{73FFCFE6-3B36-40AE-891C-3E4304BBC0C3}" srcOrd="0" destOrd="0" presId="urn:microsoft.com/office/officeart/2005/8/layout/radial3"/>
    <dgm:cxn modelId="{D8EFF8D7-1912-4565-B3BB-5CDB84BF0246}" srcId="{F272EAE3-C157-4581-9ABC-5E351DEA12D1}" destId="{C08ACFC4-3635-4DC9-ADBD-77F735EBC48E}" srcOrd="1" destOrd="0" parTransId="{C733F9B8-A624-4693-A3BD-FDD10B68FD97}" sibTransId="{7F5B7DA6-CF59-47A6-8964-1C54911AD12D}"/>
    <dgm:cxn modelId="{4CF6E3F1-96C5-413A-8E41-0F0091815CC2}" type="presOf" srcId="{381033FD-8665-4EA8-9B20-124DFEDFAB79}" destId="{056E8EA5-6045-450E-9986-48438FACAF58}" srcOrd="0" destOrd="0" presId="urn:microsoft.com/office/officeart/2005/8/layout/radial3"/>
    <dgm:cxn modelId="{2F5E6AFF-298F-441D-85E7-C241D670885A}" srcId="{F272EAE3-C157-4581-9ABC-5E351DEA12D1}" destId="{57DC27CA-4076-4474-8E22-88A459263574}" srcOrd="0" destOrd="0" parTransId="{354D9023-1D75-4D2C-B6EA-A2505AAD6155}" sibTransId="{890DD89C-A492-4CC2-8D3F-BDAC76B11936}"/>
    <dgm:cxn modelId="{B82096AB-B104-4750-B8A5-335DF5677FDF}" type="presParOf" srcId="{C50C07C8-FB16-4345-95F3-2982171E1094}" destId="{42EE1ADC-B38B-45A2-86D5-D52C4F09A1F4}" srcOrd="0" destOrd="0" presId="urn:microsoft.com/office/officeart/2005/8/layout/radial3"/>
    <dgm:cxn modelId="{CC324048-06AA-4496-AEF8-F1BA55B0C9B1}" type="presParOf" srcId="{42EE1ADC-B38B-45A2-86D5-D52C4F09A1F4}" destId="{73FFCFE6-3B36-40AE-891C-3E4304BBC0C3}" srcOrd="0" destOrd="0" presId="urn:microsoft.com/office/officeart/2005/8/layout/radial3"/>
    <dgm:cxn modelId="{B822468E-400F-4941-88C1-03BF178F5EDC}" type="presParOf" srcId="{42EE1ADC-B38B-45A2-86D5-D52C4F09A1F4}" destId="{3CBFA582-C62F-4FB8-ABF7-2287CF7E37E8}" srcOrd="1" destOrd="0" presId="urn:microsoft.com/office/officeart/2005/8/layout/radial3"/>
    <dgm:cxn modelId="{A0AD339B-4F8F-4814-88BC-78965F09123F}" type="presParOf" srcId="{42EE1ADC-B38B-45A2-86D5-D52C4F09A1F4}" destId="{4253137A-77D6-4FBD-A7F1-F212FB5BE443}" srcOrd="2" destOrd="0" presId="urn:microsoft.com/office/officeart/2005/8/layout/radial3"/>
    <dgm:cxn modelId="{5D36946B-9577-4011-B85A-BA8DC9E768E9}" type="presParOf" srcId="{42EE1ADC-B38B-45A2-86D5-D52C4F09A1F4}" destId="{056E8EA5-6045-450E-9986-48438FACAF58}" srcOrd="3" destOrd="0" presId="urn:microsoft.com/office/officeart/2005/8/layout/radial3"/>
    <dgm:cxn modelId="{E388DD4F-8156-4130-8171-34871D79B646}" type="presParOf" srcId="{42EE1ADC-B38B-45A2-86D5-D52C4F09A1F4}" destId="{9881D57F-2745-454E-A67D-5A1F665EE064}" srcOrd="4" destOrd="0" presId="urn:microsoft.com/office/officeart/2005/8/layout/radial3"/>
    <dgm:cxn modelId="{4A813B90-199A-46EB-99E3-F79F05810135}" type="presParOf" srcId="{42EE1ADC-B38B-45A2-86D5-D52C4F09A1F4}" destId="{B1AB0816-DF26-47BE-8F81-408FA915259B}" srcOrd="5" destOrd="0" presId="urn:microsoft.com/office/officeart/2005/8/layout/radial3"/>
    <dgm:cxn modelId="{AB230572-1133-49BB-89B3-6EBAB679A93B}" type="presParOf" srcId="{42EE1ADC-B38B-45A2-86D5-D52C4F09A1F4}" destId="{5E8D0325-745A-41AC-A729-1B1A6961AFF0}" srcOrd="6" destOrd="0" presId="urn:microsoft.com/office/officeart/2005/8/layout/radial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AD7271E9-60E6-4703-8C8A-AFD356041379}"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en-US"/>
        </a:p>
      </dgm:t>
    </dgm:pt>
    <dgm:pt modelId="{7E2EB136-7B18-4D67-981A-A5A7FF5E1F0E}">
      <dgm:prSet phldrT="[Text]"/>
      <dgm:spPr/>
      <dgm:t>
        <a:bodyPr/>
        <a:lstStyle/>
        <a:p>
          <a:r>
            <a:rPr lang="en-US"/>
            <a:t>Voluntary Participation</a:t>
          </a:r>
        </a:p>
      </dgm:t>
    </dgm:pt>
    <dgm:pt modelId="{755633CB-2E70-4AFA-9D14-EAC3766C8986}" type="parTrans" cxnId="{72612D91-652A-4643-82ED-32CD42AE4158}">
      <dgm:prSet/>
      <dgm:spPr/>
      <dgm:t>
        <a:bodyPr/>
        <a:lstStyle/>
        <a:p>
          <a:endParaRPr lang="en-US"/>
        </a:p>
      </dgm:t>
    </dgm:pt>
    <dgm:pt modelId="{7492D00B-D149-4C9F-850D-48ABC63A2087}" type="sibTrans" cxnId="{72612D91-652A-4643-82ED-32CD42AE4158}">
      <dgm:prSet/>
      <dgm:spPr/>
      <dgm:t>
        <a:bodyPr/>
        <a:lstStyle/>
        <a:p>
          <a:endParaRPr lang="en-US"/>
        </a:p>
      </dgm:t>
    </dgm:pt>
    <dgm:pt modelId="{764C7E73-06ED-4FAB-ADAC-9A3A602C5410}">
      <dgm:prSet phldrT="[Text]"/>
      <dgm:spPr/>
      <dgm:t>
        <a:bodyPr/>
        <a:lstStyle/>
        <a:p>
          <a:r>
            <a:rPr lang="en-US"/>
            <a:t>Informed Consent</a:t>
          </a:r>
        </a:p>
      </dgm:t>
    </dgm:pt>
    <dgm:pt modelId="{362A8207-F03A-473B-B712-BC5FCB31C4E4}" type="parTrans" cxnId="{B2654A98-C329-4AD0-B3D0-A6861AC469D9}">
      <dgm:prSet/>
      <dgm:spPr/>
      <dgm:t>
        <a:bodyPr/>
        <a:lstStyle/>
        <a:p>
          <a:endParaRPr lang="en-US"/>
        </a:p>
      </dgm:t>
    </dgm:pt>
    <dgm:pt modelId="{31C22A01-95AA-444E-B4EE-0C7E389FB38C}" type="sibTrans" cxnId="{B2654A98-C329-4AD0-B3D0-A6861AC469D9}">
      <dgm:prSet/>
      <dgm:spPr/>
      <dgm:t>
        <a:bodyPr/>
        <a:lstStyle/>
        <a:p>
          <a:endParaRPr lang="en-US"/>
        </a:p>
      </dgm:t>
    </dgm:pt>
    <dgm:pt modelId="{2D6E738B-584C-42BF-B09B-6F9003F9103D}">
      <dgm:prSet phldrT="[Text]"/>
      <dgm:spPr/>
      <dgm:t>
        <a:bodyPr/>
        <a:lstStyle/>
        <a:p>
          <a:r>
            <a:rPr lang="en-US"/>
            <a:t>Confidentiality</a:t>
          </a:r>
        </a:p>
      </dgm:t>
    </dgm:pt>
    <dgm:pt modelId="{AD2F5206-824B-4681-BD2E-0CFF7D227B74}" type="parTrans" cxnId="{E94E81BA-A394-45D0-95CD-2378750EFC9A}">
      <dgm:prSet/>
      <dgm:spPr/>
      <dgm:t>
        <a:bodyPr/>
        <a:lstStyle/>
        <a:p>
          <a:endParaRPr lang="en-US"/>
        </a:p>
      </dgm:t>
    </dgm:pt>
    <dgm:pt modelId="{F0CF404D-4769-46A4-8BCD-4D69C8653AD1}" type="sibTrans" cxnId="{E94E81BA-A394-45D0-95CD-2378750EFC9A}">
      <dgm:prSet/>
      <dgm:spPr/>
      <dgm:t>
        <a:bodyPr/>
        <a:lstStyle/>
        <a:p>
          <a:endParaRPr lang="en-US"/>
        </a:p>
      </dgm:t>
    </dgm:pt>
    <dgm:pt modelId="{E1A58F36-FD38-4DD5-8E63-0AD97DAAF6D0}">
      <dgm:prSet phldrT="[Text]"/>
      <dgm:spPr/>
      <dgm:t>
        <a:bodyPr/>
        <a:lstStyle/>
        <a:p>
          <a:r>
            <a:rPr lang="en-US"/>
            <a:t>Disclosure</a:t>
          </a:r>
        </a:p>
      </dgm:t>
    </dgm:pt>
    <dgm:pt modelId="{F943A4C8-056A-40A1-B924-2966EBE9E56F}" type="parTrans" cxnId="{5E13BB95-7F5E-4EF1-89ED-9673A407A47A}">
      <dgm:prSet/>
      <dgm:spPr/>
      <dgm:t>
        <a:bodyPr/>
        <a:lstStyle/>
        <a:p>
          <a:endParaRPr lang="en-US"/>
        </a:p>
      </dgm:t>
    </dgm:pt>
    <dgm:pt modelId="{8D1D4CB5-C5BE-4078-942C-E61DFAE452A9}" type="sibTrans" cxnId="{5E13BB95-7F5E-4EF1-89ED-9673A407A47A}">
      <dgm:prSet/>
      <dgm:spPr/>
      <dgm:t>
        <a:bodyPr/>
        <a:lstStyle/>
        <a:p>
          <a:endParaRPr lang="en-US"/>
        </a:p>
      </dgm:t>
    </dgm:pt>
    <dgm:pt modelId="{24CA1A5E-E0CB-400E-BB56-95CBD19D1E78}">
      <dgm:prSet phldrT="[Text]"/>
      <dgm:spPr/>
      <dgm:t>
        <a:bodyPr/>
        <a:lstStyle/>
        <a:p>
          <a:r>
            <a:rPr lang="en-US"/>
            <a:t>Reporting</a:t>
          </a:r>
        </a:p>
      </dgm:t>
    </dgm:pt>
    <dgm:pt modelId="{71D45450-9A8F-48C1-BFAA-B7EB417E8834}" type="parTrans" cxnId="{53B534D3-80D0-4AC4-ACB3-732EC54DB2F5}">
      <dgm:prSet/>
      <dgm:spPr/>
      <dgm:t>
        <a:bodyPr/>
        <a:lstStyle/>
        <a:p>
          <a:endParaRPr lang="en-US"/>
        </a:p>
      </dgm:t>
    </dgm:pt>
    <dgm:pt modelId="{57C97B1D-2DAA-44AC-B232-5E5CFFBCC26E}" type="sibTrans" cxnId="{53B534D3-80D0-4AC4-ACB3-732EC54DB2F5}">
      <dgm:prSet/>
      <dgm:spPr/>
      <dgm:t>
        <a:bodyPr/>
        <a:lstStyle/>
        <a:p>
          <a:endParaRPr lang="en-US"/>
        </a:p>
      </dgm:t>
    </dgm:pt>
    <dgm:pt modelId="{9AB018DA-460F-4491-B29B-0BF75A393F58}" type="pres">
      <dgm:prSet presAssocID="{AD7271E9-60E6-4703-8C8A-AFD356041379}" presName="Name0" presStyleCnt="0">
        <dgm:presLayoutVars>
          <dgm:dir/>
          <dgm:resizeHandles val="exact"/>
        </dgm:presLayoutVars>
      </dgm:prSet>
      <dgm:spPr/>
    </dgm:pt>
    <dgm:pt modelId="{6B1F4754-66C0-48F1-B963-2755D2BF2384}" type="pres">
      <dgm:prSet presAssocID="{7E2EB136-7B18-4D67-981A-A5A7FF5E1F0E}" presName="compNode" presStyleCnt="0"/>
      <dgm:spPr/>
    </dgm:pt>
    <dgm:pt modelId="{AC4EC8DE-E25A-433B-A13E-8802ACAAC0E7}" type="pres">
      <dgm:prSet presAssocID="{7E2EB136-7B18-4D67-981A-A5A7FF5E1F0E}" presName="pictRect" presStyleLbl="node1" presStyleIdx="0" presStyleCnt="5"/>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23000" b="-23000"/>
          </a:stretch>
        </a:blipFill>
      </dgm:spPr>
      <dgm:extLst>
        <a:ext uri="{E40237B7-FDA0-4F09-8148-C483321AD2D9}">
          <dgm14:cNvPr xmlns:dgm14="http://schemas.microsoft.com/office/drawing/2010/diagram" id="0" name="" descr="Cheers outline"/>
        </a:ext>
      </dgm:extLst>
    </dgm:pt>
    <dgm:pt modelId="{57EA5BB3-9158-4A7B-8173-A1B977F7704C}" type="pres">
      <dgm:prSet presAssocID="{7E2EB136-7B18-4D67-981A-A5A7FF5E1F0E}" presName="textRect" presStyleLbl="revTx" presStyleIdx="0" presStyleCnt="5">
        <dgm:presLayoutVars>
          <dgm:bulletEnabled val="1"/>
        </dgm:presLayoutVars>
      </dgm:prSet>
      <dgm:spPr/>
    </dgm:pt>
    <dgm:pt modelId="{C0921B3B-12AB-40DE-9E8A-95F5B9C512A8}" type="pres">
      <dgm:prSet presAssocID="{7492D00B-D149-4C9F-850D-48ABC63A2087}" presName="sibTrans" presStyleLbl="sibTrans2D1" presStyleIdx="0" presStyleCnt="0"/>
      <dgm:spPr/>
    </dgm:pt>
    <dgm:pt modelId="{3110C364-456F-4DB6-98DA-2C275E5CE8C2}" type="pres">
      <dgm:prSet presAssocID="{764C7E73-06ED-4FAB-ADAC-9A3A602C5410}" presName="compNode" presStyleCnt="0"/>
      <dgm:spPr/>
    </dgm:pt>
    <dgm:pt modelId="{9AA962EC-7C4F-4588-88B0-946072246190}" type="pres">
      <dgm:prSet presAssocID="{764C7E73-06ED-4FAB-ADAC-9A3A602C5410}" presName="pictRect" presStyleLbl="node1" presStyleIdx="1" presStyleCnt="5"/>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23000" b="-23000"/>
          </a:stretch>
        </a:blipFill>
      </dgm:spPr>
      <dgm:extLst>
        <a:ext uri="{E40237B7-FDA0-4F09-8148-C483321AD2D9}">
          <dgm14:cNvPr xmlns:dgm14="http://schemas.microsoft.com/office/drawing/2010/diagram" id="0" name="" descr="Information outline"/>
        </a:ext>
      </dgm:extLst>
    </dgm:pt>
    <dgm:pt modelId="{10B2C620-EE4B-4583-9E61-B3AB39DF61FA}" type="pres">
      <dgm:prSet presAssocID="{764C7E73-06ED-4FAB-ADAC-9A3A602C5410}" presName="textRect" presStyleLbl="revTx" presStyleIdx="1" presStyleCnt="5">
        <dgm:presLayoutVars>
          <dgm:bulletEnabled val="1"/>
        </dgm:presLayoutVars>
      </dgm:prSet>
      <dgm:spPr/>
    </dgm:pt>
    <dgm:pt modelId="{556298C3-6AF6-47D4-92A5-35CF9A8A9687}" type="pres">
      <dgm:prSet presAssocID="{31C22A01-95AA-444E-B4EE-0C7E389FB38C}" presName="sibTrans" presStyleLbl="sibTrans2D1" presStyleIdx="0" presStyleCnt="0"/>
      <dgm:spPr/>
    </dgm:pt>
    <dgm:pt modelId="{668C4ACF-7467-448C-9AF4-E4F88E8EF34F}" type="pres">
      <dgm:prSet presAssocID="{2D6E738B-584C-42BF-B09B-6F9003F9103D}" presName="compNode" presStyleCnt="0"/>
      <dgm:spPr/>
    </dgm:pt>
    <dgm:pt modelId="{2144C81D-4CFC-4F15-B6C1-4DA621B534AE}" type="pres">
      <dgm:prSet presAssocID="{2D6E738B-584C-42BF-B09B-6F9003F9103D}" presName="pictRect" presStyleLbl="node1" presStyleIdx="2" presStyleCnt="5"/>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23000" b="-23000"/>
          </a:stretch>
        </a:blipFill>
      </dgm:spPr>
      <dgm:extLst>
        <a:ext uri="{E40237B7-FDA0-4F09-8148-C483321AD2D9}">
          <dgm14:cNvPr xmlns:dgm14="http://schemas.microsoft.com/office/drawing/2010/diagram" id="0" name="" descr="Detective female outline"/>
        </a:ext>
      </dgm:extLst>
    </dgm:pt>
    <dgm:pt modelId="{169DB7D1-E920-49AF-B1CD-ADBF6C8F9E48}" type="pres">
      <dgm:prSet presAssocID="{2D6E738B-584C-42BF-B09B-6F9003F9103D}" presName="textRect" presStyleLbl="revTx" presStyleIdx="2" presStyleCnt="5">
        <dgm:presLayoutVars>
          <dgm:bulletEnabled val="1"/>
        </dgm:presLayoutVars>
      </dgm:prSet>
      <dgm:spPr/>
    </dgm:pt>
    <dgm:pt modelId="{4AFD640B-D55D-4994-8DC4-A7E83730FF1D}" type="pres">
      <dgm:prSet presAssocID="{F0CF404D-4769-46A4-8BCD-4D69C8653AD1}" presName="sibTrans" presStyleLbl="sibTrans2D1" presStyleIdx="0" presStyleCnt="0"/>
      <dgm:spPr/>
    </dgm:pt>
    <dgm:pt modelId="{5FEC2E5D-0EB1-418D-8917-A6D0B8285D24}" type="pres">
      <dgm:prSet presAssocID="{E1A58F36-FD38-4DD5-8E63-0AD97DAAF6D0}" presName="compNode" presStyleCnt="0"/>
      <dgm:spPr/>
    </dgm:pt>
    <dgm:pt modelId="{00961FB2-00DC-4EC2-8EBB-ABD8AE3CC213}" type="pres">
      <dgm:prSet presAssocID="{E1A58F36-FD38-4DD5-8E63-0AD97DAAF6D0}" presName="pictRect" presStyleLbl="node1" presStyleIdx="3" presStyleCnt="5"/>
      <dgm:spPr>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23000" b="-23000"/>
          </a:stretch>
        </a:blipFill>
      </dgm:spPr>
      <dgm:extLst>
        <a:ext uri="{E40237B7-FDA0-4F09-8148-C483321AD2D9}">
          <dgm14:cNvPr xmlns:dgm14="http://schemas.microsoft.com/office/drawing/2010/diagram" id="0" name="" descr="Megaphone outline"/>
        </a:ext>
      </dgm:extLst>
    </dgm:pt>
    <dgm:pt modelId="{7FEC1140-719B-4AC6-92CE-5F32A8E2EA34}" type="pres">
      <dgm:prSet presAssocID="{E1A58F36-FD38-4DD5-8E63-0AD97DAAF6D0}" presName="textRect" presStyleLbl="revTx" presStyleIdx="3" presStyleCnt="5">
        <dgm:presLayoutVars>
          <dgm:bulletEnabled val="1"/>
        </dgm:presLayoutVars>
      </dgm:prSet>
      <dgm:spPr/>
    </dgm:pt>
    <dgm:pt modelId="{DDD69E7F-B2B2-40A4-A7D5-6FF75446DFEB}" type="pres">
      <dgm:prSet presAssocID="{8D1D4CB5-C5BE-4078-942C-E61DFAE452A9}" presName="sibTrans" presStyleLbl="sibTrans2D1" presStyleIdx="0" presStyleCnt="0"/>
      <dgm:spPr/>
    </dgm:pt>
    <dgm:pt modelId="{D4800312-CB5D-4E1C-B5D9-33FE8B7F462A}" type="pres">
      <dgm:prSet presAssocID="{24CA1A5E-E0CB-400E-BB56-95CBD19D1E78}" presName="compNode" presStyleCnt="0"/>
      <dgm:spPr/>
    </dgm:pt>
    <dgm:pt modelId="{B258CF1B-3F1C-460C-9FC3-63533C90DBA4}" type="pres">
      <dgm:prSet presAssocID="{24CA1A5E-E0CB-400E-BB56-95CBD19D1E78}" presName="pictRect" presStyleLbl="node1" presStyleIdx="4" presStyleCnt="5"/>
      <dgm:spPr>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23000" b="-23000"/>
          </a:stretch>
        </a:blipFill>
      </dgm:spPr>
      <dgm:extLst>
        <a:ext uri="{E40237B7-FDA0-4F09-8148-C483321AD2D9}">
          <dgm14:cNvPr xmlns:dgm14="http://schemas.microsoft.com/office/drawing/2010/diagram" id="0" name="" descr="Document outline"/>
        </a:ext>
      </dgm:extLst>
    </dgm:pt>
    <dgm:pt modelId="{406F7658-57BD-4F67-AFE7-4CBB506AA8F7}" type="pres">
      <dgm:prSet presAssocID="{24CA1A5E-E0CB-400E-BB56-95CBD19D1E78}" presName="textRect" presStyleLbl="revTx" presStyleIdx="4" presStyleCnt="5">
        <dgm:presLayoutVars>
          <dgm:bulletEnabled val="1"/>
        </dgm:presLayoutVars>
      </dgm:prSet>
      <dgm:spPr/>
    </dgm:pt>
  </dgm:ptLst>
  <dgm:cxnLst>
    <dgm:cxn modelId="{1463CF16-4150-4DBE-8468-26524D026C25}" type="presOf" srcId="{E1A58F36-FD38-4DD5-8E63-0AD97DAAF6D0}" destId="{7FEC1140-719B-4AC6-92CE-5F32A8E2EA34}" srcOrd="0" destOrd="0" presId="urn:microsoft.com/office/officeart/2005/8/layout/pList1"/>
    <dgm:cxn modelId="{F1E14724-F79C-49CE-A770-719DBB4EBA3B}" type="presOf" srcId="{24CA1A5E-E0CB-400E-BB56-95CBD19D1E78}" destId="{406F7658-57BD-4F67-AFE7-4CBB506AA8F7}" srcOrd="0" destOrd="0" presId="urn:microsoft.com/office/officeart/2005/8/layout/pList1"/>
    <dgm:cxn modelId="{6563A626-FC74-43FC-9B15-59DE6F40FD0E}" type="presOf" srcId="{764C7E73-06ED-4FAB-ADAC-9A3A602C5410}" destId="{10B2C620-EE4B-4583-9E61-B3AB39DF61FA}" srcOrd="0" destOrd="0" presId="urn:microsoft.com/office/officeart/2005/8/layout/pList1"/>
    <dgm:cxn modelId="{E9B5DF2D-BF80-4B69-B92E-16EF052C637B}" type="presOf" srcId="{AD7271E9-60E6-4703-8C8A-AFD356041379}" destId="{9AB018DA-460F-4491-B29B-0BF75A393F58}" srcOrd="0" destOrd="0" presId="urn:microsoft.com/office/officeart/2005/8/layout/pList1"/>
    <dgm:cxn modelId="{3783BE2E-4C86-4301-8A2C-FE93121D609E}" type="presOf" srcId="{2D6E738B-584C-42BF-B09B-6F9003F9103D}" destId="{169DB7D1-E920-49AF-B1CD-ADBF6C8F9E48}" srcOrd="0" destOrd="0" presId="urn:microsoft.com/office/officeart/2005/8/layout/pList1"/>
    <dgm:cxn modelId="{AFD13889-C401-4DA0-A949-E0BB58D7FCF5}" type="presOf" srcId="{7492D00B-D149-4C9F-850D-48ABC63A2087}" destId="{C0921B3B-12AB-40DE-9E8A-95F5B9C512A8}" srcOrd="0" destOrd="0" presId="urn:microsoft.com/office/officeart/2005/8/layout/pList1"/>
    <dgm:cxn modelId="{72612D91-652A-4643-82ED-32CD42AE4158}" srcId="{AD7271E9-60E6-4703-8C8A-AFD356041379}" destId="{7E2EB136-7B18-4D67-981A-A5A7FF5E1F0E}" srcOrd="0" destOrd="0" parTransId="{755633CB-2E70-4AFA-9D14-EAC3766C8986}" sibTransId="{7492D00B-D149-4C9F-850D-48ABC63A2087}"/>
    <dgm:cxn modelId="{5E13BB95-7F5E-4EF1-89ED-9673A407A47A}" srcId="{AD7271E9-60E6-4703-8C8A-AFD356041379}" destId="{E1A58F36-FD38-4DD5-8E63-0AD97DAAF6D0}" srcOrd="3" destOrd="0" parTransId="{F943A4C8-056A-40A1-B924-2966EBE9E56F}" sibTransId="{8D1D4CB5-C5BE-4078-942C-E61DFAE452A9}"/>
    <dgm:cxn modelId="{9A380498-8158-4B10-A8D8-F0CDAEFA6218}" type="presOf" srcId="{7E2EB136-7B18-4D67-981A-A5A7FF5E1F0E}" destId="{57EA5BB3-9158-4A7B-8173-A1B977F7704C}" srcOrd="0" destOrd="0" presId="urn:microsoft.com/office/officeart/2005/8/layout/pList1"/>
    <dgm:cxn modelId="{B2654A98-C329-4AD0-B3D0-A6861AC469D9}" srcId="{AD7271E9-60E6-4703-8C8A-AFD356041379}" destId="{764C7E73-06ED-4FAB-ADAC-9A3A602C5410}" srcOrd="1" destOrd="0" parTransId="{362A8207-F03A-473B-B712-BC5FCB31C4E4}" sibTransId="{31C22A01-95AA-444E-B4EE-0C7E389FB38C}"/>
    <dgm:cxn modelId="{59DC329D-0881-4925-8410-0A2842A48D2A}" type="presOf" srcId="{8D1D4CB5-C5BE-4078-942C-E61DFAE452A9}" destId="{DDD69E7F-B2B2-40A4-A7D5-6FF75446DFEB}" srcOrd="0" destOrd="0" presId="urn:microsoft.com/office/officeart/2005/8/layout/pList1"/>
    <dgm:cxn modelId="{60930FB1-1539-4DE0-90CC-659504F07A9B}" type="presOf" srcId="{F0CF404D-4769-46A4-8BCD-4D69C8653AD1}" destId="{4AFD640B-D55D-4994-8DC4-A7E83730FF1D}" srcOrd="0" destOrd="0" presId="urn:microsoft.com/office/officeart/2005/8/layout/pList1"/>
    <dgm:cxn modelId="{E94E81BA-A394-45D0-95CD-2378750EFC9A}" srcId="{AD7271E9-60E6-4703-8C8A-AFD356041379}" destId="{2D6E738B-584C-42BF-B09B-6F9003F9103D}" srcOrd="2" destOrd="0" parTransId="{AD2F5206-824B-4681-BD2E-0CFF7D227B74}" sibTransId="{F0CF404D-4769-46A4-8BCD-4D69C8653AD1}"/>
    <dgm:cxn modelId="{20D731CF-2D35-4411-A5AC-33F6B8FF021E}" type="presOf" srcId="{31C22A01-95AA-444E-B4EE-0C7E389FB38C}" destId="{556298C3-6AF6-47D4-92A5-35CF9A8A9687}" srcOrd="0" destOrd="0" presId="urn:microsoft.com/office/officeart/2005/8/layout/pList1"/>
    <dgm:cxn modelId="{53B534D3-80D0-4AC4-ACB3-732EC54DB2F5}" srcId="{AD7271E9-60E6-4703-8C8A-AFD356041379}" destId="{24CA1A5E-E0CB-400E-BB56-95CBD19D1E78}" srcOrd="4" destOrd="0" parTransId="{71D45450-9A8F-48C1-BFAA-B7EB417E8834}" sibTransId="{57C97B1D-2DAA-44AC-B232-5E5CFFBCC26E}"/>
    <dgm:cxn modelId="{D44F5CD2-D174-4864-80F5-ACFD519A5AB6}" type="presParOf" srcId="{9AB018DA-460F-4491-B29B-0BF75A393F58}" destId="{6B1F4754-66C0-48F1-B963-2755D2BF2384}" srcOrd="0" destOrd="0" presId="urn:microsoft.com/office/officeart/2005/8/layout/pList1"/>
    <dgm:cxn modelId="{150BBA47-BAE4-4526-BCA7-6CC812DA825B}" type="presParOf" srcId="{6B1F4754-66C0-48F1-B963-2755D2BF2384}" destId="{AC4EC8DE-E25A-433B-A13E-8802ACAAC0E7}" srcOrd="0" destOrd="0" presId="urn:microsoft.com/office/officeart/2005/8/layout/pList1"/>
    <dgm:cxn modelId="{A41A3D8C-53CF-4AA9-9167-8154F4F54A12}" type="presParOf" srcId="{6B1F4754-66C0-48F1-B963-2755D2BF2384}" destId="{57EA5BB3-9158-4A7B-8173-A1B977F7704C}" srcOrd="1" destOrd="0" presId="urn:microsoft.com/office/officeart/2005/8/layout/pList1"/>
    <dgm:cxn modelId="{160D7A53-13BA-4F4F-81C5-3053FB107413}" type="presParOf" srcId="{9AB018DA-460F-4491-B29B-0BF75A393F58}" destId="{C0921B3B-12AB-40DE-9E8A-95F5B9C512A8}" srcOrd="1" destOrd="0" presId="urn:microsoft.com/office/officeart/2005/8/layout/pList1"/>
    <dgm:cxn modelId="{5771C213-801F-4D3D-9363-3C673885F143}" type="presParOf" srcId="{9AB018DA-460F-4491-B29B-0BF75A393F58}" destId="{3110C364-456F-4DB6-98DA-2C275E5CE8C2}" srcOrd="2" destOrd="0" presId="urn:microsoft.com/office/officeart/2005/8/layout/pList1"/>
    <dgm:cxn modelId="{9F8B04EE-02C2-41C1-B347-14A43473D60B}" type="presParOf" srcId="{3110C364-456F-4DB6-98DA-2C275E5CE8C2}" destId="{9AA962EC-7C4F-4588-88B0-946072246190}" srcOrd="0" destOrd="0" presId="urn:microsoft.com/office/officeart/2005/8/layout/pList1"/>
    <dgm:cxn modelId="{DC906C43-85CE-4B98-B8AC-6CAE16237A2B}" type="presParOf" srcId="{3110C364-456F-4DB6-98DA-2C275E5CE8C2}" destId="{10B2C620-EE4B-4583-9E61-B3AB39DF61FA}" srcOrd="1" destOrd="0" presId="urn:microsoft.com/office/officeart/2005/8/layout/pList1"/>
    <dgm:cxn modelId="{D9212DA0-907B-44A8-8270-16951970FE82}" type="presParOf" srcId="{9AB018DA-460F-4491-B29B-0BF75A393F58}" destId="{556298C3-6AF6-47D4-92A5-35CF9A8A9687}" srcOrd="3" destOrd="0" presId="urn:microsoft.com/office/officeart/2005/8/layout/pList1"/>
    <dgm:cxn modelId="{90F973F4-0CB7-4390-BA14-EADECA23A880}" type="presParOf" srcId="{9AB018DA-460F-4491-B29B-0BF75A393F58}" destId="{668C4ACF-7467-448C-9AF4-E4F88E8EF34F}" srcOrd="4" destOrd="0" presId="urn:microsoft.com/office/officeart/2005/8/layout/pList1"/>
    <dgm:cxn modelId="{F879C2AF-8785-4AB6-9264-68274CBC7582}" type="presParOf" srcId="{668C4ACF-7467-448C-9AF4-E4F88E8EF34F}" destId="{2144C81D-4CFC-4F15-B6C1-4DA621B534AE}" srcOrd="0" destOrd="0" presId="urn:microsoft.com/office/officeart/2005/8/layout/pList1"/>
    <dgm:cxn modelId="{1A756C24-7171-4E60-B91A-C3EB98D25AF3}" type="presParOf" srcId="{668C4ACF-7467-448C-9AF4-E4F88E8EF34F}" destId="{169DB7D1-E920-49AF-B1CD-ADBF6C8F9E48}" srcOrd="1" destOrd="0" presId="urn:microsoft.com/office/officeart/2005/8/layout/pList1"/>
    <dgm:cxn modelId="{29F44A7A-C0AA-402F-AEFD-E8479413A48D}" type="presParOf" srcId="{9AB018DA-460F-4491-B29B-0BF75A393F58}" destId="{4AFD640B-D55D-4994-8DC4-A7E83730FF1D}" srcOrd="5" destOrd="0" presId="urn:microsoft.com/office/officeart/2005/8/layout/pList1"/>
    <dgm:cxn modelId="{AB4DE9E9-E7D7-433B-B9BB-10BF4F1F0174}" type="presParOf" srcId="{9AB018DA-460F-4491-B29B-0BF75A393F58}" destId="{5FEC2E5D-0EB1-418D-8917-A6D0B8285D24}" srcOrd="6" destOrd="0" presId="urn:microsoft.com/office/officeart/2005/8/layout/pList1"/>
    <dgm:cxn modelId="{040509A6-8CB5-456D-BD5F-E6574BE2288D}" type="presParOf" srcId="{5FEC2E5D-0EB1-418D-8917-A6D0B8285D24}" destId="{00961FB2-00DC-4EC2-8EBB-ABD8AE3CC213}" srcOrd="0" destOrd="0" presId="urn:microsoft.com/office/officeart/2005/8/layout/pList1"/>
    <dgm:cxn modelId="{D70709C6-E710-461F-AFA3-84EB5B4DD198}" type="presParOf" srcId="{5FEC2E5D-0EB1-418D-8917-A6D0B8285D24}" destId="{7FEC1140-719B-4AC6-92CE-5F32A8E2EA34}" srcOrd="1" destOrd="0" presId="urn:microsoft.com/office/officeart/2005/8/layout/pList1"/>
    <dgm:cxn modelId="{EDC7EDAE-ADC0-4703-A7F5-E76C93BE0C63}" type="presParOf" srcId="{9AB018DA-460F-4491-B29B-0BF75A393F58}" destId="{DDD69E7F-B2B2-40A4-A7D5-6FF75446DFEB}" srcOrd="7" destOrd="0" presId="urn:microsoft.com/office/officeart/2005/8/layout/pList1"/>
    <dgm:cxn modelId="{0D7BAA01-0CA6-449E-9DB2-E026BB56D59E}" type="presParOf" srcId="{9AB018DA-460F-4491-B29B-0BF75A393F58}" destId="{D4800312-CB5D-4E1C-B5D9-33FE8B7F462A}" srcOrd="8" destOrd="0" presId="urn:microsoft.com/office/officeart/2005/8/layout/pList1"/>
    <dgm:cxn modelId="{B3F19439-5668-4AC8-BA5E-833311887B9F}" type="presParOf" srcId="{D4800312-CB5D-4E1C-B5D9-33FE8B7F462A}" destId="{B258CF1B-3F1C-460C-9FC3-63533C90DBA4}" srcOrd="0" destOrd="0" presId="urn:microsoft.com/office/officeart/2005/8/layout/pList1"/>
    <dgm:cxn modelId="{C5F2CDCB-F39E-4D0A-9BA2-3F0BBBE71DCB}" type="presParOf" srcId="{D4800312-CB5D-4E1C-B5D9-33FE8B7F462A}" destId="{406F7658-57BD-4F67-AFE7-4CBB506AA8F7}" srcOrd="1" destOrd="0" presId="urn:microsoft.com/office/officeart/2005/8/layout/pList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55172734-7A92-4149-8CE9-194EA9ED4F91}" type="doc">
      <dgm:prSet loTypeId="urn:microsoft.com/office/officeart/2005/8/layout/lProcess2" loCatId="list" qsTypeId="urn:microsoft.com/office/officeart/2005/8/quickstyle/simple1" qsCatId="simple" csTypeId="urn:microsoft.com/office/officeart/2005/8/colors/colorful5" csCatId="colorful" phldr="1"/>
      <dgm:spPr/>
      <dgm:t>
        <a:bodyPr/>
        <a:lstStyle/>
        <a:p>
          <a:endParaRPr lang="en-US"/>
        </a:p>
      </dgm:t>
    </dgm:pt>
    <dgm:pt modelId="{CBB53A5F-ABD7-4E1E-8764-EEC34E5DD5CC}">
      <dgm:prSet phldrT="[Text]"/>
      <dgm:spPr/>
      <dgm:t>
        <a:bodyPr/>
        <a:lstStyle/>
        <a:p>
          <a:r>
            <a:rPr lang="en-US"/>
            <a:t>Beneficence</a:t>
          </a:r>
        </a:p>
      </dgm:t>
    </dgm:pt>
    <dgm:pt modelId="{6E3F11A6-B218-46C5-803F-2546F4A72263}" type="parTrans" cxnId="{600621EE-219B-4198-9917-EA0A7A0E29BC}">
      <dgm:prSet/>
      <dgm:spPr/>
      <dgm:t>
        <a:bodyPr/>
        <a:lstStyle/>
        <a:p>
          <a:endParaRPr lang="en-US"/>
        </a:p>
      </dgm:t>
    </dgm:pt>
    <dgm:pt modelId="{A2502F70-8EA6-4A13-A94D-42D53B87919D}" type="sibTrans" cxnId="{600621EE-219B-4198-9917-EA0A7A0E29BC}">
      <dgm:prSet/>
      <dgm:spPr/>
      <dgm:t>
        <a:bodyPr/>
        <a:lstStyle/>
        <a:p>
          <a:endParaRPr lang="en-US"/>
        </a:p>
      </dgm:t>
    </dgm:pt>
    <dgm:pt modelId="{3F983823-658B-4C47-B405-5795A0E2FB60}">
      <dgm:prSet phldrT="[Text]"/>
      <dgm:spPr/>
      <dgm:t>
        <a:bodyPr/>
        <a:lstStyle/>
        <a:p>
          <a:r>
            <a:rPr lang="en-US"/>
            <a:t>Autonomy</a:t>
          </a:r>
        </a:p>
      </dgm:t>
    </dgm:pt>
    <dgm:pt modelId="{2D1889EC-E7B8-47DB-8F2E-E4697331ED17}" type="parTrans" cxnId="{84327797-1AFF-4FD9-B1C3-66B703AA4143}">
      <dgm:prSet/>
      <dgm:spPr/>
      <dgm:t>
        <a:bodyPr/>
        <a:lstStyle/>
        <a:p>
          <a:endParaRPr lang="en-US"/>
        </a:p>
      </dgm:t>
    </dgm:pt>
    <dgm:pt modelId="{B75E19B0-92D0-4AF4-9A1C-CDE3CD0517C7}" type="sibTrans" cxnId="{84327797-1AFF-4FD9-B1C3-66B703AA4143}">
      <dgm:prSet/>
      <dgm:spPr/>
      <dgm:t>
        <a:bodyPr/>
        <a:lstStyle/>
        <a:p>
          <a:endParaRPr lang="en-US"/>
        </a:p>
      </dgm:t>
    </dgm:pt>
    <dgm:pt modelId="{448DA69B-E9FB-46DB-B5CC-595F22DB0A7F}">
      <dgm:prSet phldrT="[Text]"/>
      <dgm:spPr/>
      <dgm:t>
        <a:bodyPr/>
        <a:lstStyle/>
        <a:p>
          <a:r>
            <a:rPr lang="en-US"/>
            <a:t>Nonmaleficence</a:t>
          </a:r>
        </a:p>
      </dgm:t>
    </dgm:pt>
    <dgm:pt modelId="{340774CB-06B4-485F-97E4-F4771FEB0048}" type="parTrans" cxnId="{D57F34BB-678A-4FBB-B274-E36AB41DAA39}">
      <dgm:prSet/>
      <dgm:spPr/>
      <dgm:t>
        <a:bodyPr/>
        <a:lstStyle/>
        <a:p>
          <a:endParaRPr lang="en-US"/>
        </a:p>
      </dgm:t>
    </dgm:pt>
    <dgm:pt modelId="{079F7EC4-CB53-4E25-ACFB-FD006F39ADAE}" type="sibTrans" cxnId="{D57F34BB-678A-4FBB-B274-E36AB41DAA39}">
      <dgm:prSet/>
      <dgm:spPr/>
      <dgm:t>
        <a:bodyPr/>
        <a:lstStyle/>
        <a:p>
          <a:endParaRPr lang="en-US"/>
        </a:p>
      </dgm:t>
    </dgm:pt>
    <dgm:pt modelId="{998C0801-F470-4B36-AB21-DC5EC48A5568}">
      <dgm:prSet phldrT="[Text]"/>
      <dgm:spPr/>
      <dgm:t>
        <a:bodyPr/>
        <a:lstStyle/>
        <a:p>
          <a:r>
            <a:rPr lang="en-US"/>
            <a:t>Justice</a:t>
          </a:r>
        </a:p>
      </dgm:t>
    </dgm:pt>
    <dgm:pt modelId="{759795E9-885E-47B2-B9E2-985AEDCD5E91}" type="parTrans" cxnId="{EFE588E9-F78D-4E65-B9C9-624DC28CD931}">
      <dgm:prSet/>
      <dgm:spPr/>
      <dgm:t>
        <a:bodyPr/>
        <a:lstStyle/>
        <a:p>
          <a:endParaRPr lang="en-US"/>
        </a:p>
      </dgm:t>
    </dgm:pt>
    <dgm:pt modelId="{D35A0E94-D88B-4559-B8EA-79120F5304B3}" type="sibTrans" cxnId="{EFE588E9-F78D-4E65-B9C9-624DC28CD931}">
      <dgm:prSet/>
      <dgm:spPr/>
      <dgm:t>
        <a:bodyPr/>
        <a:lstStyle/>
        <a:p>
          <a:endParaRPr lang="en-US"/>
        </a:p>
      </dgm:t>
    </dgm:pt>
    <dgm:pt modelId="{54C766C9-780C-4734-8CDA-03246F41E456}">
      <dgm:prSet phldrT="[Text]"/>
      <dgm:spPr/>
      <dgm:t>
        <a:bodyPr/>
        <a:lstStyle/>
        <a:p>
          <a:r>
            <a:rPr lang="en-US"/>
            <a:t>Veracity</a:t>
          </a:r>
        </a:p>
      </dgm:t>
    </dgm:pt>
    <dgm:pt modelId="{CD9804CB-84C3-47A0-8BEC-FC01467FF8D4}" type="parTrans" cxnId="{5BCAC8A2-63DA-48AB-AF28-6DE8B3051988}">
      <dgm:prSet/>
      <dgm:spPr/>
      <dgm:t>
        <a:bodyPr/>
        <a:lstStyle/>
        <a:p>
          <a:endParaRPr lang="en-US"/>
        </a:p>
      </dgm:t>
    </dgm:pt>
    <dgm:pt modelId="{C0864D00-1BEF-44C1-AC8C-72B453B99C7F}" type="sibTrans" cxnId="{5BCAC8A2-63DA-48AB-AF28-6DE8B3051988}">
      <dgm:prSet/>
      <dgm:spPr/>
      <dgm:t>
        <a:bodyPr/>
        <a:lstStyle/>
        <a:p>
          <a:endParaRPr lang="en-US"/>
        </a:p>
      </dgm:t>
    </dgm:pt>
    <dgm:pt modelId="{5949EB5F-30C5-41DF-BADB-824C38786C95}">
      <dgm:prSet phldrT="[Text]"/>
      <dgm:spPr/>
      <dgm:t>
        <a:bodyPr/>
        <a:lstStyle/>
        <a:p>
          <a:r>
            <a:rPr lang="en-US"/>
            <a:t>Privacy</a:t>
          </a:r>
        </a:p>
      </dgm:t>
    </dgm:pt>
    <dgm:pt modelId="{CD33166E-1E5A-4A68-85FF-3806A3B7EB71}" type="parTrans" cxnId="{42D29413-3E2B-4CDB-A96E-015ACB122641}">
      <dgm:prSet/>
      <dgm:spPr/>
      <dgm:t>
        <a:bodyPr/>
        <a:lstStyle/>
        <a:p>
          <a:endParaRPr lang="en-US"/>
        </a:p>
      </dgm:t>
    </dgm:pt>
    <dgm:pt modelId="{682A9B44-C2C9-4BBA-BC8D-EDE0B3C7A08D}" type="sibTrans" cxnId="{42D29413-3E2B-4CDB-A96E-015ACB122641}">
      <dgm:prSet/>
      <dgm:spPr/>
      <dgm:t>
        <a:bodyPr/>
        <a:lstStyle/>
        <a:p>
          <a:endParaRPr lang="en-US"/>
        </a:p>
      </dgm:t>
    </dgm:pt>
    <dgm:pt modelId="{DDBBB45B-5386-49B5-8AC6-C801AA215BE7}">
      <dgm:prSet phldrT="[Text]"/>
      <dgm:spPr/>
      <dgm:t>
        <a:bodyPr/>
        <a:lstStyle/>
        <a:p>
          <a:r>
            <a:rPr lang="en-US"/>
            <a:t>The research should do good</a:t>
          </a:r>
        </a:p>
      </dgm:t>
    </dgm:pt>
    <dgm:pt modelId="{CC0B4F5F-6C29-4179-9A57-E799F212305E}" type="parTrans" cxnId="{711114BE-D004-4C46-B706-42109CB3D0AE}">
      <dgm:prSet/>
      <dgm:spPr/>
      <dgm:t>
        <a:bodyPr/>
        <a:lstStyle/>
        <a:p>
          <a:endParaRPr lang="en-US"/>
        </a:p>
      </dgm:t>
    </dgm:pt>
    <dgm:pt modelId="{C9D71803-8F9D-4DA0-93B1-59B9EF52A77C}" type="sibTrans" cxnId="{711114BE-D004-4C46-B706-42109CB3D0AE}">
      <dgm:prSet/>
      <dgm:spPr/>
      <dgm:t>
        <a:bodyPr/>
        <a:lstStyle/>
        <a:p>
          <a:endParaRPr lang="en-US"/>
        </a:p>
      </dgm:t>
    </dgm:pt>
    <dgm:pt modelId="{E3659432-B880-4BC2-A948-FA9BC6B93775}">
      <dgm:prSet phldrT="[Text]"/>
      <dgm:spPr/>
      <dgm:t>
        <a:bodyPr/>
        <a:lstStyle/>
        <a:p>
          <a:r>
            <a:rPr lang="en-US"/>
            <a:t>Participants can decide whether to participate</a:t>
          </a:r>
        </a:p>
      </dgm:t>
    </dgm:pt>
    <dgm:pt modelId="{09E79CB6-584B-4040-8989-EB9B9B6C9C48}" type="parTrans" cxnId="{5148748B-87EE-499E-97C7-57E06E01661C}">
      <dgm:prSet/>
      <dgm:spPr/>
      <dgm:t>
        <a:bodyPr/>
        <a:lstStyle/>
        <a:p>
          <a:endParaRPr lang="en-US"/>
        </a:p>
      </dgm:t>
    </dgm:pt>
    <dgm:pt modelId="{F16C0AE1-E594-495F-B981-141885D521AD}" type="sibTrans" cxnId="{5148748B-87EE-499E-97C7-57E06E01661C}">
      <dgm:prSet/>
      <dgm:spPr/>
      <dgm:t>
        <a:bodyPr/>
        <a:lstStyle/>
        <a:p>
          <a:endParaRPr lang="en-US"/>
        </a:p>
      </dgm:t>
    </dgm:pt>
    <dgm:pt modelId="{60E1AB2C-CA88-41B7-9C90-8EA8B3FF902B}">
      <dgm:prSet phldrT="[Text]"/>
      <dgm:spPr/>
      <dgm:t>
        <a:bodyPr/>
        <a:lstStyle/>
        <a:p>
          <a:r>
            <a:rPr lang="en-US"/>
            <a:t>No one should be harmed</a:t>
          </a:r>
        </a:p>
      </dgm:t>
    </dgm:pt>
    <dgm:pt modelId="{B56603E6-24E5-46A0-9E65-C460D493B684}" type="parTrans" cxnId="{6DB30BF8-6C7C-42AE-971B-9EAC7923B457}">
      <dgm:prSet/>
      <dgm:spPr/>
      <dgm:t>
        <a:bodyPr/>
        <a:lstStyle/>
        <a:p>
          <a:endParaRPr lang="en-US"/>
        </a:p>
      </dgm:t>
    </dgm:pt>
    <dgm:pt modelId="{0D0BB2AB-48BE-476F-8598-FF136F531038}" type="sibTrans" cxnId="{6DB30BF8-6C7C-42AE-971B-9EAC7923B457}">
      <dgm:prSet/>
      <dgm:spPr/>
      <dgm:t>
        <a:bodyPr/>
        <a:lstStyle/>
        <a:p>
          <a:endParaRPr lang="en-US"/>
        </a:p>
      </dgm:t>
    </dgm:pt>
    <dgm:pt modelId="{1250E3A6-5AF0-45FF-BE5C-6A124076D02A}">
      <dgm:prSet phldrT="[Text]"/>
      <dgm:spPr/>
      <dgm:t>
        <a:bodyPr/>
        <a:lstStyle/>
        <a:p>
          <a:r>
            <a:rPr lang="en-US"/>
            <a:t>Participants are treated fairly</a:t>
          </a:r>
        </a:p>
      </dgm:t>
    </dgm:pt>
    <dgm:pt modelId="{53C2A84B-ACD3-4EAC-8AD0-18EF755A73E1}" type="parTrans" cxnId="{CC51CB75-A00C-468B-BDCA-5F1D073BE2AB}">
      <dgm:prSet/>
      <dgm:spPr/>
      <dgm:t>
        <a:bodyPr/>
        <a:lstStyle/>
        <a:p>
          <a:endParaRPr lang="en-US"/>
        </a:p>
      </dgm:t>
    </dgm:pt>
    <dgm:pt modelId="{DBDBB031-487D-4EB5-8D37-2F7886041F39}" type="sibTrans" cxnId="{CC51CB75-A00C-468B-BDCA-5F1D073BE2AB}">
      <dgm:prSet/>
      <dgm:spPr/>
      <dgm:t>
        <a:bodyPr/>
        <a:lstStyle/>
        <a:p>
          <a:endParaRPr lang="en-US"/>
        </a:p>
      </dgm:t>
    </dgm:pt>
    <dgm:pt modelId="{AF4D811F-7DCD-4A6A-964A-2EA6FFEC7779}">
      <dgm:prSet phldrT="[Text]"/>
      <dgm:spPr/>
      <dgm:t>
        <a:bodyPr/>
        <a:lstStyle/>
        <a:p>
          <a:r>
            <a:rPr lang="en-US"/>
            <a:t>Researcher must be honest</a:t>
          </a:r>
        </a:p>
      </dgm:t>
    </dgm:pt>
    <dgm:pt modelId="{2792921B-BFF4-4180-BAC1-21A82DD179D6}" type="parTrans" cxnId="{D6060D6E-5D37-4F6F-BB40-F8E1E944A4D9}">
      <dgm:prSet/>
      <dgm:spPr/>
      <dgm:t>
        <a:bodyPr/>
        <a:lstStyle/>
        <a:p>
          <a:endParaRPr lang="en-US"/>
        </a:p>
      </dgm:t>
    </dgm:pt>
    <dgm:pt modelId="{6CECB950-787D-4ADE-B7C1-9E357CEE8BA2}" type="sibTrans" cxnId="{D6060D6E-5D37-4F6F-BB40-F8E1E944A4D9}">
      <dgm:prSet/>
      <dgm:spPr/>
      <dgm:t>
        <a:bodyPr/>
        <a:lstStyle/>
        <a:p>
          <a:endParaRPr lang="en-US"/>
        </a:p>
      </dgm:t>
    </dgm:pt>
    <dgm:pt modelId="{4DD8B872-4E65-484F-B440-404F1EFFC6A6}">
      <dgm:prSet phldrT="[Text]"/>
      <dgm:spPr/>
      <dgm:t>
        <a:bodyPr/>
        <a:lstStyle/>
        <a:p>
          <a:r>
            <a:rPr lang="en-US"/>
            <a:t>Participants' privacy is protected</a:t>
          </a:r>
        </a:p>
      </dgm:t>
    </dgm:pt>
    <dgm:pt modelId="{C0C8A91B-B617-45CF-AABD-D204552A3A73}" type="parTrans" cxnId="{B4836592-0903-40BB-BEF3-300EAE2B58E9}">
      <dgm:prSet/>
      <dgm:spPr/>
      <dgm:t>
        <a:bodyPr/>
        <a:lstStyle/>
        <a:p>
          <a:endParaRPr lang="en-US"/>
        </a:p>
      </dgm:t>
    </dgm:pt>
    <dgm:pt modelId="{23411E8D-F653-4C9C-B15D-8B44DF3DB154}" type="sibTrans" cxnId="{B4836592-0903-40BB-BEF3-300EAE2B58E9}">
      <dgm:prSet/>
      <dgm:spPr/>
      <dgm:t>
        <a:bodyPr/>
        <a:lstStyle/>
        <a:p>
          <a:endParaRPr lang="en-US"/>
        </a:p>
      </dgm:t>
    </dgm:pt>
    <dgm:pt modelId="{5F494BF6-DCE3-4AFA-BF7A-F02152C58BD4}" type="pres">
      <dgm:prSet presAssocID="{55172734-7A92-4149-8CE9-194EA9ED4F91}" presName="theList" presStyleCnt="0">
        <dgm:presLayoutVars>
          <dgm:dir/>
          <dgm:animLvl val="lvl"/>
          <dgm:resizeHandles val="exact"/>
        </dgm:presLayoutVars>
      </dgm:prSet>
      <dgm:spPr/>
    </dgm:pt>
    <dgm:pt modelId="{688A99A8-62B8-46DF-A0BB-A733E0BC58D8}" type="pres">
      <dgm:prSet presAssocID="{CBB53A5F-ABD7-4E1E-8764-EEC34E5DD5CC}" presName="compNode" presStyleCnt="0"/>
      <dgm:spPr/>
    </dgm:pt>
    <dgm:pt modelId="{BEE87667-694E-4704-8907-AE55FD13F65A}" type="pres">
      <dgm:prSet presAssocID="{CBB53A5F-ABD7-4E1E-8764-EEC34E5DD5CC}" presName="aNode" presStyleLbl="bgShp" presStyleIdx="0" presStyleCnt="6"/>
      <dgm:spPr/>
    </dgm:pt>
    <dgm:pt modelId="{49F7592C-1913-42BC-B20C-43661389F05C}" type="pres">
      <dgm:prSet presAssocID="{CBB53A5F-ABD7-4E1E-8764-EEC34E5DD5CC}" presName="textNode" presStyleLbl="bgShp" presStyleIdx="0" presStyleCnt="6"/>
      <dgm:spPr/>
    </dgm:pt>
    <dgm:pt modelId="{C388F3C5-3B0D-4941-80BF-4B501250E199}" type="pres">
      <dgm:prSet presAssocID="{CBB53A5F-ABD7-4E1E-8764-EEC34E5DD5CC}" presName="compChildNode" presStyleCnt="0"/>
      <dgm:spPr/>
    </dgm:pt>
    <dgm:pt modelId="{B55B65BF-EFA9-42DA-A4C2-C4B97A3DC8F6}" type="pres">
      <dgm:prSet presAssocID="{CBB53A5F-ABD7-4E1E-8764-EEC34E5DD5CC}" presName="theInnerList" presStyleCnt="0"/>
      <dgm:spPr/>
    </dgm:pt>
    <dgm:pt modelId="{EF514BD6-599F-418A-99A1-54F6AF8A47B5}" type="pres">
      <dgm:prSet presAssocID="{DDBBB45B-5386-49B5-8AC6-C801AA215BE7}" presName="childNode" presStyleLbl="node1" presStyleIdx="0" presStyleCnt="6">
        <dgm:presLayoutVars>
          <dgm:bulletEnabled val="1"/>
        </dgm:presLayoutVars>
      </dgm:prSet>
      <dgm:spPr/>
    </dgm:pt>
    <dgm:pt modelId="{DD06B7D0-9219-46F6-8ABA-1E6A8ED6E2A7}" type="pres">
      <dgm:prSet presAssocID="{CBB53A5F-ABD7-4E1E-8764-EEC34E5DD5CC}" presName="aSpace" presStyleCnt="0"/>
      <dgm:spPr/>
    </dgm:pt>
    <dgm:pt modelId="{1218F5E5-0B8E-4DF9-89EC-C280988CFEAC}" type="pres">
      <dgm:prSet presAssocID="{3F983823-658B-4C47-B405-5795A0E2FB60}" presName="compNode" presStyleCnt="0"/>
      <dgm:spPr/>
    </dgm:pt>
    <dgm:pt modelId="{86E1FC13-B1B2-4447-A59E-3BB5EA500D0D}" type="pres">
      <dgm:prSet presAssocID="{3F983823-658B-4C47-B405-5795A0E2FB60}" presName="aNode" presStyleLbl="bgShp" presStyleIdx="1" presStyleCnt="6"/>
      <dgm:spPr/>
    </dgm:pt>
    <dgm:pt modelId="{4A4249D3-4A6C-4CB6-8855-54693192A687}" type="pres">
      <dgm:prSet presAssocID="{3F983823-658B-4C47-B405-5795A0E2FB60}" presName="textNode" presStyleLbl="bgShp" presStyleIdx="1" presStyleCnt="6"/>
      <dgm:spPr/>
    </dgm:pt>
    <dgm:pt modelId="{22AA58EF-06A8-4311-A1E2-AB8197BA5089}" type="pres">
      <dgm:prSet presAssocID="{3F983823-658B-4C47-B405-5795A0E2FB60}" presName="compChildNode" presStyleCnt="0"/>
      <dgm:spPr/>
    </dgm:pt>
    <dgm:pt modelId="{802620D9-1925-4122-8A3B-35580F772D29}" type="pres">
      <dgm:prSet presAssocID="{3F983823-658B-4C47-B405-5795A0E2FB60}" presName="theInnerList" presStyleCnt="0"/>
      <dgm:spPr/>
    </dgm:pt>
    <dgm:pt modelId="{3FA0344D-8D87-496E-A89E-6C61C7F905F1}" type="pres">
      <dgm:prSet presAssocID="{E3659432-B880-4BC2-A948-FA9BC6B93775}" presName="childNode" presStyleLbl="node1" presStyleIdx="1" presStyleCnt="6">
        <dgm:presLayoutVars>
          <dgm:bulletEnabled val="1"/>
        </dgm:presLayoutVars>
      </dgm:prSet>
      <dgm:spPr/>
    </dgm:pt>
    <dgm:pt modelId="{43725F1D-05AE-4238-9C3B-6CF9CC63A8CE}" type="pres">
      <dgm:prSet presAssocID="{3F983823-658B-4C47-B405-5795A0E2FB60}" presName="aSpace" presStyleCnt="0"/>
      <dgm:spPr/>
    </dgm:pt>
    <dgm:pt modelId="{D8F83812-ACA5-4D0F-9201-F7297A82CC08}" type="pres">
      <dgm:prSet presAssocID="{448DA69B-E9FB-46DB-B5CC-595F22DB0A7F}" presName="compNode" presStyleCnt="0"/>
      <dgm:spPr/>
    </dgm:pt>
    <dgm:pt modelId="{33ED860D-A6EF-4CE9-94D6-C695A6377332}" type="pres">
      <dgm:prSet presAssocID="{448DA69B-E9FB-46DB-B5CC-595F22DB0A7F}" presName="aNode" presStyleLbl="bgShp" presStyleIdx="2" presStyleCnt="6"/>
      <dgm:spPr/>
    </dgm:pt>
    <dgm:pt modelId="{89A92C42-B8FE-4614-A2F0-147B3620EE64}" type="pres">
      <dgm:prSet presAssocID="{448DA69B-E9FB-46DB-B5CC-595F22DB0A7F}" presName="textNode" presStyleLbl="bgShp" presStyleIdx="2" presStyleCnt="6"/>
      <dgm:spPr/>
    </dgm:pt>
    <dgm:pt modelId="{A021DC90-6CCD-47FA-B50E-20840EA83C5C}" type="pres">
      <dgm:prSet presAssocID="{448DA69B-E9FB-46DB-B5CC-595F22DB0A7F}" presName="compChildNode" presStyleCnt="0"/>
      <dgm:spPr/>
    </dgm:pt>
    <dgm:pt modelId="{117972B3-9AD1-4556-AF03-E478DFF24180}" type="pres">
      <dgm:prSet presAssocID="{448DA69B-E9FB-46DB-B5CC-595F22DB0A7F}" presName="theInnerList" presStyleCnt="0"/>
      <dgm:spPr/>
    </dgm:pt>
    <dgm:pt modelId="{CBB28B22-7BAE-4AAE-A6B6-93C51C85B292}" type="pres">
      <dgm:prSet presAssocID="{60E1AB2C-CA88-41B7-9C90-8EA8B3FF902B}" presName="childNode" presStyleLbl="node1" presStyleIdx="2" presStyleCnt="6">
        <dgm:presLayoutVars>
          <dgm:bulletEnabled val="1"/>
        </dgm:presLayoutVars>
      </dgm:prSet>
      <dgm:spPr/>
    </dgm:pt>
    <dgm:pt modelId="{57AB3ED5-DA5A-4A6F-90AB-285768901785}" type="pres">
      <dgm:prSet presAssocID="{448DA69B-E9FB-46DB-B5CC-595F22DB0A7F}" presName="aSpace" presStyleCnt="0"/>
      <dgm:spPr/>
    </dgm:pt>
    <dgm:pt modelId="{3504DCC9-FDDE-4502-B372-3BDF2BA3F831}" type="pres">
      <dgm:prSet presAssocID="{998C0801-F470-4B36-AB21-DC5EC48A5568}" presName="compNode" presStyleCnt="0"/>
      <dgm:spPr/>
    </dgm:pt>
    <dgm:pt modelId="{74EDB20B-EE4A-42BB-8AF4-5AF455F9B682}" type="pres">
      <dgm:prSet presAssocID="{998C0801-F470-4B36-AB21-DC5EC48A5568}" presName="aNode" presStyleLbl="bgShp" presStyleIdx="3" presStyleCnt="6"/>
      <dgm:spPr/>
    </dgm:pt>
    <dgm:pt modelId="{3A4808D3-EAE6-46EC-B1B0-DE2CC529177B}" type="pres">
      <dgm:prSet presAssocID="{998C0801-F470-4B36-AB21-DC5EC48A5568}" presName="textNode" presStyleLbl="bgShp" presStyleIdx="3" presStyleCnt="6"/>
      <dgm:spPr/>
    </dgm:pt>
    <dgm:pt modelId="{7FC0A400-177D-4A43-AD01-9CC3F0CF87C9}" type="pres">
      <dgm:prSet presAssocID="{998C0801-F470-4B36-AB21-DC5EC48A5568}" presName="compChildNode" presStyleCnt="0"/>
      <dgm:spPr/>
    </dgm:pt>
    <dgm:pt modelId="{5CBCD652-6CB0-4B91-92F2-72EC52054376}" type="pres">
      <dgm:prSet presAssocID="{998C0801-F470-4B36-AB21-DC5EC48A5568}" presName="theInnerList" presStyleCnt="0"/>
      <dgm:spPr/>
    </dgm:pt>
    <dgm:pt modelId="{DD427644-A3E4-49E0-914A-281A347F153C}" type="pres">
      <dgm:prSet presAssocID="{1250E3A6-5AF0-45FF-BE5C-6A124076D02A}" presName="childNode" presStyleLbl="node1" presStyleIdx="3" presStyleCnt="6">
        <dgm:presLayoutVars>
          <dgm:bulletEnabled val="1"/>
        </dgm:presLayoutVars>
      </dgm:prSet>
      <dgm:spPr/>
    </dgm:pt>
    <dgm:pt modelId="{198EE306-3829-4118-B3BD-AFE4FC6D8999}" type="pres">
      <dgm:prSet presAssocID="{998C0801-F470-4B36-AB21-DC5EC48A5568}" presName="aSpace" presStyleCnt="0"/>
      <dgm:spPr/>
    </dgm:pt>
    <dgm:pt modelId="{BD0744FF-516D-4C6D-A426-22611520BEE2}" type="pres">
      <dgm:prSet presAssocID="{54C766C9-780C-4734-8CDA-03246F41E456}" presName="compNode" presStyleCnt="0"/>
      <dgm:spPr/>
    </dgm:pt>
    <dgm:pt modelId="{11A4DD36-399E-4B41-B001-E22AB2040A5B}" type="pres">
      <dgm:prSet presAssocID="{54C766C9-780C-4734-8CDA-03246F41E456}" presName="aNode" presStyleLbl="bgShp" presStyleIdx="4" presStyleCnt="6"/>
      <dgm:spPr/>
    </dgm:pt>
    <dgm:pt modelId="{66027C29-A861-4E69-A796-9270E8A961CD}" type="pres">
      <dgm:prSet presAssocID="{54C766C9-780C-4734-8CDA-03246F41E456}" presName="textNode" presStyleLbl="bgShp" presStyleIdx="4" presStyleCnt="6"/>
      <dgm:spPr/>
    </dgm:pt>
    <dgm:pt modelId="{FF05FC67-A06D-44C5-BF42-8C70888599BD}" type="pres">
      <dgm:prSet presAssocID="{54C766C9-780C-4734-8CDA-03246F41E456}" presName="compChildNode" presStyleCnt="0"/>
      <dgm:spPr/>
    </dgm:pt>
    <dgm:pt modelId="{1205C227-C0EB-4ACC-8461-DEE8B392D6CE}" type="pres">
      <dgm:prSet presAssocID="{54C766C9-780C-4734-8CDA-03246F41E456}" presName="theInnerList" presStyleCnt="0"/>
      <dgm:spPr/>
    </dgm:pt>
    <dgm:pt modelId="{6F853EF5-40E6-45CE-BBA2-6F8E49FFFE87}" type="pres">
      <dgm:prSet presAssocID="{AF4D811F-7DCD-4A6A-964A-2EA6FFEC7779}" presName="childNode" presStyleLbl="node1" presStyleIdx="4" presStyleCnt="6">
        <dgm:presLayoutVars>
          <dgm:bulletEnabled val="1"/>
        </dgm:presLayoutVars>
      </dgm:prSet>
      <dgm:spPr/>
    </dgm:pt>
    <dgm:pt modelId="{36FEA701-9316-4E2D-99E7-9AC969376D99}" type="pres">
      <dgm:prSet presAssocID="{54C766C9-780C-4734-8CDA-03246F41E456}" presName="aSpace" presStyleCnt="0"/>
      <dgm:spPr/>
    </dgm:pt>
    <dgm:pt modelId="{6CC8D914-FEEA-49E2-B72B-BDE15195289B}" type="pres">
      <dgm:prSet presAssocID="{5949EB5F-30C5-41DF-BADB-824C38786C95}" presName="compNode" presStyleCnt="0"/>
      <dgm:spPr/>
    </dgm:pt>
    <dgm:pt modelId="{9E5FC2E5-9A60-4824-8562-68C12BF7375B}" type="pres">
      <dgm:prSet presAssocID="{5949EB5F-30C5-41DF-BADB-824C38786C95}" presName="aNode" presStyleLbl="bgShp" presStyleIdx="5" presStyleCnt="6"/>
      <dgm:spPr/>
    </dgm:pt>
    <dgm:pt modelId="{44670B98-958A-48D3-8E96-86925ABE5279}" type="pres">
      <dgm:prSet presAssocID="{5949EB5F-30C5-41DF-BADB-824C38786C95}" presName="textNode" presStyleLbl="bgShp" presStyleIdx="5" presStyleCnt="6"/>
      <dgm:spPr/>
    </dgm:pt>
    <dgm:pt modelId="{0A852EFE-BDC4-47F6-BD2E-53825F9980AD}" type="pres">
      <dgm:prSet presAssocID="{5949EB5F-30C5-41DF-BADB-824C38786C95}" presName="compChildNode" presStyleCnt="0"/>
      <dgm:spPr/>
    </dgm:pt>
    <dgm:pt modelId="{A20E0A4B-6109-4524-9599-19CEA699E6C6}" type="pres">
      <dgm:prSet presAssocID="{5949EB5F-30C5-41DF-BADB-824C38786C95}" presName="theInnerList" presStyleCnt="0"/>
      <dgm:spPr/>
    </dgm:pt>
    <dgm:pt modelId="{5BC6264A-D5EC-4628-9CC2-C069850A218C}" type="pres">
      <dgm:prSet presAssocID="{4DD8B872-4E65-484F-B440-404F1EFFC6A6}" presName="childNode" presStyleLbl="node1" presStyleIdx="5" presStyleCnt="6">
        <dgm:presLayoutVars>
          <dgm:bulletEnabled val="1"/>
        </dgm:presLayoutVars>
      </dgm:prSet>
      <dgm:spPr/>
    </dgm:pt>
  </dgm:ptLst>
  <dgm:cxnLst>
    <dgm:cxn modelId="{796CF202-BC90-4104-A72A-6F6BF720D6D8}" type="presOf" srcId="{3F983823-658B-4C47-B405-5795A0E2FB60}" destId="{4A4249D3-4A6C-4CB6-8855-54693192A687}" srcOrd="1" destOrd="0" presId="urn:microsoft.com/office/officeart/2005/8/layout/lProcess2"/>
    <dgm:cxn modelId="{B90E7810-D6DF-4951-BF9C-7AD0FBD54734}" type="presOf" srcId="{1250E3A6-5AF0-45FF-BE5C-6A124076D02A}" destId="{DD427644-A3E4-49E0-914A-281A347F153C}" srcOrd="0" destOrd="0" presId="urn:microsoft.com/office/officeart/2005/8/layout/lProcess2"/>
    <dgm:cxn modelId="{42D29413-3E2B-4CDB-A96E-015ACB122641}" srcId="{55172734-7A92-4149-8CE9-194EA9ED4F91}" destId="{5949EB5F-30C5-41DF-BADB-824C38786C95}" srcOrd="5" destOrd="0" parTransId="{CD33166E-1E5A-4A68-85FF-3806A3B7EB71}" sibTransId="{682A9B44-C2C9-4BBA-BC8D-EDE0B3C7A08D}"/>
    <dgm:cxn modelId="{F8D11B1B-FE9D-4CE9-B4AF-EEC84942E0A5}" type="presOf" srcId="{998C0801-F470-4B36-AB21-DC5EC48A5568}" destId="{3A4808D3-EAE6-46EC-B1B0-DE2CC529177B}" srcOrd="1" destOrd="0" presId="urn:microsoft.com/office/officeart/2005/8/layout/lProcess2"/>
    <dgm:cxn modelId="{9D0C8B30-DC1A-401A-B342-244BB789D5FE}" type="presOf" srcId="{5949EB5F-30C5-41DF-BADB-824C38786C95}" destId="{44670B98-958A-48D3-8E96-86925ABE5279}" srcOrd="1" destOrd="0" presId="urn:microsoft.com/office/officeart/2005/8/layout/lProcess2"/>
    <dgm:cxn modelId="{2A951933-144D-480E-87DC-17C82E4773A7}" type="presOf" srcId="{CBB53A5F-ABD7-4E1E-8764-EEC34E5DD5CC}" destId="{49F7592C-1913-42BC-B20C-43661389F05C}" srcOrd="1" destOrd="0" presId="urn:microsoft.com/office/officeart/2005/8/layout/lProcess2"/>
    <dgm:cxn modelId="{D6060D6E-5D37-4F6F-BB40-F8E1E944A4D9}" srcId="{54C766C9-780C-4734-8CDA-03246F41E456}" destId="{AF4D811F-7DCD-4A6A-964A-2EA6FFEC7779}" srcOrd="0" destOrd="0" parTransId="{2792921B-BFF4-4180-BAC1-21A82DD179D6}" sibTransId="{6CECB950-787D-4ADE-B7C1-9E357CEE8BA2}"/>
    <dgm:cxn modelId="{C299A653-7A84-4AE2-8848-D7D5BFE6063F}" type="presOf" srcId="{E3659432-B880-4BC2-A948-FA9BC6B93775}" destId="{3FA0344D-8D87-496E-A89E-6C61C7F905F1}" srcOrd="0" destOrd="0" presId="urn:microsoft.com/office/officeart/2005/8/layout/lProcess2"/>
    <dgm:cxn modelId="{CC51CB75-A00C-468B-BDCA-5F1D073BE2AB}" srcId="{998C0801-F470-4B36-AB21-DC5EC48A5568}" destId="{1250E3A6-5AF0-45FF-BE5C-6A124076D02A}" srcOrd="0" destOrd="0" parTransId="{53C2A84B-ACD3-4EAC-8AD0-18EF755A73E1}" sibTransId="{DBDBB031-487D-4EB5-8D37-2F7886041F39}"/>
    <dgm:cxn modelId="{DB0EC057-29AB-45A1-B1D9-330588DCE3A8}" type="presOf" srcId="{CBB53A5F-ABD7-4E1E-8764-EEC34E5DD5CC}" destId="{BEE87667-694E-4704-8907-AE55FD13F65A}" srcOrd="0" destOrd="0" presId="urn:microsoft.com/office/officeart/2005/8/layout/lProcess2"/>
    <dgm:cxn modelId="{B720C878-3FE3-4BBA-90CA-F9FDF1081B57}" type="presOf" srcId="{55172734-7A92-4149-8CE9-194EA9ED4F91}" destId="{5F494BF6-DCE3-4AFA-BF7A-F02152C58BD4}" srcOrd="0" destOrd="0" presId="urn:microsoft.com/office/officeart/2005/8/layout/lProcess2"/>
    <dgm:cxn modelId="{C085297A-CD71-4B2B-B71E-FB95A9E8398A}" type="presOf" srcId="{3F983823-658B-4C47-B405-5795A0E2FB60}" destId="{86E1FC13-B1B2-4447-A59E-3BB5EA500D0D}" srcOrd="0" destOrd="0" presId="urn:microsoft.com/office/officeart/2005/8/layout/lProcess2"/>
    <dgm:cxn modelId="{68E44483-A411-434B-93F0-84CA6A0F07A9}" type="presOf" srcId="{54C766C9-780C-4734-8CDA-03246F41E456}" destId="{11A4DD36-399E-4B41-B001-E22AB2040A5B}" srcOrd="0" destOrd="0" presId="urn:microsoft.com/office/officeart/2005/8/layout/lProcess2"/>
    <dgm:cxn modelId="{5148748B-87EE-499E-97C7-57E06E01661C}" srcId="{3F983823-658B-4C47-B405-5795A0E2FB60}" destId="{E3659432-B880-4BC2-A948-FA9BC6B93775}" srcOrd="0" destOrd="0" parTransId="{09E79CB6-584B-4040-8989-EB9B9B6C9C48}" sibTransId="{F16C0AE1-E594-495F-B981-141885D521AD}"/>
    <dgm:cxn modelId="{9AE3068C-71FB-4FB9-AF41-B20746A0CA9A}" type="presOf" srcId="{DDBBB45B-5386-49B5-8AC6-C801AA215BE7}" destId="{EF514BD6-599F-418A-99A1-54F6AF8A47B5}" srcOrd="0" destOrd="0" presId="urn:microsoft.com/office/officeart/2005/8/layout/lProcess2"/>
    <dgm:cxn modelId="{B4836592-0903-40BB-BEF3-300EAE2B58E9}" srcId="{5949EB5F-30C5-41DF-BADB-824C38786C95}" destId="{4DD8B872-4E65-484F-B440-404F1EFFC6A6}" srcOrd="0" destOrd="0" parTransId="{C0C8A91B-B617-45CF-AABD-D204552A3A73}" sibTransId="{23411E8D-F653-4C9C-B15D-8B44DF3DB154}"/>
    <dgm:cxn modelId="{1ED70B97-91E6-49D7-A2D3-E6B95CB17127}" type="presOf" srcId="{5949EB5F-30C5-41DF-BADB-824C38786C95}" destId="{9E5FC2E5-9A60-4824-8562-68C12BF7375B}" srcOrd="0" destOrd="0" presId="urn:microsoft.com/office/officeart/2005/8/layout/lProcess2"/>
    <dgm:cxn modelId="{84327797-1AFF-4FD9-B1C3-66B703AA4143}" srcId="{55172734-7A92-4149-8CE9-194EA9ED4F91}" destId="{3F983823-658B-4C47-B405-5795A0E2FB60}" srcOrd="1" destOrd="0" parTransId="{2D1889EC-E7B8-47DB-8F2E-E4697331ED17}" sibTransId="{B75E19B0-92D0-4AF4-9A1C-CDE3CD0517C7}"/>
    <dgm:cxn modelId="{549A7498-3EEC-4AB1-8952-959434B9A75C}" type="presOf" srcId="{60E1AB2C-CA88-41B7-9C90-8EA8B3FF902B}" destId="{CBB28B22-7BAE-4AAE-A6B6-93C51C85B292}" srcOrd="0" destOrd="0" presId="urn:microsoft.com/office/officeart/2005/8/layout/lProcess2"/>
    <dgm:cxn modelId="{5BCAC8A2-63DA-48AB-AF28-6DE8B3051988}" srcId="{55172734-7A92-4149-8CE9-194EA9ED4F91}" destId="{54C766C9-780C-4734-8CDA-03246F41E456}" srcOrd="4" destOrd="0" parTransId="{CD9804CB-84C3-47A0-8BEC-FC01467FF8D4}" sibTransId="{C0864D00-1BEF-44C1-AC8C-72B453B99C7F}"/>
    <dgm:cxn modelId="{87B9FAAA-5767-4B85-A300-5C1DFCCC5659}" type="presOf" srcId="{54C766C9-780C-4734-8CDA-03246F41E456}" destId="{66027C29-A861-4E69-A796-9270E8A961CD}" srcOrd="1" destOrd="0" presId="urn:microsoft.com/office/officeart/2005/8/layout/lProcess2"/>
    <dgm:cxn modelId="{D57F34BB-678A-4FBB-B274-E36AB41DAA39}" srcId="{55172734-7A92-4149-8CE9-194EA9ED4F91}" destId="{448DA69B-E9FB-46DB-B5CC-595F22DB0A7F}" srcOrd="2" destOrd="0" parTransId="{340774CB-06B4-485F-97E4-F4771FEB0048}" sibTransId="{079F7EC4-CB53-4E25-ACFB-FD006F39ADAE}"/>
    <dgm:cxn modelId="{13BB64BC-3C02-4DD6-B505-384E7905385E}" type="presOf" srcId="{448DA69B-E9FB-46DB-B5CC-595F22DB0A7F}" destId="{33ED860D-A6EF-4CE9-94D6-C695A6377332}" srcOrd="0" destOrd="0" presId="urn:microsoft.com/office/officeart/2005/8/layout/lProcess2"/>
    <dgm:cxn modelId="{711114BE-D004-4C46-B706-42109CB3D0AE}" srcId="{CBB53A5F-ABD7-4E1E-8764-EEC34E5DD5CC}" destId="{DDBBB45B-5386-49B5-8AC6-C801AA215BE7}" srcOrd="0" destOrd="0" parTransId="{CC0B4F5F-6C29-4179-9A57-E799F212305E}" sibTransId="{C9D71803-8F9D-4DA0-93B1-59B9EF52A77C}"/>
    <dgm:cxn modelId="{690959C1-5D1A-4FB6-BDBE-399D2EA42790}" type="presOf" srcId="{998C0801-F470-4B36-AB21-DC5EC48A5568}" destId="{74EDB20B-EE4A-42BB-8AF4-5AF455F9B682}" srcOrd="0" destOrd="0" presId="urn:microsoft.com/office/officeart/2005/8/layout/lProcess2"/>
    <dgm:cxn modelId="{2480D6CF-B8EC-47CF-9547-109B37DF6645}" type="presOf" srcId="{448DA69B-E9FB-46DB-B5CC-595F22DB0A7F}" destId="{89A92C42-B8FE-4614-A2F0-147B3620EE64}" srcOrd="1" destOrd="0" presId="urn:microsoft.com/office/officeart/2005/8/layout/lProcess2"/>
    <dgm:cxn modelId="{EFE588E9-F78D-4E65-B9C9-624DC28CD931}" srcId="{55172734-7A92-4149-8CE9-194EA9ED4F91}" destId="{998C0801-F470-4B36-AB21-DC5EC48A5568}" srcOrd="3" destOrd="0" parTransId="{759795E9-885E-47B2-B9E2-985AEDCD5E91}" sibTransId="{D35A0E94-D88B-4559-B8EA-79120F5304B3}"/>
    <dgm:cxn modelId="{600621EE-219B-4198-9917-EA0A7A0E29BC}" srcId="{55172734-7A92-4149-8CE9-194EA9ED4F91}" destId="{CBB53A5F-ABD7-4E1E-8764-EEC34E5DD5CC}" srcOrd="0" destOrd="0" parTransId="{6E3F11A6-B218-46C5-803F-2546F4A72263}" sibTransId="{A2502F70-8EA6-4A13-A94D-42D53B87919D}"/>
    <dgm:cxn modelId="{6DB30BF8-6C7C-42AE-971B-9EAC7923B457}" srcId="{448DA69B-E9FB-46DB-B5CC-595F22DB0A7F}" destId="{60E1AB2C-CA88-41B7-9C90-8EA8B3FF902B}" srcOrd="0" destOrd="0" parTransId="{B56603E6-24E5-46A0-9E65-C460D493B684}" sibTransId="{0D0BB2AB-48BE-476F-8598-FF136F531038}"/>
    <dgm:cxn modelId="{3F8A38F8-FAE1-4697-B13C-BF24DFACDB26}" type="presOf" srcId="{4DD8B872-4E65-484F-B440-404F1EFFC6A6}" destId="{5BC6264A-D5EC-4628-9CC2-C069850A218C}" srcOrd="0" destOrd="0" presId="urn:microsoft.com/office/officeart/2005/8/layout/lProcess2"/>
    <dgm:cxn modelId="{CC61FDF9-2109-40C3-A360-EA73DBC5675B}" type="presOf" srcId="{AF4D811F-7DCD-4A6A-964A-2EA6FFEC7779}" destId="{6F853EF5-40E6-45CE-BBA2-6F8E49FFFE87}" srcOrd="0" destOrd="0" presId="urn:microsoft.com/office/officeart/2005/8/layout/lProcess2"/>
    <dgm:cxn modelId="{6BCF80B0-7836-463D-8CCD-E0705D09841A}" type="presParOf" srcId="{5F494BF6-DCE3-4AFA-BF7A-F02152C58BD4}" destId="{688A99A8-62B8-46DF-A0BB-A733E0BC58D8}" srcOrd="0" destOrd="0" presId="urn:microsoft.com/office/officeart/2005/8/layout/lProcess2"/>
    <dgm:cxn modelId="{6D2B27B1-4540-443E-8D5A-26E91A80565C}" type="presParOf" srcId="{688A99A8-62B8-46DF-A0BB-A733E0BC58D8}" destId="{BEE87667-694E-4704-8907-AE55FD13F65A}" srcOrd="0" destOrd="0" presId="urn:microsoft.com/office/officeart/2005/8/layout/lProcess2"/>
    <dgm:cxn modelId="{B7955566-F34D-421A-BEBD-31BD406BD740}" type="presParOf" srcId="{688A99A8-62B8-46DF-A0BB-A733E0BC58D8}" destId="{49F7592C-1913-42BC-B20C-43661389F05C}" srcOrd="1" destOrd="0" presId="urn:microsoft.com/office/officeart/2005/8/layout/lProcess2"/>
    <dgm:cxn modelId="{C8314133-1AF8-41ED-B7C4-7C410A047EDC}" type="presParOf" srcId="{688A99A8-62B8-46DF-A0BB-A733E0BC58D8}" destId="{C388F3C5-3B0D-4941-80BF-4B501250E199}" srcOrd="2" destOrd="0" presId="urn:microsoft.com/office/officeart/2005/8/layout/lProcess2"/>
    <dgm:cxn modelId="{F9EF7005-38DB-4091-BF24-17B48E146501}" type="presParOf" srcId="{C388F3C5-3B0D-4941-80BF-4B501250E199}" destId="{B55B65BF-EFA9-42DA-A4C2-C4B97A3DC8F6}" srcOrd="0" destOrd="0" presId="urn:microsoft.com/office/officeart/2005/8/layout/lProcess2"/>
    <dgm:cxn modelId="{887E08EE-C06F-40E1-AAA8-9795DDD4E8AD}" type="presParOf" srcId="{B55B65BF-EFA9-42DA-A4C2-C4B97A3DC8F6}" destId="{EF514BD6-599F-418A-99A1-54F6AF8A47B5}" srcOrd="0" destOrd="0" presId="urn:microsoft.com/office/officeart/2005/8/layout/lProcess2"/>
    <dgm:cxn modelId="{8C146244-705F-455F-8EF8-A8648EAD9467}" type="presParOf" srcId="{5F494BF6-DCE3-4AFA-BF7A-F02152C58BD4}" destId="{DD06B7D0-9219-46F6-8ABA-1E6A8ED6E2A7}" srcOrd="1" destOrd="0" presId="urn:microsoft.com/office/officeart/2005/8/layout/lProcess2"/>
    <dgm:cxn modelId="{239E8BD4-E9CF-4D78-A3BD-9827D42CAF31}" type="presParOf" srcId="{5F494BF6-DCE3-4AFA-BF7A-F02152C58BD4}" destId="{1218F5E5-0B8E-4DF9-89EC-C280988CFEAC}" srcOrd="2" destOrd="0" presId="urn:microsoft.com/office/officeart/2005/8/layout/lProcess2"/>
    <dgm:cxn modelId="{FDCBE375-A672-4423-AA95-BA78BA3E73D2}" type="presParOf" srcId="{1218F5E5-0B8E-4DF9-89EC-C280988CFEAC}" destId="{86E1FC13-B1B2-4447-A59E-3BB5EA500D0D}" srcOrd="0" destOrd="0" presId="urn:microsoft.com/office/officeart/2005/8/layout/lProcess2"/>
    <dgm:cxn modelId="{19BE81DC-0C8B-499A-8A2B-BB414768AAA5}" type="presParOf" srcId="{1218F5E5-0B8E-4DF9-89EC-C280988CFEAC}" destId="{4A4249D3-4A6C-4CB6-8855-54693192A687}" srcOrd="1" destOrd="0" presId="urn:microsoft.com/office/officeart/2005/8/layout/lProcess2"/>
    <dgm:cxn modelId="{783816C7-9D8D-4665-8860-EF66635DA08E}" type="presParOf" srcId="{1218F5E5-0B8E-4DF9-89EC-C280988CFEAC}" destId="{22AA58EF-06A8-4311-A1E2-AB8197BA5089}" srcOrd="2" destOrd="0" presId="urn:microsoft.com/office/officeart/2005/8/layout/lProcess2"/>
    <dgm:cxn modelId="{77646E2F-1B6F-4D28-B4F9-BE3FDD984BAC}" type="presParOf" srcId="{22AA58EF-06A8-4311-A1E2-AB8197BA5089}" destId="{802620D9-1925-4122-8A3B-35580F772D29}" srcOrd="0" destOrd="0" presId="urn:microsoft.com/office/officeart/2005/8/layout/lProcess2"/>
    <dgm:cxn modelId="{7ADF3BDE-349A-42EB-AE8D-8FDED95F9AE8}" type="presParOf" srcId="{802620D9-1925-4122-8A3B-35580F772D29}" destId="{3FA0344D-8D87-496E-A89E-6C61C7F905F1}" srcOrd="0" destOrd="0" presId="urn:microsoft.com/office/officeart/2005/8/layout/lProcess2"/>
    <dgm:cxn modelId="{15F61F2D-DFA1-4534-ABAE-37CB7A74B03C}" type="presParOf" srcId="{5F494BF6-DCE3-4AFA-BF7A-F02152C58BD4}" destId="{43725F1D-05AE-4238-9C3B-6CF9CC63A8CE}" srcOrd="3" destOrd="0" presId="urn:microsoft.com/office/officeart/2005/8/layout/lProcess2"/>
    <dgm:cxn modelId="{4CA89A73-D200-4288-9529-F9090CE53D9A}" type="presParOf" srcId="{5F494BF6-DCE3-4AFA-BF7A-F02152C58BD4}" destId="{D8F83812-ACA5-4D0F-9201-F7297A82CC08}" srcOrd="4" destOrd="0" presId="urn:microsoft.com/office/officeart/2005/8/layout/lProcess2"/>
    <dgm:cxn modelId="{7AD5C6E3-7154-48DB-BF7A-B02BB0095F19}" type="presParOf" srcId="{D8F83812-ACA5-4D0F-9201-F7297A82CC08}" destId="{33ED860D-A6EF-4CE9-94D6-C695A6377332}" srcOrd="0" destOrd="0" presId="urn:microsoft.com/office/officeart/2005/8/layout/lProcess2"/>
    <dgm:cxn modelId="{CD8D031D-06AE-4C13-90AE-E96C1B4379C6}" type="presParOf" srcId="{D8F83812-ACA5-4D0F-9201-F7297A82CC08}" destId="{89A92C42-B8FE-4614-A2F0-147B3620EE64}" srcOrd="1" destOrd="0" presId="urn:microsoft.com/office/officeart/2005/8/layout/lProcess2"/>
    <dgm:cxn modelId="{7525624C-98DB-4555-89FE-38B89C97EC1D}" type="presParOf" srcId="{D8F83812-ACA5-4D0F-9201-F7297A82CC08}" destId="{A021DC90-6CCD-47FA-B50E-20840EA83C5C}" srcOrd="2" destOrd="0" presId="urn:microsoft.com/office/officeart/2005/8/layout/lProcess2"/>
    <dgm:cxn modelId="{E0D58540-B2DD-48E6-8D71-A1EE88EF535F}" type="presParOf" srcId="{A021DC90-6CCD-47FA-B50E-20840EA83C5C}" destId="{117972B3-9AD1-4556-AF03-E478DFF24180}" srcOrd="0" destOrd="0" presId="urn:microsoft.com/office/officeart/2005/8/layout/lProcess2"/>
    <dgm:cxn modelId="{4B3BCA4E-F91F-4C49-929B-4F4576737DFA}" type="presParOf" srcId="{117972B3-9AD1-4556-AF03-E478DFF24180}" destId="{CBB28B22-7BAE-4AAE-A6B6-93C51C85B292}" srcOrd="0" destOrd="0" presId="urn:microsoft.com/office/officeart/2005/8/layout/lProcess2"/>
    <dgm:cxn modelId="{0BBA39ED-A310-4C6E-8E90-4E816B1E1DBA}" type="presParOf" srcId="{5F494BF6-DCE3-4AFA-BF7A-F02152C58BD4}" destId="{57AB3ED5-DA5A-4A6F-90AB-285768901785}" srcOrd="5" destOrd="0" presId="urn:microsoft.com/office/officeart/2005/8/layout/lProcess2"/>
    <dgm:cxn modelId="{67BD6CF3-A759-44A6-9338-FBBF5564DEF8}" type="presParOf" srcId="{5F494BF6-DCE3-4AFA-BF7A-F02152C58BD4}" destId="{3504DCC9-FDDE-4502-B372-3BDF2BA3F831}" srcOrd="6" destOrd="0" presId="urn:microsoft.com/office/officeart/2005/8/layout/lProcess2"/>
    <dgm:cxn modelId="{71162E8A-BB63-4AAF-8985-0D44E354FA32}" type="presParOf" srcId="{3504DCC9-FDDE-4502-B372-3BDF2BA3F831}" destId="{74EDB20B-EE4A-42BB-8AF4-5AF455F9B682}" srcOrd="0" destOrd="0" presId="urn:microsoft.com/office/officeart/2005/8/layout/lProcess2"/>
    <dgm:cxn modelId="{D4230D69-75F5-4B3C-AEF0-7A095EF9B0E4}" type="presParOf" srcId="{3504DCC9-FDDE-4502-B372-3BDF2BA3F831}" destId="{3A4808D3-EAE6-46EC-B1B0-DE2CC529177B}" srcOrd="1" destOrd="0" presId="urn:microsoft.com/office/officeart/2005/8/layout/lProcess2"/>
    <dgm:cxn modelId="{66E0D60C-2466-485C-BF70-987EBB2630B0}" type="presParOf" srcId="{3504DCC9-FDDE-4502-B372-3BDF2BA3F831}" destId="{7FC0A400-177D-4A43-AD01-9CC3F0CF87C9}" srcOrd="2" destOrd="0" presId="urn:microsoft.com/office/officeart/2005/8/layout/lProcess2"/>
    <dgm:cxn modelId="{BF83F7DE-FCA8-4BA3-BE02-6686AABC1673}" type="presParOf" srcId="{7FC0A400-177D-4A43-AD01-9CC3F0CF87C9}" destId="{5CBCD652-6CB0-4B91-92F2-72EC52054376}" srcOrd="0" destOrd="0" presId="urn:microsoft.com/office/officeart/2005/8/layout/lProcess2"/>
    <dgm:cxn modelId="{990593DB-4D25-44BB-8D0F-C389D1EE48D0}" type="presParOf" srcId="{5CBCD652-6CB0-4B91-92F2-72EC52054376}" destId="{DD427644-A3E4-49E0-914A-281A347F153C}" srcOrd="0" destOrd="0" presId="urn:microsoft.com/office/officeart/2005/8/layout/lProcess2"/>
    <dgm:cxn modelId="{ACEE6859-1A4D-40BA-94D2-C36FFFB7B431}" type="presParOf" srcId="{5F494BF6-DCE3-4AFA-BF7A-F02152C58BD4}" destId="{198EE306-3829-4118-B3BD-AFE4FC6D8999}" srcOrd="7" destOrd="0" presId="urn:microsoft.com/office/officeart/2005/8/layout/lProcess2"/>
    <dgm:cxn modelId="{2E3D310B-84FC-4CE1-9E11-D4A6A7D2341E}" type="presParOf" srcId="{5F494BF6-DCE3-4AFA-BF7A-F02152C58BD4}" destId="{BD0744FF-516D-4C6D-A426-22611520BEE2}" srcOrd="8" destOrd="0" presId="urn:microsoft.com/office/officeart/2005/8/layout/lProcess2"/>
    <dgm:cxn modelId="{5C6A25E7-7CCF-46C7-82A0-C6F586EF2132}" type="presParOf" srcId="{BD0744FF-516D-4C6D-A426-22611520BEE2}" destId="{11A4DD36-399E-4B41-B001-E22AB2040A5B}" srcOrd="0" destOrd="0" presId="urn:microsoft.com/office/officeart/2005/8/layout/lProcess2"/>
    <dgm:cxn modelId="{8464C929-E802-4F2D-A296-AD5A2E3C9546}" type="presParOf" srcId="{BD0744FF-516D-4C6D-A426-22611520BEE2}" destId="{66027C29-A861-4E69-A796-9270E8A961CD}" srcOrd="1" destOrd="0" presId="urn:microsoft.com/office/officeart/2005/8/layout/lProcess2"/>
    <dgm:cxn modelId="{DD6343B5-8711-4B94-8E37-5ABEF81249D4}" type="presParOf" srcId="{BD0744FF-516D-4C6D-A426-22611520BEE2}" destId="{FF05FC67-A06D-44C5-BF42-8C70888599BD}" srcOrd="2" destOrd="0" presId="urn:microsoft.com/office/officeart/2005/8/layout/lProcess2"/>
    <dgm:cxn modelId="{732532EB-38D2-4205-81CA-FCC3B5F83F26}" type="presParOf" srcId="{FF05FC67-A06D-44C5-BF42-8C70888599BD}" destId="{1205C227-C0EB-4ACC-8461-DEE8B392D6CE}" srcOrd="0" destOrd="0" presId="urn:microsoft.com/office/officeart/2005/8/layout/lProcess2"/>
    <dgm:cxn modelId="{3019264B-4AC3-46E7-955F-602CBA128EAE}" type="presParOf" srcId="{1205C227-C0EB-4ACC-8461-DEE8B392D6CE}" destId="{6F853EF5-40E6-45CE-BBA2-6F8E49FFFE87}" srcOrd="0" destOrd="0" presId="urn:microsoft.com/office/officeart/2005/8/layout/lProcess2"/>
    <dgm:cxn modelId="{FF1E5AC7-D98C-46B1-8AE7-48EB30527B3C}" type="presParOf" srcId="{5F494BF6-DCE3-4AFA-BF7A-F02152C58BD4}" destId="{36FEA701-9316-4E2D-99E7-9AC969376D99}" srcOrd="9" destOrd="0" presId="urn:microsoft.com/office/officeart/2005/8/layout/lProcess2"/>
    <dgm:cxn modelId="{5E25D98F-9158-4AE3-B04E-8983E0D40842}" type="presParOf" srcId="{5F494BF6-DCE3-4AFA-BF7A-F02152C58BD4}" destId="{6CC8D914-FEEA-49E2-B72B-BDE15195289B}" srcOrd="10" destOrd="0" presId="urn:microsoft.com/office/officeart/2005/8/layout/lProcess2"/>
    <dgm:cxn modelId="{5E863A47-3E37-4B1E-878B-70AFF41CC29C}" type="presParOf" srcId="{6CC8D914-FEEA-49E2-B72B-BDE15195289B}" destId="{9E5FC2E5-9A60-4824-8562-68C12BF7375B}" srcOrd="0" destOrd="0" presId="urn:microsoft.com/office/officeart/2005/8/layout/lProcess2"/>
    <dgm:cxn modelId="{A9FFC790-11DE-4909-8830-692B902CAA1B}" type="presParOf" srcId="{6CC8D914-FEEA-49E2-B72B-BDE15195289B}" destId="{44670B98-958A-48D3-8E96-86925ABE5279}" srcOrd="1" destOrd="0" presId="urn:microsoft.com/office/officeart/2005/8/layout/lProcess2"/>
    <dgm:cxn modelId="{CEC85F54-C1BB-458B-BEC3-B6FED0DC0E10}" type="presParOf" srcId="{6CC8D914-FEEA-49E2-B72B-BDE15195289B}" destId="{0A852EFE-BDC4-47F6-BD2E-53825F9980AD}" srcOrd="2" destOrd="0" presId="urn:microsoft.com/office/officeart/2005/8/layout/lProcess2"/>
    <dgm:cxn modelId="{EF5EB0A6-8D0E-45F7-B52B-CEE411E16669}" type="presParOf" srcId="{0A852EFE-BDC4-47F6-BD2E-53825F9980AD}" destId="{A20E0A4B-6109-4524-9599-19CEA699E6C6}" srcOrd="0" destOrd="0" presId="urn:microsoft.com/office/officeart/2005/8/layout/lProcess2"/>
    <dgm:cxn modelId="{C180E105-22BD-4EA0-B857-1D1BA2B6E597}" type="presParOf" srcId="{A20E0A4B-6109-4524-9599-19CEA699E6C6}" destId="{5BC6264A-D5EC-4628-9CC2-C069850A218C}" srcOrd="0" destOrd="0" presId="urn:microsoft.com/office/officeart/2005/8/layout/lProcess2"/>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F5C3AE0-B9C0-4517-ABF4-5D328E7B8C93}" type="doc">
      <dgm:prSet loTypeId="urn:microsoft.com/office/officeart/2008/layout/HexagonCluster" loCatId="relationship" qsTypeId="urn:microsoft.com/office/officeart/2005/8/quickstyle/simple1" qsCatId="simple" csTypeId="urn:microsoft.com/office/officeart/2005/8/colors/colorful1" csCatId="colorful" phldr="1"/>
      <dgm:spPr/>
      <dgm:t>
        <a:bodyPr/>
        <a:lstStyle/>
        <a:p>
          <a:endParaRPr lang="en-US"/>
        </a:p>
      </dgm:t>
    </dgm:pt>
    <dgm:pt modelId="{838B76A2-B5D5-4E63-887C-2D266D1FA49E}">
      <dgm:prSet phldrT="[Text]"/>
      <dgm:spPr/>
      <dgm:t>
        <a:bodyPr/>
        <a:lstStyle/>
        <a:p>
          <a:r>
            <a:rPr lang="en-US"/>
            <a:t>Explanatory</a:t>
          </a:r>
        </a:p>
      </dgm:t>
    </dgm:pt>
    <dgm:pt modelId="{201CDC2C-A48F-47F3-BE95-DF4EC7B749AD}" type="parTrans" cxnId="{122E17E4-DD6F-4F0F-A765-3AAEC6DEB06C}">
      <dgm:prSet/>
      <dgm:spPr/>
      <dgm:t>
        <a:bodyPr/>
        <a:lstStyle/>
        <a:p>
          <a:endParaRPr lang="en-US"/>
        </a:p>
      </dgm:t>
    </dgm:pt>
    <dgm:pt modelId="{1606BA7A-4FFF-4FE9-A836-D213DBA0C30E}" type="sibTrans" cxnId="{122E17E4-DD6F-4F0F-A765-3AAEC6DEB06C}">
      <dgm:prSet/>
      <dgm:spPr>
        <a:blipFill>
          <a:blip xmlns:r="http://schemas.openxmlformats.org/officeDocument/2006/relationships" r:embed="rId1"/>
          <a:srcRect/>
          <a:stretch>
            <a:fillRect t="-8000" b="-8000"/>
          </a:stretch>
        </a:blipFill>
      </dgm:spPr>
      <dgm:t>
        <a:bodyPr/>
        <a:lstStyle/>
        <a:p>
          <a:endParaRPr lang="en-US"/>
        </a:p>
      </dgm:t>
    </dgm:pt>
    <dgm:pt modelId="{B0DEF4A7-B876-4236-B2A1-8CD8F49F9944}">
      <dgm:prSet phldrT="[Text]"/>
      <dgm:spPr/>
      <dgm:t>
        <a:bodyPr/>
        <a:lstStyle/>
        <a:p>
          <a:r>
            <a:rPr lang="en-US"/>
            <a:t>Descriptive</a:t>
          </a:r>
        </a:p>
      </dgm:t>
    </dgm:pt>
    <dgm:pt modelId="{36F29943-8340-49CA-A70C-D89D13ECEBEA}" type="parTrans" cxnId="{9475DA20-6517-475A-A736-BDE1A254BA02}">
      <dgm:prSet/>
      <dgm:spPr/>
      <dgm:t>
        <a:bodyPr/>
        <a:lstStyle/>
        <a:p>
          <a:endParaRPr lang="en-US"/>
        </a:p>
      </dgm:t>
    </dgm:pt>
    <dgm:pt modelId="{13B78AD9-20C4-41A2-B38B-4893CAE47EDD}" type="sibTrans" cxnId="{9475DA20-6517-475A-A736-BDE1A254BA02}">
      <dgm:prSet/>
      <dgm:spPr>
        <a:blipFill>
          <a:blip xmlns:r="http://schemas.openxmlformats.org/officeDocument/2006/relationships" r:embed="rId2"/>
          <a:srcRect/>
          <a:stretch>
            <a:fillRect t="-8000" b="-8000"/>
          </a:stretch>
        </a:blipFill>
      </dgm:spPr>
      <dgm:t>
        <a:bodyPr/>
        <a:lstStyle/>
        <a:p>
          <a:endParaRPr lang="en-US"/>
        </a:p>
      </dgm:t>
    </dgm:pt>
    <dgm:pt modelId="{E72DA304-8AC5-4637-8139-5008B5BE7C3D}">
      <dgm:prSet phldrT="[Text]"/>
      <dgm:spPr/>
      <dgm:t>
        <a:bodyPr/>
        <a:lstStyle/>
        <a:p>
          <a:r>
            <a:rPr lang="en-US"/>
            <a:t>Exploratory</a:t>
          </a:r>
        </a:p>
      </dgm:t>
    </dgm:pt>
    <dgm:pt modelId="{EFD7F0E9-EBE7-443D-9D40-8D21D316075D}" type="parTrans" cxnId="{44C80AE8-9F31-4978-8106-8AFB6DAA0200}">
      <dgm:prSet/>
      <dgm:spPr/>
      <dgm:t>
        <a:bodyPr/>
        <a:lstStyle/>
        <a:p>
          <a:endParaRPr lang="en-US"/>
        </a:p>
      </dgm:t>
    </dgm:pt>
    <dgm:pt modelId="{F0A159D2-B899-43FF-88FC-C91868C6C900}" type="sibTrans" cxnId="{44C80AE8-9F31-4978-8106-8AFB6DAA0200}">
      <dgm:prSet/>
      <dgm:spPr>
        <a:blipFill>
          <a:blip xmlns:r="http://schemas.openxmlformats.org/officeDocument/2006/relationships" r:embed="rId3"/>
          <a:srcRect/>
          <a:stretch>
            <a:fillRect t="-8000" b="-8000"/>
          </a:stretch>
        </a:blipFill>
      </dgm:spPr>
      <dgm:t>
        <a:bodyPr/>
        <a:lstStyle/>
        <a:p>
          <a:endParaRPr lang="en-US"/>
        </a:p>
      </dgm:t>
    </dgm:pt>
    <dgm:pt modelId="{0CE59BCE-8312-42E2-827F-F37AE1428138}" type="pres">
      <dgm:prSet presAssocID="{8F5C3AE0-B9C0-4517-ABF4-5D328E7B8C93}" presName="Name0" presStyleCnt="0">
        <dgm:presLayoutVars>
          <dgm:chMax val="21"/>
          <dgm:chPref val="21"/>
        </dgm:presLayoutVars>
      </dgm:prSet>
      <dgm:spPr/>
    </dgm:pt>
    <dgm:pt modelId="{9B3872C2-6A9A-4B73-8BEB-DFE657DCA2B0}" type="pres">
      <dgm:prSet presAssocID="{838B76A2-B5D5-4E63-887C-2D266D1FA49E}" presName="text1" presStyleCnt="0"/>
      <dgm:spPr/>
    </dgm:pt>
    <dgm:pt modelId="{E9503ED9-868D-40CA-930B-3BE6AB4695F3}" type="pres">
      <dgm:prSet presAssocID="{838B76A2-B5D5-4E63-887C-2D266D1FA49E}" presName="textRepeatNode" presStyleLbl="alignNode1" presStyleIdx="0" presStyleCnt="3">
        <dgm:presLayoutVars>
          <dgm:chMax val="0"/>
          <dgm:chPref val="0"/>
          <dgm:bulletEnabled val="1"/>
        </dgm:presLayoutVars>
      </dgm:prSet>
      <dgm:spPr/>
    </dgm:pt>
    <dgm:pt modelId="{FFFDEE78-4128-4BF4-91F9-5F09410F5CEE}" type="pres">
      <dgm:prSet presAssocID="{838B76A2-B5D5-4E63-887C-2D266D1FA49E}" presName="textaccent1" presStyleCnt="0"/>
      <dgm:spPr/>
    </dgm:pt>
    <dgm:pt modelId="{F0EC6EC8-1690-4B97-B1CD-49E0556BF51D}" type="pres">
      <dgm:prSet presAssocID="{838B76A2-B5D5-4E63-887C-2D266D1FA49E}" presName="accentRepeatNode" presStyleLbl="solidAlignAcc1" presStyleIdx="0" presStyleCnt="6"/>
      <dgm:spPr/>
    </dgm:pt>
    <dgm:pt modelId="{21EC7BA0-7E57-4C10-B952-A8DE39F40170}" type="pres">
      <dgm:prSet presAssocID="{1606BA7A-4FFF-4FE9-A836-D213DBA0C30E}" presName="image1" presStyleCnt="0"/>
      <dgm:spPr/>
    </dgm:pt>
    <dgm:pt modelId="{F87165F1-C756-4D0C-B669-E44ADBB3F5EB}" type="pres">
      <dgm:prSet presAssocID="{1606BA7A-4FFF-4FE9-A836-D213DBA0C30E}" presName="imageRepeatNode" presStyleLbl="alignAcc1" presStyleIdx="0" presStyleCnt="3"/>
      <dgm:spPr/>
    </dgm:pt>
    <dgm:pt modelId="{E6FDA99C-C482-4629-9C59-C883390AAFA3}" type="pres">
      <dgm:prSet presAssocID="{1606BA7A-4FFF-4FE9-A836-D213DBA0C30E}" presName="imageaccent1" presStyleCnt="0"/>
      <dgm:spPr/>
    </dgm:pt>
    <dgm:pt modelId="{2D165675-C960-42FB-ADAB-63F58FB342E7}" type="pres">
      <dgm:prSet presAssocID="{1606BA7A-4FFF-4FE9-A836-D213DBA0C30E}" presName="accentRepeatNode" presStyleLbl="solidAlignAcc1" presStyleIdx="1" presStyleCnt="6"/>
      <dgm:spPr/>
    </dgm:pt>
    <dgm:pt modelId="{B6D83730-8C2B-4AA0-BF0C-B0F81A8A0C8F}" type="pres">
      <dgm:prSet presAssocID="{B0DEF4A7-B876-4236-B2A1-8CD8F49F9944}" presName="text2" presStyleCnt="0"/>
      <dgm:spPr/>
    </dgm:pt>
    <dgm:pt modelId="{A1F1D6BA-D1A7-4AA6-BDA0-5E7AFD0F7DFE}" type="pres">
      <dgm:prSet presAssocID="{B0DEF4A7-B876-4236-B2A1-8CD8F49F9944}" presName="textRepeatNode" presStyleLbl="alignNode1" presStyleIdx="1" presStyleCnt="3">
        <dgm:presLayoutVars>
          <dgm:chMax val="0"/>
          <dgm:chPref val="0"/>
          <dgm:bulletEnabled val="1"/>
        </dgm:presLayoutVars>
      </dgm:prSet>
      <dgm:spPr/>
    </dgm:pt>
    <dgm:pt modelId="{0B6333E6-99E0-4DFF-87B3-F2017E8FDF6D}" type="pres">
      <dgm:prSet presAssocID="{B0DEF4A7-B876-4236-B2A1-8CD8F49F9944}" presName="textaccent2" presStyleCnt="0"/>
      <dgm:spPr/>
    </dgm:pt>
    <dgm:pt modelId="{C8CE781F-7837-4D96-86F0-6016A96E2175}" type="pres">
      <dgm:prSet presAssocID="{B0DEF4A7-B876-4236-B2A1-8CD8F49F9944}" presName="accentRepeatNode" presStyleLbl="solidAlignAcc1" presStyleIdx="2" presStyleCnt="6"/>
      <dgm:spPr/>
    </dgm:pt>
    <dgm:pt modelId="{C6675917-A305-428E-8A38-A31B134F219A}" type="pres">
      <dgm:prSet presAssocID="{13B78AD9-20C4-41A2-B38B-4893CAE47EDD}" presName="image2" presStyleCnt="0"/>
      <dgm:spPr/>
    </dgm:pt>
    <dgm:pt modelId="{9D95934B-33B5-4F00-BB42-89BF489F4678}" type="pres">
      <dgm:prSet presAssocID="{13B78AD9-20C4-41A2-B38B-4893CAE47EDD}" presName="imageRepeatNode" presStyleLbl="alignAcc1" presStyleIdx="1" presStyleCnt="3"/>
      <dgm:spPr/>
    </dgm:pt>
    <dgm:pt modelId="{E5AC07C7-919C-43AB-A146-A6C35464A5DA}" type="pres">
      <dgm:prSet presAssocID="{13B78AD9-20C4-41A2-B38B-4893CAE47EDD}" presName="imageaccent2" presStyleCnt="0"/>
      <dgm:spPr/>
    </dgm:pt>
    <dgm:pt modelId="{C2CC4417-45AC-40E9-9914-D7794CE772FE}" type="pres">
      <dgm:prSet presAssocID="{13B78AD9-20C4-41A2-B38B-4893CAE47EDD}" presName="accentRepeatNode" presStyleLbl="solidAlignAcc1" presStyleIdx="3" presStyleCnt="6"/>
      <dgm:spPr/>
    </dgm:pt>
    <dgm:pt modelId="{F08E9C14-2A97-43B9-A861-17A5D065FAD0}" type="pres">
      <dgm:prSet presAssocID="{E72DA304-8AC5-4637-8139-5008B5BE7C3D}" presName="text3" presStyleCnt="0"/>
      <dgm:spPr/>
    </dgm:pt>
    <dgm:pt modelId="{75A0ABAD-7CB8-4123-92C7-F5DC050DA631}" type="pres">
      <dgm:prSet presAssocID="{E72DA304-8AC5-4637-8139-5008B5BE7C3D}" presName="textRepeatNode" presStyleLbl="alignNode1" presStyleIdx="2" presStyleCnt="3">
        <dgm:presLayoutVars>
          <dgm:chMax val="0"/>
          <dgm:chPref val="0"/>
          <dgm:bulletEnabled val="1"/>
        </dgm:presLayoutVars>
      </dgm:prSet>
      <dgm:spPr/>
    </dgm:pt>
    <dgm:pt modelId="{B4BC4A8C-C35D-42C2-A564-9BCBEE10D874}" type="pres">
      <dgm:prSet presAssocID="{E72DA304-8AC5-4637-8139-5008B5BE7C3D}" presName="textaccent3" presStyleCnt="0"/>
      <dgm:spPr/>
    </dgm:pt>
    <dgm:pt modelId="{B2550EDF-B249-4205-AD91-8E6FA49EF8BC}" type="pres">
      <dgm:prSet presAssocID="{E72DA304-8AC5-4637-8139-5008B5BE7C3D}" presName="accentRepeatNode" presStyleLbl="solidAlignAcc1" presStyleIdx="4" presStyleCnt="6"/>
      <dgm:spPr/>
    </dgm:pt>
    <dgm:pt modelId="{EE5665F2-85EB-4318-A14F-99D9F9DCF0E5}" type="pres">
      <dgm:prSet presAssocID="{F0A159D2-B899-43FF-88FC-C91868C6C900}" presName="image3" presStyleCnt="0"/>
      <dgm:spPr/>
    </dgm:pt>
    <dgm:pt modelId="{998EEB00-6E2D-4439-9220-EB8A86E51A58}" type="pres">
      <dgm:prSet presAssocID="{F0A159D2-B899-43FF-88FC-C91868C6C900}" presName="imageRepeatNode" presStyleLbl="alignAcc1" presStyleIdx="2" presStyleCnt="3"/>
      <dgm:spPr/>
    </dgm:pt>
    <dgm:pt modelId="{36AA051D-2DC0-4163-BB08-791B20833E83}" type="pres">
      <dgm:prSet presAssocID="{F0A159D2-B899-43FF-88FC-C91868C6C900}" presName="imageaccent3" presStyleCnt="0"/>
      <dgm:spPr/>
    </dgm:pt>
    <dgm:pt modelId="{1084AB22-365E-432B-92BC-70F53658397E}" type="pres">
      <dgm:prSet presAssocID="{F0A159D2-B899-43FF-88FC-C91868C6C900}" presName="accentRepeatNode" presStyleLbl="solidAlignAcc1" presStyleIdx="5" presStyleCnt="6"/>
      <dgm:spPr/>
    </dgm:pt>
  </dgm:ptLst>
  <dgm:cxnLst>
    <dgm:cxn modelId="{9475DA20-6517-475A-A736-BDE1A254BA02}" srcId="{8F5C3AE0-B9C0-4517-ABF4-5D328E7B8C93}" destId="{B0DEF4A7-B876-4236-B2A1-8CD8F49F9944}" srcOrd="1" destOrd="0" parTransId="{36F29943-8340-49CA-A70C-D89D13ECEBEA}" sibTransId="{13B78AD9-20C4-41A2-B38B-4893CAE47EDD}"/>
    <dgm:cxn modelId="{20989322-DEC2-408C-BA37-CD162590D243}" type="presOf" srcId="{8F5C3AE0-B9C0-4517-ABF4-5D328E7B8C93}" destId="{0CE59BCE-8312-42E2-827F-F37AE1428138}" srcOrd="0" destOrd="0" presId="urn:microsoft.com/office/officeart/2008/layout/HexagonCluster"/>
    <dgm:cxn modelId="{5A54566B-00FF-46A3-9598-95BE091D585C}" type="presOf" srcId="{E72DA304-8AC5-4637-8139-5008B5BE7C3D}" destId="{75A0ABAD-7CB8-4123-92C7-F5DC050DA631}" srcOrd="0" destOrd="0" presId="urn:microsoft.com/office/officeart/2008/layout/HexagonCluster"/>
    <dgm:cxn modelId="{DA484B55-E26F-4D67-A44D-F7E5B96163C2}" type="presOf" srcId="{838B76A2-B5D5-4E63-887C-2D266D1FA49E}" destId="{E9503ED9-868D-40CA-930B-3BE6AB4695F3}" srcOrd="0" destOrd="0" presId="urn:microsoft.com/office/officeart/2008/layout/HexagonCluster"/>
    <dgm:cxn modelId="{006740A5-FF70-40F9-99C8-2EFF759078AB}" type="presOf" srcId="{13B78AD9-20C4-41A2-B38B-4893CAE47EDD}" destId="{9D95934B-33B5-4F00-BB42-89BF489F4678}" srcOrd="0" destOrd="0" presId="urn:microsoft.com/office/officeart/2008/layout/HexagonCluster"/>
    <dgm:cxn modelId="{2E60E1B4-316D-4296-BFAA-08F39AF050F1}" type="presOf" srcId="{1606BA7A-4FFF-4FE9-A836-D213DBA0C30E}" destId="{F87165F1-C756-4D0C-B669-E44ADBB3F5EB}" srcOrd="0" destOrd="0" presId="urn:microsoft.com/office/officeart/2008/layout/HexagonCluster"/>
    <dgm:cxn modelId="{BFDC06BF-CAEA-46D5-9FA4-F042DA5A6CF6}" type="presOf" srcId="{B0DEF4A7-B876-4236-B2A1-8CD8F49F9944}" destId="{A1F1D6BA-D1A7-4AA6-BDA0-5E7AFD0F7DFE}" srcOrd="0" destOrd="0" presId="urn:microsoft.com/office/officeart/2008/layout/HexagonCluster"/>
    <dgm:cxn modelId="{122E17E4-DD6F-4F0F-A765-3AAEC6DEB06C}" srcId="{8F5C3AE0-B9C0-4517-ABF4-5D328E7B8C93}" destId="{838B76A2-B5D5-4E63-887C-2D266D1FA49E}" srcOrd="0" destOrd="0" parTransId="{201CDC2C-A48F-47F3-BE95-DF4EC7B749AD}" sibTransId="{1606BA7A-4FFF-4FE9-A836-D213DBA0C30E}"/>
    <dgm:cxn modelId="{44C80AE8-9F31-4978-8106-8AFB6DAA0200}" srcId="{8F5C3AE0-B9C0-4517-ABF4-5D328E7B8C93}" destId="{E72DA304-8AC5-4637-8139-5008B5BE7C3D}" srcOrd="2" destOrd="0" parTransId="{EFD7F0E9-EBE7-443D-9D40-8D21D316075D}" sibTransId="{F0A159D2-B899-43FF-88FC-C91868C6C900}"/>
    <dgm:cxn modelId="{C9027FF6-766D-4432-B1E7-50AD93738468}" type="presOf" srcId="{F0A159D2-B899-43FF-88FC-C91868C6C900}" destId="{998EEB00-6E2D-4439-9220-EB8A86E51A58}" srcOrd="0" destOrd="0" presId="urn:microsoft.com/office/officeart/2008/layout/HexagonCluster"/>
    <dgm:cxn modelId="{1BC9D007-91FA-422F-A765-70AE4394885C}" type="presParOf" srcId="{0CE59BCE-8312-42E2-827F-F37AE1428138}" destId="{9B3872C2-6A9A-4B73-8BEB-DFE657DCA2B0}" srcOrd="0" destOrd="0" presId="urn:microsoft.com/office/officeart/2008/layout/HexagonCluster"/>
    <dgm:cxn modelId="{37575D82-5E54-4E6B-8CA8-D6C8980B787D}" type="presParOf" srcId="{9B3872C2-6A9A-4B73-8BEB-DFE657DCA2B0}" destId="{E9503ED9-868D-40CA-930B-3BE6AB4695F3}" srcOrd="0" destOrd="0" presId="urn:microsoft.com/office/officeart/2008/layout/HexagonCluster"/>
    <dgm:cxn modelId="{29190258-12D4-494E-92F5-B299AC0D9447}" type="presParOf" srcId="{0CE59BCE-8312-42E2-827F-F37AE1428138}" destId="{FFFDEE78-4128-4BF4-91F9-5F09410F5CEE}" srcOrd="1" destOrd="0" presId="urn:microsoft.com/office/officeart/2008/layout/HexagonCluster"/>
    <dgm:cxn modelId="{AC101A7D-A476-4EED-B3DA-9F95F8F7A22E}" type="presParOf" srcId="{FFFDEE78-4128-4BF4-91F9-5F09410F5CEE}" destId="{F0EC6EC8-1690-4B97-B1CD-49E0556BF51D}" srcOrd="0" destOrd="0" presId="urn:microsoft.com/office/officeart/2008/layout/HexagonCluster"/>
    <dgm:cxn modelId="{9DB67E4A-CA1D-4E7C-BC8B-BD055FEF5B41}" type="presParOf" srcId="{0CE59BCE-8312-42E2-827F-F37AE1428138}" destId="{21EC7BA0-7E57-4C10-B952-A8DE39F40170}" srcOrd="2" destOrd="0" presId="urn:microsoft.com/office/officeart/2008/layout/HexagonCluster"/>
    <dgm:cxn modelId="{7C97F99D-49AB-471D-8750-32E7AF5D9BB0}" type="presParOf" srcId="{21EC7BA0-7E57-4C10-B952-A8DE39F40170}" destId="{F87165F1-C756-4D0C-B669-E44ADBB3F5EB}" srcOrd="0" destOrd="0" presId="urn:microsoft.com/office/officeart/2008/layout/HexagonCluster"/>
    <dgm:cxn modelId="{3E9814DB-7C16-43CB-9552-B3DDC5C46514}" type="presParOf" srcId="{0CE59BCE-8312-42E2-827F-F37AE1428138}" destId="{E6FDA99C-C482-4629-9C59-C883390AAFA3}" srcOrd="3" destOrd="0" presId="urn:microsoft.com/office/officeart/2008/layout/HexagonCluster"/>
    <dgm:cxn modelId="{BFACF424-DA04-44CB-BB3B-D98DEDA6805A}" type="presParOf" srcId="{E6FDA99C-C482-4629-9C59-C883390AAFA3}" destId="{2D165675-C960-42FB-ADAB-63F58FB342E7}" srcOrd="0" destOrd="0" presId="urn:microsoft.com/office/officeart/2008/layout/HexagonCluster"/>
    <dgm:cxn modelId="{7A2013AE-E1B9-4E67-80C7-B7F61ECB1462}" type="presParOf" srcId="{0CE59BCE-8312-42E2-827F-F37AE1428138}" destId="{B6D83730-8C2B-4AA0-BF0C-B0F81A8A0C8F}" srcOrd="4" destOrd="0" presId="urn:microsoft.com/office/officeart/2008/layout/HexagonCluster"/>
    <dgm:cxn modelId="{097706F6-9816-4521-B162-D337426C9155}" type="presParOf" srcId="{B6D83730-8C2B-4AA0-BF0C-B0F81A8A0C8F}" destId="{A1F1D6BA-D1A7-4AA6-BDA0-5E7AFD0F7DFE}" srcOrd="0" destOrd="0" presId="urn:microsoft.com/office/officeart/2008/layout/HexagonCluster"/>
    <dgm:cxn modelId="{3BC11DE8-E938-4354-A4A5-705706238B11}" type="presParOf" srcId="{0CE59BCE-8312-42E2-827F-F37AE1428138}" destId="{0B6333E6-99E0-4DFF-87B3-F2017E8FDF6D}" srcOrd="5" destOrd="0" presId="urn:microsoft.com/office/officeart/2008/layout/HexagonCluster"/>
    <dgm:cxn modelId="{94B851D4-F30A-4B4E-A637-08E7B0E59B86}" type="presParOf" srcId="{0B6333E6-99E0-4DFF-87B3-F2017E8FDF6D}" destId="{C8CE781F-7837-4D96-86F0-6016A96E2175}" srcOrd="0" destOrd="0" presId="urn:microsoft.com/office/officeart/2008/layout/HexagonCluster"/>
    <dgm:cxn modelId="{894ED012-2D80-4815-895E-AF927369E7AB}" type="presParOf" srcId="{0CE59BCE-8312-42E2-827F-F37AE1428138}" destId="{C6675917-A305-428E-8A38-A31B134F219A}" srcOrd="6" destOrd="0" presId="urn:microsoft.com/office/officeart/2008/layout/HexagonCluster"/>
    <dgm:cxn modelId="{1905372A-E640-4BE4-A7B2-7F02DD2DBED1}" type="presParOf" srcId="{C6675917-A305-428E-8A38-A31B134F219A}" destId="{9D95934B-33B5-4F00-BB42-89BF489F4678}" srcOrd="0" destOrd="0" presId="urn:microsoft.com/office/officeart/2008/layout/HexagonCluster"/>
    <dgm:cxn modelId="{47A8D8DC-018C-4BCD-A423-FDE84C15AD67}" type="presParOf" srcId="{0CE59BCE-8312-42E2-827F-F37AE1428138}" destId="{E5AC07C7-919C-43AB-A146-A6C35464A5DA}" srcOrd="7" destOrd="0" presId="urn:microsoft.com/office/officeart/2008/layout/HexagonCluster"/>
    <dgm:cxn modelId="{E158E186-8A0B-4EBA-AA01-13245D0A0CEB}" type="presParOf" srcId="{E5AC07C7-919C-43AB-A146-A6C35464A5DA}" destId="{C2CC4417-45AC-40E9-9914-D7794CE772FE}" srcOrd="0" destOrd="0" presId="urn:microsoft.com/office/officeart/2008/layout/HexagonCluster"/>
    <dgm:cxn modelId="{82B3DAAD-6FCE-421F-B1C9-879607E6ADE5}" type="presParOf" srcId="{0CE59BCE-8312-42E2-827F-F37AE1428138}" destId="{F08E9C14-2A97-43B9-A861-17A5D065FAD0}" srcOrd="8" destOrd="0" presId="urn:microsoft.com/office/officeart/2008/layout/HexagonCluster"/>
    <dgm:cxn modelId="{F3559220-4066-462D-A27E-23500EA1A746}" type="presParOf" srcId="{F08E9C14-2A97-43B9-A861-17A5D065FAD0}" destId="{75A0ABAD-7CB8-4123-92C7-F5DC050DA631}" srcOrd="0" destOrd="0" presId="urn:microsoft.com/office/officeart/2008/layout/HexagonCluster"/>
    <dgm:cxn modelId="{93D36EE7-6213-4A63-AB96-271F725BA31B}" type="presParOf" srcId="{0CE59BCE-8312-42E2-827F-F37AE1428138}" destId="{B4BC4A8C-C35D-42C2-A564-9BCBEE10D874}" srcOrd="9" destOrd="0" presId="urn:microsoft.com/office/officeart/2008/layout/HexagonCluster"/>
    <dgm:cxn modelId="{92F2FF9B-C17E-4235-AB40-54FB36762596}" type="presParOf" srcId="{B4BC4A8C-C35D-42C2-A564-9BCBEE10D874}" destId="{B2550EDF-B249-4205-AD91-8E6FA49EF8BC}" srcOrd="0" destOrd="0" presId="urn:microsoft.com/office/officeart/2008/layout/HexagonCluster"/>
    <dgm:cxn modelId="{331DADE3-0905-4291-A190-E5ECF35780F5}" type="presParOf" srcId="{0CE59BCE-8312-42E2-827F-F37AE1428138}" destId="{EE5665F2-85EB-4318-A14F-99D9F9DCF0E5}" srcOrd="10" destOrd="0" presId="urn:microsoft.com/office/officeart/2008/layout/HexagonCluster"/>
    <dgm:cxn modelId="{9169484C-A439-4C38-89F4-3EE5697AEFAE}" type="presParOf" srcId="{EE5665F2-85EB-4318-A14F-99D9F9DCF0E5}" destId="{998EEB00-6E2D-4439-9220-EB8A86E51A58}" srcOrd="0" destOrd="0" presId="urn:microsoft.com/office/officeart/2008/layout/HexagonCluster"/>
    <dgm:cxn modelId="{F62BD68E-3A23-4878-8E53-9337F1AEA899}" type="presParOf" srcId="{0CE59BCE-8312-42E2-827F-F37AE1428138}" destId="{36AA051D-2DC0-4163-BB08-791B20833E83}" srcOrd="11" destOrd="0" presId="urn:microsoft.com/office/officeart/2008/layout/HexagonCluster"/>
    <dgm:cxn modelId="{04AFAE52-B8BF-49DA-AC83-964E01AFB87A}" type="presParOf" srcId="{36AA051D-2DC0-4163-BB08-791B20833E83}" destId="{1084AB22-365E-432B-92BC-70F53658397E}" srcOrd="0" destOrd="0" presId="urn:microsoft.com/office/officeart/2008/layout/HexagonCluster"/>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0DF8717C-C9F0-4821-904D-5B6115A14F96}" type="doc">
      <dgm:prSet loTypeId="urn:microsoft.com/office/officeart/2008/layout/HexagonCluster" loCatId="relationship" qsTypeId="urn:microsoft.com/office/officeart/2005/8/quickstyle/simple1" qsCatId="simple" csTypeId="urn:microsoft.com/office/officeart/2005/8/colors/accent1_2" csCatId="accent1" phldr="1"/>
      <dgm:spPr/>
      <dgm:t>
        <a:bodyPr/>
        <a:lstStyle/>
        <a:p>
          <a:endParaRPr lang="en-US"/>
        </a:p>
      </dgm:t>
    </dgm:pt>
    <dgm:pt modelId="{09B0AE32-50C9-4CD4-B726-B29046CD2447}">
      <dgm:prSet phldrT="[Text]"/>
      <dgm:spPr/>
      <dgm:t>
        <a:bodyPr/>
        <a:lstStyle/>
        <a:p>
          <a:r>
            <a:rPr lang="en-US"/>
            <a:t>Experimental</a:t>
          </a:r>
        </a:p>
      </dgm:t>
    </dgm:pt>
    <dgm:pt modelId="{1EB82150-745E-4AA7-8D9F-72E06A55039D}" type="parTrans" cxnId="{D8B85610-5D76-49E0-8483-DC1F489378D6}">
      <dgm:prSet/>
      <dgm:spPr/>
      <dgm:t>
        <a:bodyPr/>
        <a:lstStyle/>
        <a:p>
          <a:endParaRPr lang="en-US"/>
        </a:p>
      </dgm:t>
    </dgm:pt>
    <dgm:pt modelId="{34CDC07D-4817-46E8-9810-C432BC321DE5}" type="sibTrans" cxnId="{D8B85610-5D76-49E0-8483-DC1F489378D6}">
      <dgm:prSet/>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8000" b="-8000"/>
          </a:stretch>
        </a:blipFill>
      </dgm:spPr>
      <dgm:t>
        <a:bodyPr/>
        <a:lstStyle/>
        <a:p>
          <a:endParaRPr lang="en-US"/>
        </a:p>
      </dgm:t>
      <dgm:extLst>
        <a:ext uri="{E40237B7-FDA0-4F09-8148-C483321AD2D9}">
          <dgm14:cNvPr xmlns:dgm14="http://schemas.microsoft.com/office/drawing/2010/diagram" id="0" name="" descr="Microscope with solid fill"/>
        </a:ext>
      </dgm:extLst>
    </dgm:pt>
    <dgm:pt modelId="{092CB093-8B53-498D-B071-4A983BAC508D}">
      <dgm:prSet phldrT="[Text]"/>
      <dgm:spPr/>
      <dgm:t>
        <a:bodyPr/>
        <a:lstStyle/>
        <a:p>
          <a:r>
            <a:rPr lang="en-US"/>
            <a:t>Action Research</a:t>
          </a:r>
        </a:p>
      </dgm:t>
    </dgm:pt>
    <dgm:pt modelId="{0D9DF744-220E-4761-B6DF-235F404A7E25}" type="parTrans" cxnId="{5C4C3CB0-98D0-43C8-9FD5-D25F42F20FEE}">
      <dgm:prSet/>
      <dgm:spPr/>
      <dgm:t>
        <a:bodyPr/>
        <a:lstStyle/>
        <a:p>
          <a:endParaRPr lang="en-US"/>
        </a:p>
      </dgm:t>
    </dgm:pt>
    <dgm:pt modelId="{741E22D2-6D6D-4545-9114-C5050FF9EACA}" type="sibTrans" cxnId="{5C4C3CB0-98D0-43C8-9FD5-D25F42F20FEE}">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8000" b="-8000"/>
          </a:stretch>
        </a:blipFill>
      </dgm:spPr>
      <dgm:t>
        <a:bodyPr/>
        <a:lstStyle/>
        <a:p>
          <a:endParaRPr lang="en-US"/>
        </a:p>
      </dgm:t>
      <dgm:extLst>
        <a:ext uri="{E40237B7-FDA0-4F09-8148-C483321AD2D9}">
          <dgm14:cNvPr xmlns:dgm14="http://schemas.microsoft.com/office/drawing/2010/diagram" id="0" name="" descr="Clapper board with solid fill"/>
        </a:ext>
      </dgm:extLst>
    </dgm:pt>
    <dgm:pt modelId="{ED4B07B6-CF6F-4FB3-A02D-018B8510460A}">
      <dgm:prSet phldrT="[Text]"/>
      <dgm:spPr/>
      <dgm:t>
        <a:bodyPr/>
        <a:lstStyle/>
        <a:p>
          <a:r>
            <a:rPr lang="en-US"/>
            <a:t>Ethnography</a:t>
          </a:r>
        </a:p>
      </dgm:t>
    </dgm:pt>
    <dgm:pt modelId="{0991B13C-151A-43D7-B806-9455A5390512}" type="parTrans" cxnId="{92417B54-00FC-4264-A600-EF3BBD87D021}">
      <dgm:prSet/>
      <dgm:spPr/>
      <dgm:t>
        <a:bodyPr/>
        <a:lstStyle/>
        <a:p>
          <a:endParaRPr lang="en-US"/>
        </a:p>
      </dgm:t>
    </dgm:pt>
    <dgm:pt modelId="{67CE815D-014B-4F2A-A11D-D248E7064E1B}" type="sibTrans" cxnId="{92417B54-00FC-4264-A600-EF3BBD87D021}">
      <dgm:prSet/>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8000" b="-8000"/>
          </a:stretch>
        </a:blipFill>
      </dgm:spPr>
      <dgm:t>
        <a:bodyPr/>
        <a:lstStyle/>
        <a:p>
          <a:endParaRPr lang="en-US"/>
        </a:p>
      </dgm:t>
      <dgm:extLst>
        <a:ext uri="{E40237B7-FDA0-4F09-8148-C483321AD2D9}">
          <dgm14:cNvPr xmlns:dgm14="http://schemas.microsoft.com/office/drawing/2010/diagram" id="0" name="" descr="Document with solid fill"/>
        </a:ext>
      </dgm:extLst>
    </dgm:pt>
    <dgm:pt modelId="{AF4B7C8E-78D2-43AF-B2EF-554A64A22BCA}">
      <dgm:prSet phldrT="[Text]"/>
      <dgm:spPr/>
      <dgm:t>
        <a:bodyPr/>
        <a:lstStyle/>
        <a:p>
          <a:r>
            <a:rPr lang="en-US"/>
            <a:t>Survey</a:t>
          </a:r>
        </a:p>
      </dgm:t>
    </dgm:pt>
    <dgm:pt modelId="{D012F24E-9B79-4A61-AA93-CE09E3CBA3AC}" type="parTrans" cxnId="{6F03A22C-D2C0-4887-9EF6-367F621B84AD}">
      <dgm:prSet/>
      <dgm:spPr/>
      <dgm:t>
        <a:bodyPr/>
        <a:lstStyle/>
        <a:p>
          <a:endParaRPr lang="en-US"/>
        </a:p>
      </dgm:t>
    </dgm:pt>
    <dgm:pt modelId="{20FD3049-3CB0-432D-A9C3-611F21F4700F}" type="sibTrans" cxnId="{6F03A22C-D2C0-4887-9EF6-367F621B84AD}">
      <dgm:prSet/>
      <dgm:spPr>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8000" b="-8000"/>
          </a:stretch>
        </a:blipFill>
      </dgm:spPr>
      <dgm:t>
        <a:bodyPr/>
        <a:lstStyle/>
        <a:p>
          <a:endParaRPr lang="en-US"/>
        </a:p>
      </dgm:t>
      <dgm:extLst>
        <a:ext uri="{E40237B7-FDA0-4F09-8148-C483321AD2D9}">
          <dgm14:cNvPr xmlns:dgm14="http://schemas.microsoft.com/office/drawing/2010/diagram" id="0" name="" descr="Clipboard with solid fill"/>
        </a:ext>
      </dgm:extLst>
    </dgm:pt>
    <dgm:pt modelId="{21A2DE59-E6F1-480C-8DD5-2D74927C7A50}">
      <dgm:prSet phldrT="[Text]"/>
      <dgm:spPr/>
      <dgm:t>
        <a:bodyPr/>
        <a:lstStyle/>
        <a:p>
          <a:r>
            <a:rPr lang="en-US"/>
            <a:t>Secondary Data</a:t>
          </a:r>
        </a:p>
      </dgm:t>
    </dgm:pt>
    <dgm:pt modelId="{4FC42019-FA49-4BAC-BE91-46D0C20874DA}" type="parTrans" cxnId="{6A209C70-576A-4849-BF23-4CCFABF0CE41}">
      <dgm:prSet/>
      <dgm:spPr/>
      <dgm:t>
        <a:bodyPr/>
        <a:lstStyle/>
        <a:p>
          <a:endParaRPr lang="en-US"/>
        </a:p>
      </dgm:t>
    </dgm:pt>
    <dgm:pt modelId="{39A8569A-0A2D-44F7-BD91-1778B2EC606C}" type="sibTrans" cxnId="{6A209C70-576A-4849-BF23-4CCFABF0CE41}">
      <dgm:prSet/>
      <dgm:spPr>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8000" b="-8000"/>
          </a:stretch>
        </a:blipFill>
      </dgm:spPr>
      <dgm:t>
        <a:bodyPr/>
        <a:lstStyle/>
        <a:p>
          <a:endParaRPr lang="en-US"/>
        </a:p>
      </dgm:t>
      <dgm:extLst>
        <a:ext uri="{E40237B7-FDA0-4F09-8148-C483321AD2D9}">
          <dgm14:cNvPr xmlns:dgm14="http://schemas.microsoft.com/office/drawing/2010/diagram" id="0" name="" descr="Folder Search outline"/>
        </a:ext>
      </dgm:extLst>
    </dgm:pt>
    <dgm:pt modelId="{317AB728-19C7-4AA1-8C20-46F948367308}">
      <dgm:prSet phldrT="[Text]"/>
      <dgm:spPr/>
      <dgm:t>
        <a:bodyPr/>
        <a:lstStyle/>
        <a:p>
          <a:r>
            <a:rPr lang="en-US"/>
            <a:t>Case</a:t>
          </a:r>
        </a:p>
      </dgm:t>
    </dgm:pt>
    <dgm:pt modelId="{27665D6D-DEFD-47A8-8D7B-F82766F78933}" type="parTrans" cxnId="{D00D1F2C-6207-48A0-B3A4-157AC4DB3ACA}">
      <dgm:prSet/>
      <dgm:spPr/>
      <dgm:t>
        <a:bodyPr/>
        <a:lstStyle/>
        <a:p>
          <a:endParaRPr lang="en-US"/>
        </a:p>
      </dgm:t>
    </dgm:pt>
    <dgm:pt modelId="{96035883-3100-4753-AF3C-A5187433E536}" type="sibTrans" cxnId="{D00D1F2C-6207-48A0-B3A4-157AC4DB3ACA}">
      <dgm:prSet/>
      <dgm:spPr>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t="-8000" b="-8000"/>
          </a:stretch>
        </a:blipFill>
      </dgm:spPr>
      <dgm:t>
        <a:bodyPr/>
        <a:lstStyle/>
        <a:p>
          <a:endParaRPr lang="en-US"/>
        </a:p>
      </dgm:t>
      <dgm:extLst>
        <a:ext uri="{E40237B7-FDA0-4F09-8148-C483321AD2D9}">
          <dgm14:cNvPr xmlns:dgm14="http://schemas.microsoft.com/office/drawing/2010/diagram" id="0" name="" descr="Management outline"/>
        </a:ext>
      </dgm:extLst>
    </dgm:pt>
    <dgm:pt modelId="{E6EF6F76-510B-4B42-AA43-4A4A3E4558E3}">
      <dgm:prSet phldrT="[Text]"/>
      <dgm:spPr/>
      <dgm:t>
        <a:bodyPr/>
        <a:lstStyle/>
        <a:p>
          <a:r>
            <a:rPr lang="en-US"/>
            <a:t>Focus Group</a:t>
          </a:r>
        </a:p>
      </dgm:t>
    </dgm:pt>
    <dgm:pt modelId="{6D01F7B5-9BCF-432F-AC8A-EB655C9E3E5F}" type="parTrans" cxnId="{AD4BDD21-D0C5-4EEE-9290-B10B3CBCF189}">
      <dgm:prSet/>
      <dgm:spPr/>
      <dgm:t>
        <a:bodyPr/>
        <a:lstStyle/>
        <a:p>
          <a:endParaRPr lang="en-US"/>
        </a:p>
      </dgm:t>
    </dgm:pt>
    <dgm:pt modelId="{579C361C-A95A-439B-B58D-CECB5DCDD702}" type="sibTrans" cxnId="{AD4BDD21-D0C5-4EEE-9290-B10B3CBCF189}">
      <dgm:prSet/>
      <dgm:spPr>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t="-8000" b="-8000"/>
          </a:stretch>
        </a:blipFill>
      </dgm:spPr>
      <dgm:t>
        <a:bodyPr/>
        <a:lstStyle/>
        <a:p>
          <a:endParaRPr lang="en-US"/>
        </a:p>
      </dgm:t>
      <dgm:extLst>
        <a:ext uri="{E40237B7-FDA0-4F09-8148-C483321AD2D9}">
          <dgm14:cNvPr xmlns:dgm14="http://schemas.microsoft.com/office/drawing/2010/diagram" id="0" name="" descr="Group brainstorm with solid fill"/>
        </a:ext>
      </dgm:extLst>
    </dgm:pt>
    <dgm:pt modelId="{71EC7165-8347-4FE6-9AE0-129C518ACB71}" type="pres">
      <dgm:prSet presAssocID="{0DF8717C-C9F0-4821-904D-5B6115A14F96}" presName="Name0" presStyleCnt="0">
        <dgm:presLayoutVars>
          <dgm:chMax val="21"/>
          <dgm:chPref val="21"/>
        </dgm:presLayoutVars>
      </dgm:prSet>
      <dgm:spPr/>
    </dgm:pt>
    <dgm:pt modelId="{6FB53CD1-9233-4CDE-BB92-DA3AB324C832}" type="pres">
      <dgm:prSet presAssocID="{09B0AE32-50C9-4CD4-B726-B29046CD2447}" presName="text1" presStyleCnt="0"/>
      <dgm:spPr/>
    </dgm:pt>
    <dgm:pt modelId="{FFA2DEBC-7FCC-44EB-AF73-7DBBC13DC9AF}" type="pres">
      <dgm:prSet presAssocID="{09B0AE32-50C9-4CD4-B726-B29046CD2447}" presName="textRepeatNode" presStyleLbl="alignNode1" presStyleIdx="0" presStyleCnt="7">
        <dgm:presLayoutVars>
          <dgm:chMax val="0"/>
          <dgm:chPref val="0"/>
          <dgm:bulletEnabled val="1"/>
        </dgm:presLayoutVars>
      </dgm:prSet>
      <dgm:spPr/>
    </dgm:pt>
    <dgm:pt modelId="{C59A40DA-04AB-43AA-BEC6-2F292647E6B7}" type="pres">
      <dgm:prSet presAssocID="{09B0AE32-50C9-4CD4-B726-B29046CD2447}" presName="textaccent1" presStyleCnt="0"/>
      <dgm:spPr/>
    </dgm:pt>
    <dgm:pt modelId="{910539F4-B439-4FF3-9737-62C5983B2FA4}" type="pres">
      <dgm:prSet presAssocID="{09B0AE32-50C9-4CD4-B726-B29046CD2447}" presName="accentRepeatNode" presStyleLbl="solidAlignAcc1" presStyleIdx="0" presStyleCnt="14"/>
      <dgm:spPr/>
    </dgm:pt>
    <dgm:pt modelId="{2E40AEDD-FF7A-46FE-A3B8-E1E4E34648DC}" type="pres">
      <dgm:prSet presAssocID="{34CDC07D-4817-46E8-9810-C432BC321DE5}" presName="image1" presStyleCnt="0"/>
      <dgm:spPr/>
    </dgm:pt>
    <dgm:pt modelId="{96295898-F5E3-4189-9701-DFFBBFC45077}" type="pres">
      <dgm:prSet presAssocID="{34CDC07D-4817-46E8-9810-C432BC321DE5}" presName="imageRepeatNode" presStyleLbl="alignAcc1" presStyleIdx="0" presStyleCnt="7"/>
      <dgm:spPr/>
    </dgm:pt>
    <dgm:pt modelId="{1D384A1E-BFD9-43D8-9977-53E8B4210338}" type="pres">
      <dgm:prSet presAssocID="{34CDC07D-4817-46E8-9810-C432BC321DE5}" presName="imageaccent1" presStyleCnt="0"/>
      <dgm:spPr/>
    </dgm:pt>
    <dgm:pt modelId="{845156B2-A062-4E2C-BB75-7EADCBAB3F75}" type="pres">
      <dgm:prSet presAssocID="{34CDC07D-4817-46E8-9810-C432BC321DE5}" presName="accentRepeatNode" presStyleLbl="solidAlignAcc1" presStyleIdx="1" presStyleCnt="14"/>
      <dgm:spPr/>
    </dgm:pt>
    <dgm:pt modelId="{94A1B713-C023-4C35-A426-BBD6DBACE857}" type="pres">
      <dgm:prSet presAssocID="{AF4B7C8E-78D2-43AF-B2EF-554A64A22BCA}" presName="text2" presStyleCnt="0"/>
      <dgm:spPr/>
    </dgm:pt>
    <dgm:pt modelId="{4B02CDF6-D178-4F37-8A02-1CA5FA410326}" type="pres">
      <dgm:prSet presAssocID="{AF4B7C8E-78D2-43AF-B2EF-554A64A22BCA}" presName="textRepeatNode" presStyleLbl="alignNode1" presStyleIdx="1" presStyleCnt="7">
        <dgm:presLayoutVars>
          <dgm:chMax val="0"/>
          <dgm:chPref val="0"/>
          <dgm:bulletEnabled val="1"/>
        </dgm:presLayoutVars>
      </dgm:prSet>
      <dgm:spPr/>
    </dgm:pt>
    <dgm:pt modelId="{5DA53F9C-C95B-4D36-A2A4-F8AE699CF903}" type="pres">
      <dgm:prSet presAssocID="{AF4B7C8E-78D2-43AF-B2EF-554A64A22BCA}" presName="textaccent2" presStyleCnt="0"/>
      <dgm:spPr/>
    </dgm:pt>
    <dgm:pt modelId="{A6E32AE8-8941-44F1-AF39-3E4973AAFDAA}" type="pres">
      <dgm:prSet presAssocID="{AF4B7C8E-78D2-43AF-B2EF-554A64A22BCA}" presName="accentRepeatNode" presStyleLbl="solidAlignAcc1" presStyleIdx="2" presStyleCnt="14"/>
      <dgm:spPr/>
    </dgm:pt>
    <dgm:pt modelId="{3C377028-FB21-483A-A3C5-E0FD75CF6595}" type="pres">
      <dgm:prSet presAssocID="{20FD3049-3CB0-432D-A9C3-611F21F4700F}" presName="image2" presStyleCnt="0"/>
      <dgm:spPr/>
    </dgm:pt>
    <dgm:pt modelId="{A6E3D231-A0DF-4216-A07D-0E0F0EF257E4}" type="pres">
      <dgm:prSet presAssocID="{20FD3049-3CB0-432D-A9C3-611F21F4700F}" presName="imageRepeatNode" presStyleLbl="alignAcc1" presStyleIdx="1" presStyleCnt="7"/>
      <dgm:spPr/>
    </dgm:pt>
    <dgm:pt modelId="{0D8DAF5B-B64B-4728-B684-76579FB7979D}" type="pres">
      <dgm:prSet presAssocID="{20FD3049-3CB0-432D-A9C3-611F21F4700F}" presName="imageaccent2" presStyleCnt="0"/>
      <dgm:spPr/>
    </dgm:pt>
    <dgm:pt modelId="{E3D662AC-06B3-4B21-A9FE-6D68F669D7CD}" type="pres">
      <dgm:prSet presAssocID="{20FD3049-3CB0-432D-A9C3-611F21F4700F}" presName="accentRepeatNode" presStyleLbl="solidAlignAcc1" presStyleIdx="3" presStyleCnt="14"/>
      <dgm:spPr/>
    </dgm:pt>
    <dgm:pt modelId="{6B4538CC-2190-4F79-94FD-69F177286C19}" type="pres">
      <dgm:prSet presAssocID="{21A2DE59-E6F1-480C-8DD5-2D74927C7A50}" presName="text3" presStyleCnt="0"/>
      <dgm:spPr/>
    </dgm:pt>
    <dgm:pt modelId="{92DC4FF0-7A6F-4CBF-893A-44AD9546F0A1}" type="pres">
      <dgm:prSet presAssocID="{21A2DE59-E6F1-480C-8DD5-2D74927C7A50}" presName="textRepeatNode" presStyleLbl="alignNode1" presStyleIdx="2" presStyleCnt="7">
        <dgm:presLayoutVars>
          <dgm:chMax val="0"/>
          <dgm:chPref val="0"/>
          <dgm:bulletEnabled val="1"/>
        </dgm:presLayoutVars>
      </dgm:prSet>
      <dgm:spPr/>
    </dgm:pt>
    <dgm:pt modelId="{37649037-434C-41BB-8BD4-AB97A22DD378}" type="pres">
      <dgm:prSet presAssocID="{21A2DE59-E6F1-480C-8DD5-2D74927C7A50}" presName="textaccent3" presStyleCnt="0"/>
      <dgm:spPr/>
    </dgm:pt>
    <dgm:pt modelId="{7361E8D0-3AB9-4D16-8497-DBA7C7DEBA2B}" type="pres">
      <dgm:prSet presAssocID="{21A2DE59-E6F1-480C-8DD5-2D74927C7A50}" presName="accentRepeatNode" presStyleLbl="solidAlignAcc1" presStyleIdx="4" presStyleCnt="14"/>
      <dgm:spPr/>
    </dgm:pt>
    <dgm:pt modelId="{ADA57D26-4215-4DDA-93D0-C5F8E710C242}" type="pres">
      <dgm:prSet presAssocID="{39A8569A-0A2D-44F7-BD91-1778B2EC606C}" presName="image3" presStyleCnt="0"/>
      <dgm:spPr/>
    </dgm:pt>
    <dgm:pt modelId="{AF7DA773-D97E-4984-B2A6-8F1EDA64E6E9}" type="pres">
      <dgm:prSet presAssocID="{39A8569A-0A2D-44F7-BD91-1778B2EC606C}" presName="imageRepeatNode" presStyleLbl="alignAcc1" presStyleIdx="2" presStyleCnt="7"/>
      <dgm:spPr/>
    </dgm:pt>
    <dgm:pt modelId="{B6E9A065-D675-44C8-AA79-9281BECB2472}" type="pres">
      <dgm:prSet presAssocID="{39A8569A-0A2D-44F7-BD91-1778B2EC606C}" presName="imageaccent3" presStyleCnt="0"/>
      <dgm:spPr/>
    </dgm:pt>
    <dgm:pt modelId="{67E2C0EA-D496-4476-9A94-5F7261497313}" type="pres">
      <dgm:prSet presAssocID="{39A8569A-0A2D-44F7-BD91-1778B2EC606C}" presName="accentRepeatNode" presStyleLbl="solidAlignAcc1" presStyleIdx="5" presStyleCnt="14"/>
      <dgm:spPr/>
    </dgm:pt>
    <dgm:pt modelId="{8402A0BB-1956-445B-AF9C-D66124ED8AE8}" type="pres">
      <dgm:prSet presAssocID="{317AB728-19C7-4AA1-8C20-46F948367308}" presName="text4" presStyleCnt="0"/>
      <dgm:spPr/>
    </dgm:pt>
    <dgm:pt modelId="{A04ED209-4838-44A0-903F-02AD9FEFBBB6}" type="pres">
      <dgm:prSet presAssocID="{317AB728-19C7-4AA1-8C20-46F948367308}" presName="textRepeatNode" presStyleLbl="alignNode1" presStyleIdx="3" presStyleCnt="7">
        <dgm:presLayoutVars>
          <dgm:chMax val="0"/>
          <dgm:chPref val="0"/>
          <dgm:bulletEnabled val="1"/>
        </dgm:presLayoutVars>
      </dgm:prSet>
      <dgm:spPr/>
    </dgm:pt>
    <dgm:pt modelId="{88F8DF0F-FBC3-43A6-88C3-1F57969C335B}" type="pres">
      <dgm:prSet presAssocID="{317AB728-19C7-4AA1-8C20-46F948367308}" presName="textaccent4" presStyleCnt="0"/>
      <dgm:spPr/>
    </dgm:pt>
    <dgm:pt modelId="{D2D054A3-4E4B-4E24-8D97-89D43FB8C349}" type="pres">
      <dgm:prSet presAssocID="{317AB728-19C7-4AA1-8C20-46F948367308}" presName="accentRepeatNode" presStyleLbl="solidAlignAcc1" presStyleIdx="6" presStyleCnt="14"/>
      <dgm:spPr/>
    </dgm:pt>
    <dgm:pt modelId="{3F9CFCB1-D41F-4C1C-AB4F-228E0D6F5ED9}" type="pres">
      <dgm:prSet presAssocID="{96035883-3100-4753-AF3C-A5187433E536}" presName="image4" presStyleCnt="0"/>
      <dgm:spPr/>
    </dgm:pt>
    <dgm:pt modelId="{00584D79-8ADA-4E0D-AFA7-93FDBF3D5CFB}" type="pres">
      <dgm:prSet presAssocID="{96035883-3100-4753-AF3C-A5187433E536}" presName="imageRepeatNode" presStyleLbl="alignAcc1" presStyleIdx="3" presStyleCnt="7"/>
      <dgm:spPr/>
    </dgm:pt>
    <dgm:pt modelId="{BFE3D649-B36F-42B0-AE81-5CE2C59437AA}" type="pres">
      <dgm:prSet presAssocID="{96035883-3100-4753-AF3C-A5187433E536}" presName="imageaccent4" presStyleCnt="0"/>
      <dgm:spPr/>
    </dgm:pt>
    <dgm:pt modelId="{02BA8739-8756-4BB0-AED2-EDF71BDBB700}" type="pres">
      <dgm:prSet presAssocID="{96035883-3100-4753-AF3C-A5187433E536}" presName="accentRepeatNode" presStyleLbl="solidAlignAcc1" presStyleIdx="7" presStyleCnt="14"/>
      <dgm:spPr/>
    </dgm:pt>
    <dgm:pt modelId="{96FC9C9D-729D-4784-8E58-D9C36EEF6A40}" type="pres">
      <dgm:prSet presAssocID="{E6EF6F76-510B-4B42-AA43-4A4A3E4558E3}" presName="text5" presStyleCnt="0"/>
      <dgm:spPr/>
    </dgm:pt>
    <dgm:pt modelId="{51C6B36E-BB2F-42EB-A1A3-C2E705173080}" type="pres">
      <dgm:prSet presAssocID="{E6EF6F76-510B-4B42-AA43-4A4A3E4558E3}" presName="textRepeatNode" presStyleLbl="alignNode1" presStyleIdx="4" presStyleCnt="7">
        <dgm:presLayoutVars>
          <dgm:chMax val="0"/>
          <dgm:chPref val="0"/>
          <dgm:bulletEnabled val="1"/>
        </dgm:presLayoutVars>
      </dgm:prSet>
      <dgm:spPr/>
    </dgm:pt>
    <dgm:pt modelId="{472E33BF-95EF-4A87-AE65-4D17FA1317E1}" type="pres">
      <dgm:prSet presAssocID="{E6EF6F76-510B-4B42-AA43-4A4A3E4558E3}" presName="textaccent5" presStyleCnt="0"/>
      <dgm:spPr/>
    </dgm:pt>
    <dgm:pt modelId="{1208C2F8-4F4D-475F-B192-A5699641452A}" type="pres">
      <dgm:prSet presAssocID="{E6EF6F76-510B-4B42-AA43-4A4A3E4558E3}" presName="accentRepeatNode" presStyleLbl="solidAlignAcc1" presStyleIdx="8" presStyleCnt="14"/>
      <dgm:spPr/>
    </dgm:pt>
    <dgm:pt modelId="{085C38A1-0A5E-495C-A93F-3F0EC03F111F}" type="pres">
      <dgm:prSet presAssocID="{579C361C-A95A-439B-B58D-CECB5DCDD702}" presName="image5" presStyleCnt="0"/>
      <dgm:spPr/>
    </dgm:pt>
    <dgm:pt modelId="{7957AEAB-82A8-459D-BA6F-54319E584032}" type="pres">
      <dgm:prSet presAssocID="{579C361C-A95A-439B-B58D-CECB5DCDD702}" presName="imageRepeatNode" presStyleLbl="alignAcc1" presStyleIdx="4" presStyleCnt="7"/>
      <dgm:spPr/>
    </dgm:pt>
    <dgm:pt modelId="{1FDE3237-4FDC-4CCB-8E94-33A7DE3115B9}" type="pres">
      <dgm:prSet presAssocID="{579C361C-A95A-439B-B58D-CECB5DCDD702}" presName="imageaccent5" presStyleCnt="0"/>
      <dgm:spPr/>
    </dgm:pt>
    <dgm:pt modelId="{31AC1E48-EC41-4EF7-BF00-03B2E8AE26D3}" type="pres">
      <dgm:prSet presAssocID="{579C361C-A95A-439B-B58D-CECB5DCDD702}" presName="accentRepeatNode" presStyleLbl="solidAlignAcc1" presStyleIdx="9" presStyleCnt="14"/>
      <dgm:spPr/>
    </dgm:pt>
    <dgm:pt modelId="{DED46002-5CD6-4300-86C0-1176345C611B}" type="pres">
      <dgm:prSet presAssocID="{092CB093-8B53-498D-B071-4A983BAC508D}" presName="text6" presStyleCnt="0"/>
      <dgm:spPr/>
    </dgm:pt>
    <dgm:pt modelId="{9E613F42-39F2-4335-B723-C69002BCE5D9}" type="pres">
      <dgm:prSet presAssocID="{092CB093-8B53-498D-B071-4A983BAC508D}" presName="textRepeatNode" presStyleLbl="alignNode1" presStyleIdx="5" presStyleCnt="7">
        <dgm:presLayoutVars>
          <dgm:chMax val="0"/>
          <dgm:chPref val="0"/>
          <dgm:bulletEnabled val="1"/>
        </dgm:presLayoutVars>
      </dgm:prSet>
      <dgm:spPr/>
    </dgm:pt>
    <dgm:pt modelId="{6173D1D5-10FD-4926-A57F-A82231D83518}" type="pres">
      <dgm:prSet presAssocID="{092CB093-8B53-498D-B071-4A983BAC508D}" presName="textaccent6" presStyleCnt="0"/>
      <dgm:spPr/>
    </dgm:pt>
    <dgm:pt modelId="{AB021AF8-A36A-44DE-8FB1-AF7921E6C10B}" type="pres">
      <dgm:prSet presAssocID="{092CB093-8B53-498D-B071-4A983BAC508D}" presName="accentRepeatNode" presStyleLbl="solidAlignAcc1" presStyleIdx="10" presStyleCnt="14"/>
      <dgm:spPr/>
    </dgm:pt>
    <dgm:pt modelId="{C7494C6E-0EB2-4AF6-9A46-5EBE93F1A0BE}" type="pres">
      <dgm:prSet presAssocID="{741E22D2-6D6D-4545-9114-C5050FF9EACA}" presName="image6" presStyleCnt="0"/>
      <dgm:spPr/>
    </dgm:pt>
    <dgm:pt modelId="{02261D80-EC96-4370-A207-51C1988B7D95}" type="pres">
      <dgm:prSet presAssocID="{741E22D2-6D6D-4545-9114-C5050FF9EACA}" presName="imageRepeatNode" presStyleLbl="alignAcc1" presStyleIdx="5" presStyleCnt="7"/>
      <dgm:spPr/>
    </dgm:pt>
    <dgm:pt modelId="{3DF7FDE5-04B3-4E16-A9A0-E8C87FA6E373}" type="pres">
      <dgm:prSet presAssocID="{741E22D2-6D6D-4545-9114-C5050FF9EACA}" presName="imageaccent6" presStyleCnt="0"/>
      <dgm:spPr/>
    </dgm:pt>
    <dgm:pt modelId="{22FD8E9B-0F70-45B9-8906-201EFF3F32FF}" type="pres">
      <dgm:prSet presAssocID="{741E22D2-6D6D-4545-9114-C5050FF9EACA}" presName="accentRepeatNode" presStyleLbl="solidAlignAcc1" presStyleIdx="11" presStyleCnt="14"/>
      <dgm:spPr/>
    </dgm:pt>
    <dgm:pt modelId="{31B79B89-CB3F-4C92-9AC6-0E59E6B4E400}" type="pres">
      <dgm:prSet presAssocID="{ED4B07B6-CF6F-4FB3-A02D-018B8510460A}" presName="text7" presStyleCnt="0"/>
      <dgm:spPr/>
    </dgm:pt>
    <dgm:pt modelId="{E90C9E3D-A548-4815-AD24-C5F778708C1A}" type="pres">
      <dgm:prSet presAssocID="{ED4B07B6-CF6F-4FB3-A02D-018B8510460A}" presName="textRepeatNode" presStyleLbl="alignNode1" presStyleIdx="6" presStyleCnt="7">
        <dgm:presLayoutVars>
          <dgm:chMax val="0"/>
          <dgm:chPref val="0"/>
          <dgm:bulletEnabled val="1"/>
        </dgm:presLayoutVars>
      </dgm:prSet>
      <dgm:spPr/>
    </dgm:pt>
    <dgm:pt modelId="{EBC161DF-6575-4299-A71F-A7A74DF9ADFC}" type="pres">
      <dgm:prSet presAssocID="{ED4B07B6-CF6F-4FB3-A02D-018B8510460A}" presName="textaccent7" presStyleCnt="0"/>
      <dgm:spPr/>
    </dgm:pt>
    <dgm:pt modelId="{82303067-C360-444F-BB76-4BD3957A503D}" type="pres">
      <dgm:prSet presAssocID="{ED4B07B6-CF6F-4FB3-A02D-018B8510460A}" presName="accentRepeatNode" presStyleLbl="solidAlignAcc1" presStyleIdx="12" presStyleCnt="14"/>
      <dgm:spPr/>
    </dgm:pt>
    <dgm:pt modelId="{EBB05FC5-317E-499A-AF5A-4737B14BE0F2}" type="pres">
      <dgm:prSet presAssocID="{67CE815D-014B-4F2A-A11D-D248E7064E1B}" presName="image7" presStyleCnt="0"/>
      <dgm:spPr/>
    </dgm:pt>
    <dgm:pt modelId="{BD2C5067-55E8-4FD1-903D-038067EB0875}" type="pres">
      <dgm:prSet presAssocID="{67CE815D-014B-4F2A-A11D-D248E7064E1B}" presName="imageRepeatNode" presStyleLbl="alignAcc1" presStyleIdx="6" presStyleCnt="7"/>
      <dgm:spPr/>
    </dgm:pt>
    <dgm:pt modelId="{829B9243-F2D0-4F88-87EE-07EC098915B1}" type="pres">
      <dgm:prSet presAssocID="{67CE815D-014B-4F2A-A11D-D248E7064E1B}" presName="imageaccent7" presStyleCnt="0"/>
      <dgm:spPr/>
    </dgm:pt>
    <dgm:pt modelId="{5FAEE815-603E-4626-9098-CD1BF26F45FA}" type="pres">
      <dgm:prSet presAssocID="{67CE815D-014B-4F2A-A11D-D248E7064E1B}" presName="accentRepeatNode" presStyleLbl="solidAlignAcc1" presStyleIdx="13" presStyleCnt="14"/>
      <dgm:spPr/>
    </dgm:pt>
  </dgm:ptLst>
  <dgm:cxnLst>
    <dgm:cxn modelId="{D8B85610-5D76-49E0-8483-DC1F489378D6}" srcId="{0DF8717C-C9F0-4821-904D-5B6115A14F96}" destId="{09B0AE32-50C9-4CD4-B726-B29046CD2447}" srcOrd="0" destOrd="0" parTransId="{1EB82150-745E-4AA7-8D9F-72E06A55039D}" sibTransId="{34CDC07D-4817-46E8-9810-C432BC321DE5}"/>
    <dgm:cxn modelId="{AD4BDD21-D0C5-4EEE-9290-B10B3CBCF189}" srcId="{0DF8717C-C9F0-4821-904D-5B6115A14F96}" destId="{E6EF6F76-510B-4B42-AA43-4A4A3E4558E3}" srcOrd="4" destOrd="0" parTransId="{6D01F7B5-9BCF-432F-AC8A-EB655C9E3E5F}" sibTransId="{579C361C-A95A-439B-B58D-CECB5DCDD702}"/>
    <dgm:cxn modelId="{D00D1F2C-6207-48A0-B3A4-157AC4DB3ACA}" srcId="{0DF8717C-C9F0-4821-904D-5B6115A14F96}" destId="{317AB728-19C7-4AA1-8C20-46F948367308}" srcOrd="3" destOrd="0" parTransId="{27665D6D-DEFD-47A8-8D7B-F82766F78933}" sibTransId="{96035883-3100-4753-AF3C-A5187433E536}"/>
    <dgm:cxn modelId="{6F03A22C-D2C0-4887-9EF6-367F621B84AD}" srcId="{0DF8717C-C9F0-4821-904D-5B6115A14F96}" destId="{AF4B7C8E-78D2-43AF-B2EF-554A64A22BCA}" srcOrd="1" destOrd="0" parTransId="{D012F24E-9B79-4A61-AA93-CE09E3CBA3AC}" sibTransId="{20FD3049-3CB0-432D-A9C3-611F21F4700F}"/>
    <dgm:cxn modelId="{022C8731-12B5-49FC-9E4F-1B346668AA43}" type="presOf" srcId="{67CE815D-014B-4F2A-A11D-D248E7064E1B}" destId="{BD2C5067-55E8-4FD1-903D-038067EB0875}" srcOrd="0" destOrd="0" presId="urn:microsoft.com/office/officeart/2008/layout/HexagonCluster"/>
    <dgm:cxn modelId="{61F61F40-B62D-4204-990D-A0623101460C}" type="presOf" srcId="{092CB093-8B53-498D-B071-4A983BAC508D}" destId="{9E613F42-39F2-4335-B723-C69002BCE5D9}" srcOrd="0" destOrd="0" presId="urn:microsoft.com/office/officeart/2008/layout/HexagonCluster"/>
    <dgm:cxn modelId="{EB695343-E63C-4149-B2FF-2F212934068D}" type="presOf" srcId="{21A2DE59-E6F1-480C-8DD5-2D74927C7A50}" destId="{92DC4FF0-7A6F-4CBF-893A-44AD9546F0A1}" srcOrd="0" destOrd="0" presId="urn:microsoft.com/office/officeart/2008/layout/HexagonCluster"/>
    <dgm:cxn modelId="{63B24A67-FCE9-41A9-999C-F01C84FA9F0B}" type="presOf" srcId="{AF4B7C8E-78D2-43AF-B2EF-554A64A22BCA}" destId="{4B02CDF6-D178-4F37-8A02-1CA5FA410326}" srcOrd="0" destOrd="0" presId="urn:microsoft.com/office/officeart/2008/layout/HexagonCluster"/>
    <dgm:cxn modelId="{BCA5A049-6CE2-40FD-8305-6EA72EACA36B}" type="presOf" srcId="{579C361C-A95A-439B-B58D-CECB5DCDD702}" destId="{7957AEAB-82A8-459D-BA6F-54319E584032}" srcOrd="0" destOrd="0" presId="urn:microsoft.com/office/officeart/2008/layout/HexagonCluster"/>
    <dgm:cxn modelId="{6A209C70-576A-4849-BF23-4CCFABF0CE41}" srcId="{0DF8717C-C9F0-4821-904D-5B6115A14F96}" destId="{21A2DE59-E6F1-480C-8DD5-2D74927C7A50}" srcOrd="2" destOrd="0" parTransId="{4FC42019-FA49-4BAC-BE91-46D0C20874DA}" sibTransId="{39A8569A-0A2D-44F7-BD91-1778B2EC606C}"/>
    <dgm:cxn modelId="{92417B54-00FC-4264-A600-EF3BBD87D021}" srcId="{0DF8717C-C9F0-4821-904D-5B6115A14F96}" destId="{ED4B07B6-CF6F-4FB3-A02D-018B8510460A}" srcOrd="6" destOrd="0" parTransId="{0991B13C-151A-43D7-B806-9455A5390512}" sibTransId="{67CE815D-014B-4F2A-A11D-D248E7064E1B}"/>
    <dgm:cxn modelId="{0BA3CC54-FF8D-4136-A83D-B59ED5B685DF}" type="presOf" srcId="{96035883-3100-4753-AF3C-A5187433E536}" destId="{00584D79-8ADA-4E0D-AFA7-93FDBF3D5CFB}" srcOrd="0" destOrd="0" presId="urn:microsoft.com/office/officeart/2008/layout/HexagonCluster"/>
    <dgm:cxn modelId="{E4052A59-BADB-4920-AE13-39D987C741E0}" type="presOf" srcId="{741E22D2-6D6D-4545-9114-C5050FF9EACA}" destId="{02261D80-EC96-4370-A207-51C1988B7D95}" srcOrd="0" destOrd="0" presId="urn:microsoft.com/office/officeart/2008/layout/HexagonCluster"/>
    <dgm:cxn modelId="{FAA7FD79-9C5C-46E5-B33F-50CCF1C69DA6}" type="presOf" srcId="{39A8569A-0A2D-44F7-BD91-1778B2EC606C}" destId="{AF7DA773-D97E-4984-B2A6-8F1EDA64E6E9}" srcOrd="0" destOrd="0" presId="urn:microsoft.com/office/officeart/2008/layout/HexagonCluster"/>
    <dgm:cxn modelId="{F662DF82-07FA-4486-A4E9-E2BB49C276FC}" type="presOf" srcId="{317AB728-19C7-4AA1-8C20-46F948367308}" destId="{A04ED209-4838-44A0-903F-02AD9FEFBBB6}" srcOrd="0" destOrd="0" presId="urn:microsoft.com/office/officeart/2008/layout/HexagonCluster"/>
    <dgm:cxn modelId="{35674C8F-EB46-43BD-B9E0-C2247AC0397C}" type="presOf" srcId="{20FD3049-3CB0-432D-A9C3-611F21F4700F}" destId="{A6E3D231-A0DF-4216-A07D-0E0F0EF257E4}" srcOrd="0" destOrd="0" presId="urn:microsoft.com/office/officeart/2008/layout/HexagonCluster"/>
    <dgm:cxn modelId="{E1E3F592-FF73-449B-A3FF-F5EE1EA8FB55}" type="presOf" srcId="{34CDC07D-4817-46E8-9810-C432BC321DE5}" destId="{96295898-F5E3-4189-9701-DFFBBFC45077}" srcOrd="0" destOrd="0" presId="urn:microsoft.com/office/officeart/2008/layout/HexagonCluster"/>
    <dgm:cxn modelId="{5C4C3CB0-98D0-43C8-9FD5-D25F42F20FEE}" srcId="{0DF8717C-C9F0-4821-904D-5B6115A14F96}" destId="{092CB093-8B53-498D-B071-4A983BAC508D}" srcOrd="5" destOrd="0" parTransId="{0D9DF744-220E-4761-B6DF-235F404A7E25}" sibTransId="{741E22D2-6D6D-4545-9114-C5050FF9EACA}"/>
    <dgm:cxn modelId="{D1E561BA-A8FD-44CF-A193-CCFA35D03CC4}" type="presOf" srcId="{09B0AE32-50C9-4CD4-B726-B29046CD2447}" destId="{FFA2DEBC-7FCC-44EB-AF73-7DBBC13DC9AF}" srcOrd="0" destOrd="0" presId="urn:microsoft.com/office/officeart/2008/layout/HexagonCluster"/>
    <dgm:cxn modelId="{013544BB-8C49-4B85-9923-9EA9EDBDC980}" type="presOf" srcId="{0DF8717C-C9F0-4821-904D-5B6115A14F96}" destId="{71EC7165-8347-4FE6-9AE0-129C518ACB71}" srcOrd="0" destOrd="0" presId="urn:microsoft.com/office/officeart/2008/layout/HexagonCluster"/>
    <dgm:cxn modelId="{DFDEC1E5-8E22-422B-AB58-B2AE34BCD75F}" type="presOf" srcId="{ED4B07B6-CF6F-4FB3-A02D-018B8510460A}" destId="{E90C9E3D-A548-4815-AD24-C5F778708C1A}" srcOrd="0" destOrd="0" presId="urn:microsoft.com/office/officeart/2008/layout/HexagonCluster"/>
    <dgm:cxn modelId="{BBAAD8EF-C7F1-4BF4-8604-DD967D139497}" type="presOf" srcId="{E6EF6F76-510B-4B42-AA43-4A4A3E4558E3}" destId="{51C6B36E-BB2F-42EB-A1A3-C2E705173080}" srcOrd="0" destOrd="0" presId="urn:microsoft.com/office/officeart/2008/layout/HexagonCluster"/>
    <dgm:cxn modelId="{0E72B1BD-5D04-43AA-8D71-CD5DD79C132B}" type="presParOf" srcId="{71EC7165-8347-4FE6-9AE0-129C518ACB71}" destId="{6FB53CD1-9233-4CDE-BB92-DA3AB324C832}" srcOrd="0" destOrd="0" presId="urn:microsoft.com/office/officeart/2008/layout/HexagonCluster"/>
    <dgm:cxn modelId="{82615265-265D-4B24-B5EB-7B7BA3D8A791}" type="presParOf" srcId="{6FB53CD1-9233-4CDE-BB92-DA3AB324C832}" destId="{FFA2DEBC-7FCC-44EB-AF73-7DBBC13DC9AF}" srcOrd="0" destOrd="0" presId="urn:microsoft.com/office/officeart/2008/layout/HexagonCluster"/>
    <dgm:cxn modelId="{7BA82838-6810-44D0-BE66-B77ECF25E01B}" type="presParOf" srcId="{71EC7165-8347-4FE6-9AE0-129C518ACB71}" destId="{C59A40DA-04AB-43AA-BEC6-2F292647E6B7}" srcOrd="1" destOrd="0" presId="urn:microsoft.com/office/officeart/2008/layout/HexagonCluster"/>
    <dgm:cxn modelId="{9FC78822-FB83-4EFD-A7DB-C30F2D9FA191}" type="presParOf" srcId="{C59A40DA-04AB-43AA-BEC6-2F292647E6B7}" destId="{910539F4-B439-4FF3-9737-62C5983B2FA4}" srcOrd="0" destOrd="0" presId="urn:microsoft.com/office/officeart/2008/layout/HexagonCluster"/>
    <dgm:cxn modelId="{61CDF2C7-6A52-4FBD-BE72-678C0F8EC9FE}" type="presParOf" srcId="{71EC7165-8347-4FE6-9AE0-129C518ACB71}" destId="{2E40AEDD-FF7A-46FE-A3B8-E1E4E34648DC}" srcOrd="2" destOrd="0" presId="urn:microsoft.com/office/officeart/2008/layout/HexagonCluster"/>
    <dgm:cxn modelId="{2E416671-490D-439D-A316-6E2DB8CFF6E1}" type="presParOf" srcId="{2E40AEDD-FF7A-46FE-A3B8-E1E4E34648DC}" destId="{96295898-F5E3-4189-9701-DFFBBFC45077}" srcOrd="0" destOrd="0" presId="urn:microsoft.com/office/officeart/2008/layout/HexagonCluster"/>
    <dgm:cxn modelId="{F5EE5F81-2E69-4F4C-8A8B-03DD68EE123D}" type="presParOf" srcId="{71EC7165-8347-4FE6-9AE0-129C518ACB71}" destId="{1D384A1E-BFD9-43D8-9977-53E8B4210338}" srcOrd="3" destOrd="0" presId="urn:microsoft.com/office/officeart/2008/layout/HexagonCluster"/>
    <dgm:cxn modelId="{E15245CE-3544-43DE-844D-6D31F1726CA8}" type="presParOf" srcId="{1D384A1E-BFD9-43D8-9977-53E8B4210338}" destId="{845156B2-A062-4E2C-BB75-7EADCBAB3F75}" srcOrd="0" destOrd="0" presId="urn:microsoft.com/office/officeart/2008/layout/HexagonCluster"/>
    <dgm:cxn modelId="{7644A9E7-359E-4AE7-82F4-C5FE40337C19}" type="presParOf" srcId="{71EC7165-8347-4FE6-9AE0-129C518ACB71}" destId="{94A1B713-C023-4C35-A426-BBD6DBACE857}" srcOrd="4" destOrd="0" presId="urn:microsoft.com/office/officeart/2008/layout/HexagonCluster"/>
    <dgm:cxn modelId="{C669626B-FED1-438C-9E33-0F1A79A1C54F}" type="presParOf" srcId="{94A1B713-C023-4C35-A426-BBD6DBACE857}" destId="{4B02CDF6-D178-4F37-8A02-1CA5FA410326}" srcOrd="0" destOrd="0" presId="urn:microsoft.com/office/officeart/2008/layout/HexagonCluster"/>
    <dgm:cxn modelId="{4F5BCF0F-FD74-4590-9A29-11C4364A7E81}" type="presParOf" srcId="{71EC7165-8347-4FE6-9AE0-129C518ACB71}" destId="{5DA53F9C-C95B-4D36-A2A4-F8AE699CF903}" srcOrd="5" destOrd="0" presId="urn:microsoft.com/office/officeart/2008/layout/HexagonCluster"/>
    <dgm:cxn modelId="{1CC5BA80-462A-4864-97C0-40A6E1A11006}" type="presParOf" srcId="{5DA53F9C-C95B-4D36-A2A4-F8AE699CF903}" destId="{A6E32AE8-8941-44F1-AF39-3E4973AAFDAA}" srcOrd="0" destOrd="0" presId="urn:microsoft.com/office/officeart/2008/layout/HexagonCluster"/>
    <dgm:cxn modelId="{FB19146D-26B6-46A3-A521-4BEEB253DBB9}" type="presParOf" srcId="{71EC7165-8347-4FE6-9AE0-129C518ACB71}" destId="{3C377028-FB21-483A-A3C5-E0FD75CF6595}" srcOrd="6" destOrd="0" presId="urn:microsoft.com/office/officeart/2008/layout/HexagonCluster"/>
    <dgm:cxn modelId="{D51BBDB8-3F76-4BA4-A2E5-048F433E8A71}" type="presParOf" srcId="{3C377028-FB21-483A-A3C5-E0FD75CF6595}" destId="{A6E3D231-A0DF-4216-A07D-0E0F0EF257E4}" srcOrd="0" destOrd="0" presId="urn:microsoft.com/office/officeart/2008/layout/HexagonCluster"/>
    <dgm:cxn modelId="{AAE3EF23-6DE4-4060-9565-93275A9CE8DB}" type="presParOf" srcId="{71EC7165-8347-4FE6-9AE0-129C518ACB71}" destId="{0D8DAF5B-B64B-4728-B684-76579FB7979D}" srcOrd="7" destOrd="0" presId="urn:microsoft.com/office/officeart/2008/layout/HexagonCluster"/>
    <dgm:cxn modelId="{65C65B77-FE47-4965-8A52-B178EEAEDD43}" type="presParOf" srcId="{0D8DAF5B-B64B-4728-B684-76579FB7979D}" destId="{E3D662AC-06B3-4B21-A9FE-6D68F669D7CD}" srcOrd="0" destOrd="0" presId="urn:microsoft.com/office/officeart/2008/layout/HexagonCluster"/>
    <dgm:cxn modelId="{B1350E0E-B4F5-49EB-9E47-6F194B67FBF1}" type="presParOf" srcId="{71EC7165-8347-4FE6-9AE0-129C518ACB71}" destId="{6B4538CC-2190-4F79-94FD-69F177286C19}" srcOrd="8" destOrd="0" presId="urn:microsoft.com/office/officeart/2008/layout/HexagonCluster"/>
    <dgm:cxn modelId="{E4813E93-C1A6-43B4-ADD0-C5038DBFA127}" type="presParOf" srcId="{6B4538CC-2190-4F79-94FD-69F177286C19}" destId="{92DC4FF0-7A6F-4CBF-893A-44AD9546F0A1}" srcOrd="0" destOrd="0" presId="urn:microsoft.com/office/officeart/2008/layout/HexagonCluster"/>
    <dgm:cxn modelId="{906FF47A-551E-4407-BF29-C9711FEA614F}" type="presParOf" srcId="{71EC7165-8347-4FE6-9AE0-129C518ACB71}" destId="{37649037-434C-41BB-8BD4-AB97A22DD378}" srcOrd="9" destOrd="0" presId="urn:microsoft.com/office/officeart/2008/layout/HexagonCluster"/>
    <dgm:cxn modelId="{C10CD4D6-FBF8-4646-9D6C-B21A6E05C946}" type="presParOf" srcId="{37649037-434C-41BB-8BD4-AB97A22DD378}" destId="{7361E8D0-3AB9-4D16-8497-DBA7C7DEBA2B}" srcOrd="0" destOrd="0" presId="urn:microsoft.com/office/officeart/2008/layout/HexagonCluster"/>
    <dgm:cxn modelId="{3A476412-6B87-4317-880A-A5AAF6B49932}" type="presParOf" srcId="{71EC7165-8347-4FE6-9AE0-129C518ACB71}" destId="{ADA57D26-4215-4DDA-93D0-C5F8E710C242}" srcOrd="10" destOrd="0" presId="urn:microsoft.com/office/officeart/2008/layout/HexagonCluster"/>
    <dgm:cxn modelId="{1C465A87-A0FB-403D-B098-A9D774A9E42B}" type="presParOf" srcId="{ADA57D26-4215-4DDA-93D0-C5F8E710C242}" destId="{AF7DA773-D97E-4984-B2A6-8F1EDA64E6E9}" srcOrd="0" destOrd="0" presId="urn:microsoft.com/office/officeart/2008/layout/HexagonCluster"/>
    <dgm:cxn modelId="{0A4C8117-F596-49B6-897C-DD1BE2089F2E}" type="presParOf" srcId="{71EC7165-8347-4FE6-9AE0-129C518ACB71}" destId="{B6E9A065-D675-44C8-AA79-9281BECB2472}" srcOrd="11" destOrd="0" presId="urn:microsoft.com/office/officeart/2008/layout/HexagonCluster"/>
    <dgm:cxn modelId="{BCE20C47-0A74-4EBF-97AE-E95FCE9B8A08}" type="presParOf" srcId="{B6E9A065-D675-44C8-AA79-9281BECB2472}" destId="{67E2C0EA-D496-4476-9A94-5F7261497313}" srcOrd="0" destOrd="0" presId="urn:microsoft.com/office/officeart/2008/layout/HexagonCluster"/>
    <dgm:cxn modelId="{9554703C-2192-413E-B156-12C37D2C067A}" type="presParOf" srcId="{71EC7165-8347-4FE6-9AE0-129C518ACB71}" destId="{8402A0BB-1956-445B-AF9C-D66124ED8AE8}" srcOrd="12" destOrd="0" presId="urn:microsoft.com/office/officeart/2008/layout/HexagonCluster"/>
    <dgm:cxn modelId="{BB8919F2-4661-4F0D-B81D-2BC5CBCA8019}" type="presParOf" srcId="{8402A0BB-1956-445B-AF9C-D66124ED8AE8}" destId="{A04ED209-4838-44A0-903F-02AD9FEFBBB6}" srcOrd="0" destOrd="0" presId="urn:microsoft.com/office/officeart/2008/layout/HexagonCluster"/>
    <dgm:cxn modelId="{39F7D06C-EA46-4BA1-8E6C-905343213414}" type="presParOf" srcId="{71EC7165-8347-4FE6-9AE0-129C518ACB71}" destId="{88F8DF0F-FBC3-43A6-88C3-1F57969C335B}" srcOrd="13" destOrd="0" presId="urn:microsoft.com/office/officeart/2008/layout/HexagonCluster"/>
    <dgm:cxn modelId="{E119AB3F-B2BB-4BA3-AA01-FE0F27B36CC1}" type="presParOf" srcId="{88F8DF0F-FBC3-43A6-88C3-1F57969C335B}" destId="{D2D054A3-4E4B-4E24-8D97-89D43FB8C349}" srcOrd="0" destOrd="0" presId="urn:microsoft.com/office/officeart/2008/layout/HexagonCluster"/>
    <dgm:cxn modelId="{48079A32-A82F-47F4-AAAD-918CBB6BA3A8}" type="presParOf" srcId="{71EC7165-8347-4FE6-9AE0-129C518ACB71}" destId="{3F9CFCB1-D41F-4C1C-AB4F-228E0D6F5ED9}" srcOrd="14" destOrd="0" presId="urn:microsoft.com/office/officeart/2008/layout/HexagonCluster"/>
    <dgm:cxn modelId="{F5F35B61-15FC-41DD-A55F-95235D48AC3E}" type="presParOf" srcId="{3F9CFCB1-D41F-4C1C-AB4F-228E0D6F5ED9}" destId="{00584D79-8ADA-4E0D-AFA7-93FDBF3D5CFB}" srcOrd="0" destOrd="0" presId="urn:microsoft.com/office/officeart/2008/layout/HexagonCluster"/>
    <dgm:cxn modelId="{12F83541-380D-4390-A4C3-890893590D27}" type="presParOf" srcId="{71EC7165-8347-4FE6-9AE0-129C518ACB71}" destId="{BFE3D649-B36F-42B0-AE81-5CE2C59437AA}" srcOrd="15" destOrd="0" presId="urn:microsoft.com/office/officeart/2008/layout/HexagonCluster"/>
    <dgm:cxn modelId="{6916B13A-FE6E-4DDA-85E4-9A16E05E546B}" type="presParOf" srcId="{BFE3D649-B36F-42B0-AE81-5CE2C59437AA}" destId="{02BA8739-8756-4BB0-AED2-EDF71BDBB700}" srcOrd="0" destOrd="0" presId="urn:microsoft.com/office/officeart/2008/layout/HexagonCluster"/>
    <dgm:cxn modelId="{BA474F62-FD51-4679-BDA8-AE84523B5E5F}" type="presParOf" srcId="{71EC7165-8347-4FE6-9AE0-129C518ACB71}" destId="{96FC9C9D-729D-4784-8E58-D9C36EEF6A40}" srcOrd="16" destOrd="0" presId="urn:microsoft.com/office/officeart/2008/layout/HexagonCluster"/>
    <dgm:cxn modelId="{350652AB-AA2B-4133-ADFB-E1B8D3332198}" type="presParOf" srcId="{96FC9C9D-729D-4784-8E58-D9C36EEF6A40}" destId="{51C6B36E-BB2F-42EB-A1A3-C2E705173080}" srcOrd="0" destOrd="0" presId="urn:microsoft.com/office/officeart/2008/layout/HexagonCluster"/>
    <dgm:cxn modelId="{384254FE-8ADF-4785-89ED-620474BF4F71}" type="presParOf" srcId="{71EC7165-8347-4FE6-9AE0-129C518ACB71}" destId="{472E33BF-95EF-4A87-AE65-4D17FA1317E1}" srcOrd="17" destOrd="0" presId="urn:microsoft.com/office/officeart/2008/layout/HexagonCluster"/>
    <dgm:cxn modelId="{D65B9C7F-693E-4E8B-ADCD-FCC159EAA89D}" type="presParOf" srcId="{472E33BF-95EF-4A87-AE65-4D17FA1317E1}" destId="{1208C2F8-4F4D-475F-B192-A5699641452A}" srcOrd="0" destOrd="0" presId="urn:microsoft.com/office/officeart/2008/layout/HexagonCluster"/>
    <dgm:cxn modelId="{9BBC59F5-14D0-4EF1-AE51-56CFF0C40219}" type="presParOf" srcId="{71EC7165-8347-4FE6-9AE0-129C518ACB71}" destId="{085C38A1-0A5E-495C-A93F-3F0EC03F111F}" srcOrd="18" destOrd="0" presId="urn:microsoft.com/office/officeart/2008/layout/HexagonCluster"/>
    <dgm:cxn modelId="{0C1A0E9F-96B1-4BF8-9513-D5E055FE179B}" type="presParOf" srcId="{085C38A1-0A5E-495C-A93F-3F0EC03F111F}" destId="{7957AEAB-82A8-459D-BA6F-54319E584032}" srcOrd="0" destOrd="0" presId="urn:microsoft.com/office/officeart/2008/layout/HexagonCluster"/>
    <dgm:cxn modelId="{4B0ACB0B-21A8-410C-9229-6D0F312380E4}" type="presParOf" srcId="{71EC7165-8347-4FE6-9AE0-129C518ACB71}" destId="{1FDE3237-4FDC-4CCB-8E94-33A7DE3115B9}" srcOrd="19" destOrd="0" presId="urn:microsoft.com/office/officeart/2008/layout/HexagonCluster"/>
    <dgm:cxn modelId="{D7A72200-681F-41F9-97CC-AB82198F8699}" type="presParOf" srcId="{1FDE3237-4FDC-4CCB-8E94-33A7DE3115B9}" destId="{31AC1E48-EC41-4EF7-BF00-03B2E8AE26D3}" srcOrd="0" destOrd="0" presId="urn:microsoft.com/office/officeart/2008/layout/HexagonCluster"/>
    <dgm:cxn modelId="{13C6D59D-0E7B-4588-B3A0-92F53F61C12F}" type="presParOf" srcId="{71EC7165-8347-4FE6-9AE0-129C518ACB71}" destId="{DED46002-5CD6-4300-86C0-1176345C611B}" srcOrd="20" destOrd="0" presId="urn:microsoft.com/office/officeart/2008/layout/HexagonCluster"/>
    <dgm:cxn modelId="{819208C2-0195-4872-A742-EEFDF83745F1}" type="presParOf" srcId="{DED46002-5CD6-4300-86C0-1176345C611B}" destId="{9E613F42-39F2-4335-B723-C69002BCE5D9}" srcOrd="0" destOrd="0" presId="urn:microsoft.com/office/officeart/2008/layout/HexagonCluster"/>
    <dgm:cxn modelId="{5539308A-F48E-442C-8BC3-1BA2C7AD3945}" type="presParOf" srcId="{71EC7165-8347-4FE6-9AE0-129C518ACB71}" destId="{6173D1D5-10FD-4926-A57F-A82231D83518}" srcOrd="21" destOrd="0" presId="urn:microsoft.com/office/officeart/2008/layout/HexagonCluster"/>
    <dgm:cxn modelId="{B1F7388F-6E3D-4114-B6CD-9FDC50BA507D}" type="presParOf" srcId="{6173D1D5-10FD-4926-A57F-A82231D83518}" destId="{AB021AF8-A36A-44DE-8FB1-AF7921E6C10B}" srcOrd="0" destOrd="0" presId="urn:microsoft.com/office/officeart/2008/layout/HexagonCluster"/>
    <dgm:cxn modelId="{258D48B2-6F89-472E-9816-4E6E410FDC29}" type="presParOf" srcId="{71EC7165-8347-4FE6-9AE0-129C518ACB71}" destId="{C7494C6E-0EB2-4AF6-9A46-5EBE93F1A0BE}" srcOrd="22" destOrd="0" presId="urn:microsoft.com/office/officeart/2008/layout/HexagonCluster"/>
    <dgm:cxn modelId="{EE95C1E6-175E-42DC-88F5-A2537E86A4CF}" type="presParOf" srcId="{C7494C6E-0EB2-4AF6-9A46-5EBE93F1A0BE}" destId="{02261D80-EC96-4370-A207-51C1988B7D95}" srcOrd="0" destOrd="0" presId="urn:microsoft.com/office/officeart/2008/layout/HexagonCluster"/>
    <dgm:cxn modelId="{99DDD56E-E9B9-4E27-AE5F-E13671277879}" type="presParOf" srcId="{71EC7165-8347-4FE6-9AE0-129C518ACB71}" destId="{3DF7FDE5-04B3-4E16-A9A0-E8C87FA6E373}" srcOrd="23" destOrd="0" presId="urn:microsoft.com/office/officeart/2008/layout/HexagonCluster"/>
    <dgm:cxn modelId="{558D2CE2-5932-4A63-B6AC-94D98ADEDE67}" type="presParOf" srcId="{3DF7FDE5-04B3-4E16-A9A0-E8C87FA6E373}" destId="{22FD8E9B-0F70-45B9-8906-201EFF3F32FF}" srcOrd="0" destOrd="0" presId="urn:microsoft.com/office/officeart/2008/layout/HexagonCluster"/>
    <dgm:cxn modelId="{ACC1E3FE-F220-4920-8AC7-C4AB49AF9034}" type="presParOf" srcId="{71EC7165-8347-4FE6-9AE0-129C518ACB71}" destId="{31B79B89-CB3F-4C92-9AC6-0E59E6B4E400}" srcOrd="24" destOrd="0" presId="urn:microsoft.com/office/officeart/2008/layout/HexagonCluster"/>
    <dgm:cxn modelId="{FFF0AA20-2BF9-446C-B186-20A5D17C303F}" type="presParOf" srcId="{31B79B89-CB3F-4C92-9AC6-0E59E6B4E400}" destId="{E90C9E3D-A548-4815-AD24-C5F778708C1A}" srcOrd="0" destOrd="0" presId="urn:microsoft.com/office/officeart/2008/layout/HexagonCluster"/>
    <dgm:cxn modelId="{8CF0F447-2417-47A3-9DEC-5C9BF2DFE2C7}" type="presParOf" srcId="{71EC7165-8347-4FE6-9AE0-129C518ACB71}" destId="{EBC161DF-6575-4299-A71F-A7A74DF9ADFC}" srcOrd="25" destOrd="0" presId="urn:microsoft.com/office/officeart/2008/layout/HexagonCluster"/>
    <dgm:cxn modelId="{8B150DAB-EC4C-4F9A-9022-6BEFD65BFEE0}" type="presParOf" srcId="{EBC161DF-6575-4299-A71F-A7A74DF9ADFC}" destId="{82303067-C360-444F-BB76-4BD3957A503D}" srcOrd="0" destOrd="0" presId="urn:microsoft.com/office/officeart/2008/layout/HexagonCluster"/>
    <dgm:cxn modelId="{D25008B1-22F2-4891-BE94-FFDB599A2B9C}" type="presParOf" srcId="{71EC7165-8347-4FE6-9AE0-129C518ACB71}" destId="{EBB05FC5-317E-499A-AF5A-4737B14BE0F2}" srcOrd="26" destOrd="0" presId="urn:microsoft.com/office/officeart/2008/layout/HexagonCluster"/>
    <dgm:cxn modelId="{61925899-254A-486B-ABF2-D716234D8200}" type="presParOf" srcId="{EBB05FC5-317E-499A-AF5A-4737B14BE0F2}" destId="{BD2C5067-55E8-4FD1-903D-038067EB0875}" srcOrd="0" destOrd="0" presId="urn:microsoft.com/office/officeart/2008/layout/HexagonCluster"/>
    <dgm:cxn modelId="{C118D98F-ACA2-4222-8237-14A78F5C98BA}" type="presParOf" srcId="{71EC7165-8347-4FE6-9AE0-129C518ACB71}" destId="{829B9243-F2D0-4F88-87EE-07EC098915B1}" srcOrd="27" destOrd="0" presId="urn:microsoft.com/office/officeart/2008/layout/HexagonCluster"/>
    <dgm:cxn modelId="{D6C4CF90-99F6-498A-943C-1EAD94A55E20}" type="presParOf" srcId="{829B9243-F2D0-4F88-87EE-07EC098915B1}" destId="{5FAEE815-603E-4626-9098-CD1BF26F45FA}" srcOrd="0" destOrd="0" presId="urn:microsoft.com/office/officeart/2008/layout/HexagonCluster"/>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83EA0AA1-6F91-460B-9C47-0626B8D4DFC1}" type="doc">
      <dgm:prSet loTypeId="urn:microsoft.com/office/officeart/2005/8/layout/radial4" loCatId="relationship" qsTypeId="urn:microsoft.com/office/officeart/2005/8/quickstyle/simple3" qsCatId="simple" csTypeId="urn:microsoft.com/office/officeart/2005/8/colors/accent5_2" csCatId="accent5" phldr="1"/>
      <dgm:spPr/>
      <dgm:t>
        <a:bodyPr/>
        <a:lstStyle/>
        <a:p>
          <a:endParaRPr lang="en-US"/>
        </a:p>
      </dgm:t>
    </dgm:pt>
    <dgm:pt modelId="{89F376C2-E8D6-4507-9566-0BCFACA40328}">
      <dgm:prSet phldrT="[Text]"/>
      <dgm:spPr/>
      <dgm:t>
        <a:bodyPr/>
        <a:lstStyle/>
        <a:p>
          <a:r>
            <a:rPr lang="en-US"/>
            <a:t>Observational Terms</a:t>
          </a:r>
        </a:p>
      </dgm:t>
    </dgm:pt>
    <dgm:pt modelId="{26285B4D-4C85-44C1-9EE6-E6EA96AC5CFC}" type="parTrans" cxnId="{512512A9-FF04-4B9D-BAAD-CF01EF0E9840}">
      <dgm:prSet/>
      <dgm:spPr/>
      <dgm:t>
        <a:bodyPr/>
        <a:lstStyle/>
        <a:p>
          <a:endParaRPr lang="en-US"/>
        </a:p>
      </dgm:t>
    </dgm:pt>
    <dgm:pt modelId="{FD739D68-9759-41DD-9651-58629F68A418}" type="sibTrans" cxnId="{512512A9-FF04-4B9D-BAAD-CF01EF0E9840}">
      <dgm:prSet/>
      <dgm:spPr/>
      <dgm:t>
        <a:bodyPr/>
        <a:lstStyle/>
        <a:p>
          <a:endParaRPr lang="en-US"/>
        </a:p>
      </dgm:t>
    </dgm:pt>
    <dgm:pt modelId="{A1BC7B7D-20B3-49C1-B5DD-087E3144F019}">
      <dgm:prSet phldrT="[Text]"/>
      <dgm:spPr/>
      <dgm:t>
        <a:bodyPr/>
        <a:lstStyle/>
        <a:p>
          <a:r>
            <a:rPr lang="en-US"/>
            <a:t>Indirect Observables</a:t>
          </a:r>
        </a:p>
      </dgm:t>
    </dgm:pt>
    <dgm:pt modelId="{9AA89DB7-9FAA-4E0F-BBCE-11A96B6AA678}" type="parTrans" cxnId="{A33BA4AD-1CE5-47FB-872C-B9CE229FB087}">
      <dgm:prSet/>
      <dgm:spPr/>
      <dgm:t>
        <a:bodyPr/>
        <a:lstStyle/>
        <a:p>
          <a:endParaRPr lang="en-US"/>
        </a:p>
      </dgm:t>
    </dgm:pt>
    <dgm:pt modelId="{E7E9A042-EA74-46A4-B04F-E9AB2369EF82}" type="sibTrans" cxnId="{A33BA4AD-1CE5-47FB-872C-B9CE229FB087}">
      <dgm:prSet/>
      <dgm:spPr/>
      <dgm:t>
        <a:bodyPr/>
        <a:lstStyle/>
        <a:p>
          <a:endParaRPr lang="en-US"/>
        </a:p>
      </dgm:t>
    </dgm:pt>
    <dgm:pt modelId="{21EE29A7-D434-40B6-8850-F6503E1549AD}">
      <dgm:prSet phldrT="[Text]"/>
      <dgm:spPr/>
      <dgm:t>
        <a:bodyPr/>
        <a:lstStyle/>
        <a:p>
          <a:r>
            <a:rPr lang="en-US"/>
            <a:t>Constructs</a:t>
          </a:r>
        </a:p>
      </dgm:t>
    </dgm:pt>
    <dgm:pt modelId="{4EF2F942-0299-43EE-87A7-9910768FCBE6}" type="parTrans" cxnId="{FC407326-F2A8-4D06-B7EC-546416665F5B}">
      <dgm:prSet/>
      <dgm:spPr/>
      <dgm:t>
        <a:bodyPr/>
        <a:lstStyle/>
        <a:p>
          <a:endParaRPr lang="en-US"/>
        </a:p>
      </dgm:t>
    </dgm:pt>
    <dgm:pt modelId="{C1043AC0-0936-4BCC-93C7-7A6FE05346E7}" type="sibTrans" cxnId="{FC407326-F2A8-4D06-B7EC-546416665F5B}">
      <dgm:prSet/>
      <dgm:spPr/>
      <dgm:t>
        <a:bodyPr/>
        <a:lstStyle/>
        <a:p>
          <a:endParaRPr lang="en-US"/>
        </a:p>
      </dgm:t>
    </dgm:pt>
    <dgm:pt modelId="{1AEC87E7-0D89-4149-85FB-E9D817D1CE6A}">
      <dgm:prSet phldrT="[Text]"/>
      <dgm:spPr/>
      <dgm:t>
        <a:bodyPr/>
        <a:lstStyle/>
        <a:p>
          <a:r>
            <a:rPr lang="en-US"/>
            <a:t>What We Measure</a:t>
          </a:r>
        </a:p>
      </dgm:t>
    </dgm:pt>
    <dgm:pt modelId="{DDD05C0E-0D95-4873-8324-071AD95BA902}" type="parTrans" cxnId="{A82C13E8-BD1C-488B-B795-B4BC665D77CD}">
      <dgm:prSet/>
      <dgm:spPr/>
      <dgm:t>
        <a:bodyPr/>
        <a:lstStyle/>
        <a:p>
          <a:endParaRPr lang="en-US"/>
        </a:p>
      </dgm:t>
    </dgm:pt>
    <dgm:pt modelId="{04E4B911-898B-463F-9DE3-8FFD400FE30C}" type="sibTrans" cxnId="{A82C13E8-BD1C-488B-B795-B4BC665D77CD}">
      <dgm:prSet/>
      <dgm:spPr/>
      <dgm:t>
        <a:bodyPr/>
        <a:lstStyle/>
        <a:p>
          <a:endParaRPr lang="en-US"/>
        </a:p>
      </dgm:t>
    </dgm:pt>
    <dgm:pt modelId="{23EC1C41-37C5-4ECF-B259-0EC2938DCFA6}" type="pres">
      <dgm:prSet presAssocID="{83EA0AA1-6F91-460B-9C47-0626B8D4DFC1}" presName="cycle" presStyleCnt="0">
        <dgm:presLayoutVars>
          <dgm:chMax val="1"/>
          <dgm:dir/>
          <dgm:animLvl val="ctr"/>
          <dgm:resizeHandles val="exact"/>
        </dgm:presLayoutVars>
      </dgm:prSet>
      <dgm:spPr/>
    </dgm:pt>
    <dgm:pt modelId="{52291B52-FA6E-401F-8215-9EC20369BB1B}" type="pres">
      <dgm:prSet presAssocID="{1AEC87E7-0D89-4149-85FB-E9D817D1CE6A}" presName="centerShape" presStyleLbl="node0" presStyleIdx="0" presStyleCnt="1"/>
      <dgm:spPr/>
    </dgm:pt>
    <dgm:pt modelId="{F279186C-2CDF-45D7-A7E3-D6E364F5A03E}" type="pres">
      <dgm:prSet presAssocID="{26285B4D-4C85-44C1-9EE6-E6EA96AC5CFC}" presName="parTrans" presStyleLbl="bgSibTrans2D1" presStyleIdx="0" presStyleCnt="3"/>
      <dgm:spPr/>
    </dgm:pt>
    <dgm:pt modelId="{CB662C7D-299C-4397-9C46-D61C2E4EFE30}" type="pres">
      <dgm:prSet presAssocID="{89F376C2-E8D6-4507-9566-0BCFACA40328}" presName="node" presStyleLbl="node1" presStyleIdx="0" presStyleCnt="3">
        <dgm:presLayoutVars>
          <dgm:bulletEnabled val="1"/>
        </dgm:presLayoutVars>
      </dgm:prSet>
      <dgm:spPr/>
    </dgm:pt>
    <dgm:pt modelId="{0B236973-A07A-473C-BF0C-A3D4A44754E1}" type="pres">
      <dgm:prSet presAssocID="{9AA89DB7-9FAA-4E0F-BBCE-11A96B6AA678}" presName="parTrans" presStyleLbl="bgSibTrans2D1" presStyleIdx="1" presStyleCnt="3"/>
      <dgm:spPr/>
    </dgm:pt>
    <dgm:pt modelId="{A41B22CC-4E1D-4771-8FF3-211A8F91DA3E}" type="pres">
      <dgm:prSet presAssocID="{A1BC7B7D-20B3-49C1-B5DD-087E3144F019}" presName="node" presStyleLbl="node1" presStyleIdx="1" presStyleCnt="3">
        <dgm:presLayoutVars>
          <dgm:bulletEnabled val="1"/>
        </dgm:presLayoutVars>
      </dgm:prSet>
      <dgm:spPr/>
    </dgm:pt>
    <dgm:pt modelId="{9DE80D5D-8FAB-462A-A7E7-F0E554B5514D}" type="pres">
      <dgm:prSet presAssocID="{4EF2F942-0299-43EE-87A7-9910768FCBE6}" presName="parTrans" presStyleLbl="bgSibTrans2D1" presStyleIdx="2" presStyleCnt="3"/>
      <dgm:spPr/>
    </dgm:pt>
    <dgm:pt modelId="{987CDFA4-71B4-4F2D-8759-FC88DFC478C8}" type="pres">
      <dgm:prSet presAssocID="{21EE29A7-D434-40B6-8850-F6503E1549AD}" presName="node" presStyleLbl="node1" presStyleIdx="2" presStyleCnt="3">
        <dgm:presLayoutVars>
          <dgm:bulletEnabled val="1"/>
        </dgm:presLayoutVars>
      </dgm:prSet>
      <dgm:spPr/>
    </dgm:pt>
  </dgm:ptLst>
  <dgm:cxnLst>
    <dgm:cxn modelId="{F001A211-4FAF-4567-98A0-2C34E2EEEF50}" type="presOf" srcId="{A1BC7B7D-20B3-49C1-B5DD-087E3144F019}" destId="{A41B22CC-4E1D-4771-8FF3-211A8F91DA3E}" srcOrd="0" destOrd="0" presId="urn:microsoft.com/office/officeart/2005/8/layout/radial4"/>
    <dgm:cxn modelId="{FC407326-F2A8-4D06-B7EC-546416665F5B}" srcId="{1AEC87E7-0D89-4149-85FB-E9D817D1CE6A}" destId="{21EE29A7-D434-40B6-8850-F6503E1549AD}" srcOrd="2" destOrd="0" parTransId="{4EF2F942-0299-43EE-87A7-9910768FCBE6}" sibTransId="{C1043AC0-0936-4BCC-93C7-7A6FE05346E7}"/>
    <dgm:cxn modelId="{3E34CF33-A9F7-4608-969C-FACA676C09DB}" type="presOf" srcId="{21EE29A7-D434-40B6-8850-F6503E1549AD}" destId="{987CDFA4-71B4-4F2D-8759-FC88DFC478C8}" srcOrd="0" destOrd="0" presId="urn:microsoft.com/office/officeart/2005/8/layout/radial4"/>
    <dgm:cxn modelId="{9DBCFE63-477C-4394-AC3A-B0352D384727}" type="presOf" srcId="{89F376C2-E8D6-4507-9566-0BCFACA40328}" destId="{CB662C7D-299C-4397-9C46-D61C2E4EFE30}" srcOrd="0" destOrd="0" presId="urn:microsoft.com/office/officeart/2005/8/layout/radial4"/>
    <dgm:cxn modelId="{D55FBD64-F307-401C-82C0-CE0FEFF7CC22}" type="presOf" srcId="{26285B4D-4C85-44C1-9EE6-E6EA96AC5CFC}" destId="{F279186C-2CDF-45D7-A7E3-D6E364F5A03E}" srcOrd="0" destOrd="0" presId="urn:microsoft.com/office/officeart/2005/8/layout/radial4"/>
    <dgm:cxn modelId="{BF69146A-2AF4-40C9-B7E2-87F0655D978E}" type="presOf" srcId="{1AEC87E7-0D89-4149-85FB-E9D817D1CE6A}" destId="{52291B52-FA6E-401F-8215-9EC20369BB1B}" srcOrd="0" destOrd="0" presId="urn:microsoft.com/office/officeart/2005/8/layout/radial4"/>
    <dgm:cxn modelId="{6D2DC593-EDF5-40E6-82B9-D16D7D80556B}" type="presOf" srcId="{4EF2F942-0299-43EE-87A7-9910768FCBE6}" destId="{9DE80D5D-8FAB-462A-A7E7-F0E554B5514D}" srcOrd="0" destOrd="0" presId="urn:microsoft.com/office/officeart/2005/8/layout/radial4"/>
    <dgm:cxn modelId="{512512A9-FF04-4B9D-BAAD-CF01EF0E9840}" srcId="{1AEC87E7-0D89-4149-85FB-E9D817D1CE6A}" destId="{89F376C2-E8D6-4507-9566-0BCFACA40328}" srcOrd="0" destOrd="0" parTransId="{26285B4D-4C85-44C1-9EE6-E6EA96AC5CFC}" sibTransId="{FD739D68-9759-41DD-9651-58629F68A418}"/>
    <dgm:cxn modelId="{A33BA4AD-1CE5-47FB-872C-B9CE229FB087}" srcId="{1AEC87E7-0D89-4149-85FB-E9D817D1CE6A}" destId="{A1BC7B7D-20B3-49C1-B5DD-087E3144F019}" srcOrd="1" destOrd="0" parTransId="{9AA89DB7-9FAA-4E0F-BBCE-11A96B6AA678}" sibTransId="{E7E9A042-EA74-46A4-B04F-E9AB2369EF82}"/>
    <dgm:cxn modelId="{DC419CD3-F500-430E-AE26-AC2A8CE3637D}" type="presOf" srcId="{9AA89DB7-9FAA-4E0F-BBCE-11A96B6AA678}" destId="{0B236973-A07A-473C-BF0C-A3D4A44754E1}" srcOrd="0" destOrd="0" presId="urn:microsoft.com/office/officeart/2005/8/layout/radial4"/>
    <dgm:cxn modelId="{A82C13E8-BD1C-488B-B795-B4BC665D77CD}" srcId="{83EA0AA1-6F91-460B-9C47-0626B8D4DFC1}" destId="{1AEC87E7-0D89-4149-85FB-E9D817D1CE6A}" srcOrd="0" destOrd="0" parTransId="{DDD05C0E-0D95-4873-8324-071AD95BA902}" sibTransId="{04E4B911-898B-463F-9DE3-8FFD400FE30C}"/>
    <dgm:cxn modelId="{DAE33AF3-F04D-407A-8B8B-9E7C031D55B8}" type="presOf" srcId="{83EA0AA1-6F91-460B-9C47-0626B8D4DFC1}" destId="{23EC1C41-37C5-4ECF-B259-0EC2938DCFA6}" srcOrd="0" destOrd="0" presId="urn:microsoft.com/office/officeart/2005/8/layout/radial4"/>
    <dgm:cxn modelId="{C629274F-8BBC-433C-A71C-B25FC341A3C6}" type="presParOf" srcId="{23EC1C41-37C5-4ECF-B259-0EC2938DCFA6}" destId="{52291B52-FA6E-401F-8215-9EC20369BB1B}" srcOrd="0" destOrd="0" presId="urn:microsoft.com/office/officeart/2005/8/layout/radial4"/>
    <dgm:cxn modelId="{A9D0D0B4-3650-43BF-A265-446150CFD878}" type="presParOf" srcId="{23EC1C41-37C5-4ECF-B259-0EC2938DCFA6}" destId="{F279186C-2CDF-45D7-A7E3-D6E364F5A03E}" srcOrd="1" destOrd="0" presId="urn:microsoft.com/office/officeart/2005/8/layout/radial4"/>
    <dgm:cxn modelId="{8936BB72-C897-4DA0-A649-88EA3E627F8A}" type="presParOf" srcId="{23EC1C41-37C5-4ECF-B259-0EC2938DCFA6}" destId="{CB662C7D-299C-4397-9C46-D61C2E4EFE30}" srcOrd="2" destOrd="0" presId="urn:microsoft.com/office/officeart/2005/8/layout/radial4"/>
    <dgm:cxn modelId="{35604566-608D-4095-A94F-B8C6DBDC9965}" type="presParOf" srcId="{23EC1C41-37C5-4ECF-B259-0EC2938DCFA6}" destId="{0B236973-A07A-473C-BF0C-A3D4A44754E1}" srcOrd="3" destOrd="0" presId="urn:microsoft.com/office/officeart/2005/8/layout/radial4"/>
    <dgm:cxn modelId="{849E9C8C-3AF0-4F6A-A496-3664F080B3A7}" type="presParOf" srcId="{23EC1C41-37C5-4ECF-B259-0EC2938DCFA6}" destId="{A41B22CC-4E1D-4771-8FF3-211A8F91DA3E}" srcOrd="4" destOrd="0" presId="urn:microsoft.com/office/officeart/2005/8/layout/radial4"/>
    <dgm:cxn modelId="{9160B05D-EBAB-472B-9861-4880F228F872}" type="presParOf" srcId="{23EC1C41-37C5-4ECF-B259-0EC2938DCFA6}" destId="{9DE80D5D-8FAB-462A-A7E7-F0E554B5514D}" srcOrd="5" destOrd="0" presId="urn:microsoft.com/office/officeart/2005/8/layout/radial4"/>
    <dgm:cxn modelId="{4CA65921-28D3-4EDC-AD9A-F617ADF3697B}" type="presParOf" srcId="{23EC1C41-37C5-4ECF-B259-0EC2938DCFA6}" destId="{987CDFA4-71B4-4F2D-8759-FC88DFC478C8}" srcOrd="6" destOrd="0" presId="urn:microsoft.com/office/officeart/2005/8/layout/radial4"/>
  </dgm:cxnLst>
  <dgm:bg/>
  <dgm:whole/>
  <dgm:extLst>
    <a:ext uri="http://schemas.microsoft.com/office/drawing/2008/diagram">
      <dsp:dataModelExt xmlns:dsp="http://schemas.microsoft.com/office/drawing/2008/diagram" relId="rId15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EAC1082C-B26B-4897-B971-BEE89DD497C3}" type="doc">
      <dgm:prSet loTypeId="urn:microsoft.com/office/officeart/2005/8/layout/arrow3" loCatId="relationship" qsTypeId="urn:microsoft.com/office/officeart/2005/8/quickstyle/simple1" qsCatId="simple" csTypeId="urn:microsoft.com/office/officeart/2005/8/colors/accent1_1" csCatId="accent1" phldr="1"/>
      <dgm:spPr/>
      <dgm:t>
        <a:bodyPr/>
        <a:lstStyle/>
        <a:p>
          <a:endParaRPr lang="en-US"/>
        </a:p>
      </dgm:t>
    </dgm:pt>
    <dgm:pt modelId="{24691AE5-2DB6-402F-96D5-57245F762C8C}">
      <dgm:prSet phldrT="[Text]"/>
      <dgm:spPr/>
      <dgm:t>
        <a:bodyPr/>
        <a:lstStyle/>
        <a:p>
          <a:r>
            <a:rPr lang="en-US"/>
            <a:t>Conceptualization</a:t>
          </a:r>
        </a:p>
      </dgm:t>
    </dgm:pt>
    <dgm:pt modelId="{1AD2F619-8758-4442-87CD-E6CE5E222294}" type="parTrans" cxnId="{9774E4F7-CBBC-4952-B672-0F914B11779D}">
      <dgm:prSet/>
      <dgm:spPr/>
      <dgm:t>
        <a:bodyPr/>
        <a:lstStyle/>
        <a:p>
          <a:endParaRPr lang="en-US"/>
        </a:p>
      </dgm:t>
    </dgm:pt>
    <dgm:pt modelId="{011B263E-E2C7-4298-B875-53082CEEA950}" type="sibTrans" cxnId="{9774E4F7-CBBC-4952-B672-0F914B11779D}">
      <dgm:prSet/>
      <dgm:spPr/>
      <dgm:t>
        <a:bodyPr/>
        <a:lstStyle/>
        <a:p>
          <a:endParaRPr lang="en-US"/>
        </a:p>
      </dgm:t>
    </dgm:pt>
    <dgm:pt modelId="{93D7E50F-CEE8-4366-8A46-D65ED2638298}">
      <dgm:prSet phldrT="[Text]"/>
      <dgm:spPr/>
      <dgm:t>
        <a:bodyPr/>
        <a:lstStyle/>
        <a:p>
          <a:r>
            <a:rPr lang="en-US"/>
            <a:t>Define concepts being researched.</a:t>
          </a:r>
        </a:p>
      </dgm:t>
    </dgm:pt>
    <dgm:pt modelId="{DD4D22E9-79F0-4B71-8003-F9C169A9F1C9}" type="parTrans" cxnId="{059860D4-6DE6-492F-887A-39CA82A3C75F}">
      <dgm:prSet/>
      <dgm:spPr/>
      <dgm:t>
        <a:bodyPr/>
        <a:lstStyle/>
        <a:p>
          <a:endParaRPr lang="en-US"/>
        </a:p>
      </dgm:t>
    </dgm:pt>
    <dgm:pt modelId="{BA92427C-C080-40BB-B08E-62F5C4C7FD37}" type="sibTrans" cxnId="{059860D4-6DE6-492F-887A-39CA82A3C75F}">
      <dgm:prSet/>
      <dgm:spPr/>
      <dgm:t>
        <a:bodyPr/>
        <a:lstStyle/>
        <a:p>
          <a:endParaRPr lang="en-US"/>
        </a:p>
      </dgm:t>
    </dgm:pt>
    <dgm:pt modelId="{681C12A9-99A4-4207-85A2-C36B3B191B2C}">
      <dgm:prSet phldrT="[Text]"/>
      <dgm:spPr/>
      <dgm:t>
        <a:bodyPr/>
        <a:lstStyle/>
        <a:p>
          <a:r>
            <a:rPr lang="en-US"/>
            <a:t>Operationalization</a:t>
          </a:r>
        </a:p>
      </dgm:t>
    </dgm:pt>
    <dgm:pt modelId="{10FEB5B2-B774-4695-A833-4264A5BDAE85}" type="parTrans" cxnId="{B8107187-3496-4098-811F-4762AB698560}">
      <dgm:prSet/>
      <dgm:spPr/>
      <dgm:t>
        <a:bodyPr/>
        <a:lstStyle/>
        <a:p>
          <a:endParaRPr lang="en-US"/>
        </a:p>
      </dgm:t>
    </dgm:pt>
    <dgm:pt modelId="{04DDA113-0B58-4FE8-A7D7-FCA7322D99FD}" type="sibTrans" cxnId="{B8107187-3496-4098-811F-4762AB698560}">
      <dgm:prSet/>
      <dgm:spPr/>
      <dgm:t>
        <a:bodyPr/>
        <a:lstStyle/>
        <a:p>
          <a:endParaRPr lang="en-US"/>
        </a:p>
      </dgm:t>
    </dgm:pt>
    <dgm:pt modelId="{DE15F018-ACC1-4C5C-94E9-68D3776110D3}">
      <dgm:prSet phldrT="[Text]"/>
      <dgm:spPr/>
      <dgm:t>
        <a:bodyPr/>
        <a:lstStyle/>
        <a:p>
          <a:r>
            <a:rPr lang="en-US"/>
            <a:t>Create measurable indicators.</a:t>
          </a:r>
        </a:p>
      </dgm:t>
    </dgm:pt>
    <dgm:pt modelId="{E6105B00-8761-415B-B086-AB68386A1DB7}" type="parTrans" cxnId="{1F4845AC-7B5C-41A1-BBC2-85E0CB3597BA}">
      <dgm:prSet/>
      <dgm:spPr/>
      <dgm:t>
        <a:bodyPr/>
        <a:lstStyle/>
        <a:p>
          <a:endParaRPr lang="en-US"/>
        </a:p>
      </dgm:t>
    </dgm:pt>
    <dgm:pt modelId="{E4581F26-C7CB-4480-B92E-33015D2CDB95}" type="sibTrans" cxnId="{1F4845AC-7B5C-41A1-BBC2-85E0CB3597BA}">
      <dgm:prSet/>
      <dgm:spPr/>
      <dgm:t>
        <a:bodyPr/>
        <a:lstStyle/>
        <a:p>
          <a:endParaRPr lang="en-US"/>
        </a:p>
      </dgm:t>
    </dgm:pt>
    <dgm:pt modelId="{7F022E9C-E850-4135-B9C6-96F52C7FC0BD}">
      <dgm:prSet phldrT="[Text]"/>
      <dgm:spPr/>
      <dgm:t>
        <a:bodyPr/>
        <a:lstStyle/>
        <a:p>
          <a:r>
            <a:rPr lang="en-US"/>
            <a:t>Theoretical level.</a:t>
          </a:r>
        </a:p>
      </dgm:t>
    </dgm:pt>
    <dgm:pt modelId="{A9409D8B-B083-4107-8C04-37000D50F3C9}" type="parTrans" cxnId="{859E455C-8547-42B6-8C68-051E970A2593}">
      <dgm:prSet/>
      <dgm:spPr/>
      <dgm:t>
        <a:bodyPr/>
        <a:lstStyle/>
        <a:p>
          <a:endParaRPr lang="en-US"/>
        </a:p>
      </dgm:t>
    </dgm:pt>
    <dgm:pt modelId="{9DDAC437-8C19-4D98-B84B-38762ACC8C2D}" type="sibTrans" cxnId="{859E455C-8547-42B6-8C68-051E970A2593}">
      <dgm:prSet/>
      <dgm:spPr/>
      <dgm:t>
        <a:bodyPr/>
        <a:lstStyle/>
        <a:p>
          <a:endParaRPr lang="en-US"/>
        </a:p>
      </dgm:t>
    </dgm:pt>
    <dgm:pt modelId="{04C3393E-9D30-4064-86A1-9F8131E4AE4F}">
      <dgm:prSet phldrT="[Text]"/>
      <dgm:spPr/>
      <dgm:t>
        <a:bodyPr/>
        <a:lstStyle/>
        <a:p>
          <a:r>
            <a:rPr lang="en-US"/>
            <a:t>Empirical level.</a:t>
          </a:r>
        </a:p>
      </dgm:t>
    </dgm:pt>
    <dgm:pt modelId="{B5636755-43E3-4355-BB19-64931C604E7E}" type="parTrans" cxnId="{01405DBC-2E9E-449D-AA5D-151B2638551A}">
      <dgm:prSet/>
      <dgm:spPr/>
      <dgm:t>
        <a:bodyPr/>
        <a:lstStyle/>
        <a:p>
          <a:endParaRPr lang="en-US"/>
        </a:p>
      </dgm:t>
    </dgm:pt>
    <dgm:pt modelId="{9453C84C-4D88-4E84-B356-B59CD32279B8}" type="sibTrans" cxnId="{01405DBC-2E9E-449D-AA5D-151B2638551A}">
      <dgm:prSet/>
      <dgm:spPr/>
      <dgm:t>
        <a:bodyPr/>
        <a:lstStyle/>
        <a:p>
          <a:endParaRPr lang="en-US"/>
        </a:p>
      </dgm:t>
    </dgm:pt>
    <dgm:pt modelId="{9CF85B17-81CA-419C-835A-C7B8F5CF4F72}" type="pres">
      <dgm:prSet presAssocID="{EAC1082C-B26B-4897-B971-BEE89DD497C3}" presName="compositeShape" presStyleCnt="0">
        <dgm:presLayoutVars>
          <dgm:chMax val="2"/>
          <dgm:dir/>
          <dgm:resizeHandles val="exact"/>
        </dgm:presLayoutVars>
      </dgm:prSet>
      <dgm:spPr/>
    </dgm:pt>
    <dgm:pt modelId="{B53EDA09-94C7-4F64-BC64-92B49D42E769}" type="pres">
      <dgm:prSet presAssocID="{EAC1082C-B26B-4897-B971-BEE89DD497C3}" presName="divider" presStyleLbl="fgShp" presStyleIdx="0" presStyleCnt="1"/>
      <dgm:spPr/>
    </dgm:pt>
    <dgm:pt modelId="{4E240100-D6D8-47AB-9F96-0748F7C0142E}" type="pres">
      <dgm:prSet presAssocID="{24691AE5-2DB6-402F-96D5-57245F762C8C}" presName="downArrow" presStyleLbl="node1" presStyleIdx="0" presStyleCnt="2"/>
      <dgm:spPr/>
    </dgm:pt>
    <dgm:pt modelId="{F46A53FA-7AC0-483A-8190-5A53C2603EC8}" type="pres">
      <dgm:prSet presAssocID="{24691AE5-2DB6-402F-96D5-57245F762C8C}" presName="downArrowText" presStyleLbl="revTx" presStyleIdx="0" presStyleCnt="2">
        <dgm:presLayoutVars>
          <dgm:bulletEnabled val="1"/>
        </dgm:presLayoutVars>
      </dgm:prSet>
      <dgm:spPr/>
    </dgm:pt>
    <dgm:pt modelId="{9E40BB59-4458-4EB6-915E-89C9250D18E7}" type="pres">
      <dgm:prSet presAssocID="{681C12A9-99A4-4207-85A2-C36B3B191B2C}" presName="upArrow" presStyleLbl="node1" presStyleIdx="1" presStyleCnt="2"/>
      <dgm:spPr/>
    </dgm:pt>
    <dgm:pt modelId="{AEAA35BC-092B-4332-A857-305807B96D1B}" type="pres">
      <dgm:prSet presAssocID="{681C12A9-99A4-4207-85A2-C36B3B191B2C}" presName="upArrowText" presStyleLbl="revTx" presStyleIdx="1" presStyleCnt="2">
        <dgm:presLayoutVars>
          <dgm:bulletEnabled val="1"/>
        </dgm:presLayoutVars>
      </dgm:prSet>
      <dgm:spPr/>
    </dgm:pt>
  </dgm:ptLst>
  <dgm:cxnLst>
    <dgm:cxn modelId="{859E455C-8547-42B6-8C68-051E970A2593}" srcId="{24691AE5-2DB6-402F-96D5-57245F762C8C}" destId="{7F022E9C-E850-4135-B9C6-96F52C7FC0BD}" srcOrd="1" destOrd="0" parTransId="{A9409D8B-B083-4107-8C04-37000D50F3C9}" sibTransId="{9DDAC437-8C19-4D98-B84B-38762ACC8C2D}"/>
    <dgm:cxn modelId="{88CE4F45-3A5A-4E96-BCF6-8630E7565956}" type="presOf" srcId="{24691AE5-2DB6-402F-96D5-57245F762C8C}" destId="{F46A53FA-7AC0-483A-8190-5A53C2603EC8}" srcOrd="0" destOrd="0" presId="urn:microsoft.com/office/officeart/2005/8/layout/arrow3"/>
    <dgm:cxn modelId="{71E7AA49-2526-4F73-BF99-C6EEEA2AEF46}" type="presOf" srcId="{93D7E50F-CEE8-4366-8A46-D65ED2638298}" destId="{F46A53FA-7AC0-483A-8190-5A53C2603EC8}" srcOrd="0" destOrd="1" presId="urn:microsoft.com/office/officeart/2005/8/layout/arrow3"/>
    <dgm:cxn modelId="{B8107187-3496-4098-811F-4762AB698560}" srcId="{EAC1082C-B26B-4897-B971-BEE89DD497C3}" destId="{681C12A9-99A4-4207-85A2-C36B3B191B2C}" srcOrd="1" destOrd="0" parTransId="{10FEB5B2-B774-4695-A833-4264A5BDAE85}" sibTransId="{04DDA113-0B58-4FE8-A7D7-FCA7322D99FD}"/>
    <dgm:cxn modelId="{98D6A48A-F9CB-483F-8FEA-2831A89F9E3F}" type="presOf" srcId="{681C12A9-99A4-4207-85A2-C36B3B191B2C}" destId="{AEAA35BC-092B-4332-A857-305807B96D1B}" srcOrd="0" destOrd="0" presId="urn:microsoft.com/office/officeart/2005/8/layout/arrow3"/>
    <dgm:cxn modelId="{4BBF4F9E-21E5-4CD3-8888-9C00F4011BC0}" type="presOf" srcId="{7F022E9C-E850-4135-B9C6-96F52C7FC0BD}" destId="{F46A53FA-7AC0-483A-8190-5A53C2603EC8}" srcOrd="0" destOrd="2" presId="urn:microsoft.com/office/officeart/2005/8/layout/arrow3"/>
    <dgm:cxn modelId="{1F4845AC-7B5C-41A1-BBC2-85E0CB3597BA}" srcId="{681C12A9-99A4-4207-85A2-C36B3B191B2C}" destId="{DE15F018-ACC1-4C5C-94E9-68D3776110D3}" srcOrd="0" destOrd="0" parTransId="{E6105B00-8761-415B-B086-AB68386A1DB7}" sibTransId="{E4581F26-C7CB-4480-B92E-33015D2CDB95}"/>
    <dgm:cxn modelId="{1C40D0B1-83DC-4CE8-8D61-8EACD6879043}" type="presOf" srcId="{EAC1082C-B26B-4897-B971-BEE89DD497C3}" destId="{9CF85B17-81CA-419C-835A-C7B8F5CF4F72}" srcOrd="0" destOrd="0" presId="urn:microsoft.com/office/officeart/2005/8/layout/arrow3"/>
    <dgm:cxn modelId="{4FF3A2B4-D9A7-4BEB-B401-33BB4D06588D}" type="presOf" srcId="{04C3393E-9D30-4064-86A1-9F8131E4AE4F}" destId="{AEAA35BC-092B-4332-A857-305807B96D1B}" srcOrd="0" destOrd="2" presId="urn:microsoft.com/office/officeart/2005/8/layout/arrow3"/>
    <dgm:cxn modelId="{01405DBC-2E9E-449D-AA5D-151B2638551A}" srcId="{681C12A9-99A4-4207-85A2-C36B3B191B2C}" destId="{04C3393E-9D30-4064-86A1-9F8131E4AE4F}" srcOrd="1" destOrd="0" parTransId="{B5636755-43E3-4355-BB19-64931C604E7E}" sibTransId="{9453C84C-4D88-4E84-B356-B59CD32279B8}"/>
    <dgm:cxn modelId="{7D51B4D1-B592-4271-B090-BA4C8EB9CD30}" type="presOf" srcId="{DE15F018-ACC1-4C5C-94E9-68D3776110D3}" destId="{AEAA35BC-092B-4332-A857-305807B96D1B}" srcOrd="0" destOrd="1" presId="urn:microsoft.com/office/officeart/2005/8/layout/arrow3"/>
    <dgm:cxn modelId="{059860D4-6DE6-492F-887A-39CA82A3C75F}" srcId="{24691AE5-2DB6-402F-96D5-57245F762C8C}" destId="{93D7E50F-CEE8-4366-8A46-D65ED2638298}" srcOrd="0" destOrd="0" parTransId="{DD4D22E9-79F0-4B71-8003-F9C169A9F1C9}" sibTransId="{BA92427C-C080-40BB-B08E-62F5C4C7FD37}"/>
    <dgm:cxn modelId="{9774E4F7-CBBC-4952-B672-0F914B11779D}" srcId="{EAC1082C-B26B-4897-B971-BEE89DD497C3}" destId="{24691AE5-2DB6-402F-96D5-57245F762C8C}" srcOrd="0" destOrd="0" parTransId="{1AD2F619-8758-4442-87CD-E6CE5E222294}" sibTransId="{011B263E-E2C7-4298-B875-53082CEEA950}"/>
    <dgm:cxn modelId="{194A0310-7C85-4BE4-AA88-A20E4F75171D}" type="presParOf" srcId="{9CF85B17-81CA-419C-835A-C7B8F5CF4F72}" destId="{B53EDA09-94C7-4F64-BC64-92B49D42E769}" srcOrd="0" destOrd="0" presId="urn:microsoft.com/office/officeart/2005/8/layout/arrow3"/>
    <dgm:cxn modelId="{AB85CD80-0F5E-4630-AC5C-D153A113C54C}" type="presParOf" srcId="{9CF85B17-81CA-419C-835A-C7B8F5CF4F72}" destId="{4E240100-D6D8-47AB-9F96-0748F7C0142E}" srcOrd="1" destOrd="0" presId="urn:microsoft.com/office/officeart/2005/8/layout/arrow3"/>
    <dgm:cxn modelId="{3095A68C-B049-439C-8668-2366A0F5F6A6}" type="presParOf" srcId="{9CF85B17-81CA-419C-835A-C7B8F5CF4F72}" destId="{F46A53FA-7AC0-483A-8190-5A53C2603EC8}" srcOrd="2" destOrd="0" presId="urn:microsoft.com/office/officeart/2005/8/layout/arrow3"/>
    <dgm:cxn modelId="{4B67A8DB-B9CA-4F4F-9F38-BF5E25D18A49}" type="presParOf" srcId="{9CF85B17-81CA-419C-835A-C7B8F5CF4F72}" destId="{9E40BB59-4458-4EB6-915E-89C9250D18E7}" srcOrd="3" destOrd="0" presId="urn:microsoft.com/office/officeart/2005/8/layout/arrow3"/>
    <dgm:cxn modelId="{4BFEF4F9-92FC-4795-8411-0350EF7EA510}" type="presParOf" srcId="{9CF85B17-81CA-419C-835A-C7B8F5CF4F72}" destId="{AEAA35BC-092B-4332-A857-305807B96D1B}" srcOrd="4" destOrd="0" presId="urn:microsoft.com/office/officeart/2005/8/layout/arrow3"/>
  </dgm:cxnLst>
  <dgm:bg/>
  <dgm:whole>
    <a:ln>
      <a:solidFill>
        <a:schemeClr val="tx1"/>
      </a:solidFill>
    </a:ln>
  </dgm:whole>
  <dgm:extLst>
    <a:ext uri="http://schemas.microsoft.com/office/drawing/2008/diagram">
      <dsp:dataModelExt xmlns:dsp="http://schemas.microsoft.com/office/drawing/2008/diagram" relId="rId158"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F3943B5A-E92E-4574-8D73-4D90073EFC9F}" type="doc">
      <dgm:prSet loTypeId="urn:microsoft.com/office/officeart/2005/8/layout/radial1" loCatId="relationship" qsTypeId="urn:microsoft.com/office/officeart/2005/8/quickstyle/simple3" qsCatId="simple" csTypeId="urn:microsoft.com/office/officeart/2005/8/colors/colorful1" csCatId="colorful" phldr="1"/>
      <dgm:spPr/>
      <dgm:t>
        <a:bodyPr/>
        <a:lstStyle/>
        <a:p>
          <a:endParaRPr lang="en-US"/>
        </a:p>
      </dgm:t>
    </dgm:pt>
    <dgm:pt modelId="{624FD713-8DB6-4728-AFDE-30495A1F5564}">
      <dgm:prSet phldrT="[Text]"/>
      <dgm:spPr/>
      <dgm:t>
        <a:bodyPr/>
        <a:lstStyle/>
        <a:p>
          <a:r>
            <a:rPr lang="en-US"/>
            <a:t>Reliability</a:t>
          </a:r>
        </a:p>
      </dgm:t>
    </dgm:pt>
    <dgm:pt modelId="{2DC3404D-0626-45F7-A3C9-E4E4CC821CC9}" type="parTrans" cxnId="{0025DE53-75FF-439D-9EBD-54375E93CCB9}">
      <dgm:prSet/>
      <dgm:spPr/>
      <dgm:t>
        <a:bodyPr/>
        <a:lstStyle/>
        <a:p>
          <a:endParaRPr lang="en-US"/>
        </a:p>
      </dgm:t>
    </dgm:pt>
    <dgm:pt modelId="{A1DAF6F8-2263-40D4-876A-BA16AD3D3218}" type="sibTrans" cxnId="{0025DE53-75FF-439D-9EBD-54375E93CCB9}">
      <dgm:prSet/>
      <dgm:spPr/>
      <dgm:t>
        <a:bodyPr/>
        <a:lstStyle/>
        <a:p>
          <a:endParaRPr lang="en-US"/>
        </a:p>
      </dgm:t>
    </dgm:pt>
    <dgm:pt modelId="{B4DBA3BA-DA00-43C3-80C8-2D23B346F7C2}">
      <dgm:prSet phldrT="[Text]"/>
      <dgm:spPr/>
      <dgm:t>
        <a:bodyPr/>
        <a:lstStyle/>
        <a:p>
          <a:r>
            <a:rPr lang="en-US"/>
            <a:t>Inter-rater</a:t>
          </a:r>
        </a:p>
      </dgm:t>
    </dgm:pt>
    <dgm:pt modelId="{BCA036FF-7CC5-4846-859B-27AF3BF3DB65}" type="parTrans" cxnId="{65C83F3D-0819-43D1-A7DE-F0F9C2F96B7C}">
      <dgm:prSet/>
      <dgm:spPr/>
      <dgm:t>
        <a:bodyPr/>
        <a:lstStyle/>
        <a:p>
          <a:endParaRPr lang="en-US"/>
        </a:p>
      </dgm:t>
    </dgm:pt>
    <dgm:pt modelId="{92C5155C-F124-4379-AAAA-A75668A8A1FC}" type="sibTrans" cxnId="{65C83F3D-0819-43D1-A7DE-F0F9C2F96B7C}">
      <dgm:prSet/>
      <dgm:spPr/>
      <dgm:t>
        <a:bodyPr/>
        <a:lstStyle/>
        <a:p>
          <a:endParaRPr lang="en-US"/>
        </a:p>
      </dgm:t>
    </dgm:pt>
    <dgm:pt modelId="{C35F9D16-3CD2-464B-9C58-0686F627EA3A}">
      <dgm:prSet phldrT="[Text]"/>
      <dgm:spPr/>
      <dgm:t>
        <a:bodyPr/>
        <a:lstStyle/>
        <a:p>
          <a:r>
            <a:rPr lang="en-US"/>
            <a:t>Test-retest</a:t>
          </a:r>
        </a:p>
      </dgm:t>
    </dgm:pt>
    <dgm:pt modelId="{A7B322CA-8943-4BA0-93A9-9CEAB3F62C23}" type="parTrans" cxnId="{77FE73F2-F54A-4075-A38B-187374675BEB}">
      <dgm:prSet/>
      <dgm:spPr/>
      <dgm:t>
        <a:bodyPr/>
        <a:lstStyle/>
        <a:p>
          <a:endParaRPr lang="en-US"/>
        </a:p>
      </dgm:t>
    </dgm:pt>
    <dgm:pt modelId="{8CC8328F-0DA9-454B-88A9-12C943831C0D}" type="sibTrans" cxnId="{77FE73F2-F54A-4075-A38B-187374675BEB}">
      <dgm:prSet/>
      <dgm:spPr/>
      <dgm:t>
        <a:bodyPr/>
        <a:lstStyle/>
        <a:p>
          <a:endParaRPr lang="en-US"/>
        </a:p>
      </dgm:t>
    </dgm:pt>
    <dgm:pt modelId="{8AAD223F-96B3-448A-BD3B-45E133529488}">
      <dgm:prSet phldrT="[Text]"/>
      <dgm:spPr/>
      <dgm:t>
        <a:bodyPr/>
        <a:lstStyle/>
        <a:p>
          <a:r>
            <a:rPr lang="en-US"/>
            <a:t>Split-half</a:t>
          </a:r>
        </a:p>
      </dgm:t>
    </dgm:pt>
    <dgm:pt modelId="{7785EFCF-DB9E-408E-8F61-B55BC7B9256D}" type="parTrans" cxnId="{0B598D18-E428-4913-AEFC-E5787CF3C1AC}">
      <dgm:prSet/>
      <dgm:spPr/>
      <dgm:t>
        <a:bodyPr/>
        <a:lstStyle/>
        <a:p>
          <a:endParaRPr lang="en-US"/>
        </a:p>
      </dgm:t>
    </dgm:pt>
    <dgm:pt modelId="{C2998354-3E89-41D8-95DA-1419C3E0F183}" type="sibTrans" cxnId="{0B598D18-E428-4913-AEFC-E5787CF3C1AC}">
      <dgm:prSet/>
      <dgm:spPr/>
      <dgm:t>
        <a:bodyPr/>
        <a:lstStyle/>
        <a:p>
          <a:endParaRPr lang="en-US"/>
        </a:p>
      </dgm:t>
    </dgm:pt>
    <dgm:pt modelId="{5C1BAAF6-8A4D-41C3-AA1C-478B28CD26C0}">
      <dgm:prSet phldrT="[Text]"/>
      <dgm:spPr/>
      <dgm:t>
        <a:bodyPr/>
        <a:lstStyle/>
        <a:p>
          <a:r>
            <a:rPr lang="en-US"/>
            <a:t>Internal consistency</a:t>
          </a:r>
        </a:p>
      </dgm:t>
    </dgm:pt>
    <dgm:pt modelId="{3AB81886-F76B-4565-9B8D-660D8A573A2A}" type="parTrans" cxnId="{84211BFD-B4D2-412E-8F80-2E74CBD6C42C}">
      <dgm:prSet/>
      <dgm:spPr/>
      <dgm:t>
        <a:bodyPr/>
        <a:lstStyle/>
        <a:p>
          <a:endParaRPr lang="en-US"/>
        </a:p>
      </dgm:t>
    </dgm:pt>
    <dgm:pt modelId="{074BC1A2-11C7-4271-B2DC-442500434657}" type="sibTrans" cxnId="{84211BFD-B4D2-412E-8F80-2E74CBD6C42C}">
      <dgm:prSet/>
      <dgm:spPr/>
      <dgm:t>
        <a:bodyPr/>
        <a:lstStyle/>
        <a:p>
          <a:endParaRPr lang="en-US"/>
        </a:p>
      </dgm:t>
    </dgm:pt>
    <dgm:pt modelId="{1585A4EB-E368-4B1B-BE99-27089FE2913A}" type="pres">
      <dgm:prSet presAssocID="{F3943B5A-E92E-4574-8D73-4D90073EFC9F}" presName="cycle" presStyleCnt="0">
        <dgm:presLayoutVars>
          <dgm:chMax val="1"/>
          <dgm:dir/>
          <dgm:animLvl val="ctr"/>
          <dgm:resizeHandles val="exact"/>
        </dgm:presLayoutVars>
      </dgm:prSet>
      <dgm:spPr/>
    </dgm:pt>
    <dgm:pt modelId="{D9EEFFBB-0F3C-4ECE-A798-DD641DB1D0E2}" type="pres">
      <dgm:prSet presAssocID="{624FD713-8DB6-4728-AFDE-30495A1F5564}" presName="centerShape" presStyleLbl="node0" presStyleIdx="0" presStyleCnt="1"/>
      <dgm:spPr/>
    </dgm:pt>
    <dgm:pt modelId="{E414A0C2-8843-450E-AB71-B41FF5E34AC6}" type="pres">
      <dgm:prSet presAssocID="{BCA036FF-7CC5-4846-859B-27AF3BF3DB65}" presName="Name9" presStyleLbl="parChTrans1D2" presStyleIdx="0" presStyleCnt="4"/>
      <dgm:spPr/>
    </dgm:pt>
    <dgm:pt modelId="{7ED40071-2A0E-46BA-B252-F0AEA3F5798F}" type="pres">
      <dgm:prSet presAssocID="{BCA036FF-7CC5-4846-859B-27AF3BF3DB65}" presName="connTx" presStyleLbl="parChTrans1D2" presStyleIdx="0" presStyleCnt="4"/>
      <dgm:spPr/>
    </dgm:pt>
    <dgm:pt modelId="{B1F31F65-190E-4023-B885-6AE870ED3ABE}" type="pres">
      <dgm:prSet presAssocID="{B4DBA3BA-DA00-43C3-80C8-2D23B346F7C2}" presName="node" presStyleLbl="node1" presStyleIdx="0" presStyleCnt="4">
        <dgm:presLayoutVars>
          <dgm:bulletEnabled val="1"/>
        </dgm:presLayoutVars>
      </dgm:prSet>
      <dgm:spPr/>
    </dgm:pt>
    <dgm:pt modelId="{CDBB7072-850B-40A0-BCE8-55808469EBC7}" type="pres">
      <dgm:prSet presAssocID="{A7B322CA-8943-4BA0-93A9-9CEAB3F62C23}" presName="Name9" presStyleLbl="parChTrans1D2" presStyleIdx="1" presStyleCnt="4"/>
      <dgm:spPr/>
    </dgm:pt>
    <dgm:pt modelId="{E0BD5D80-FC59-4B8C-AF1E-B6A5E752E46F}" type="pres">
      <dgm:prSet presAssocID="{A7B322CA-8943-4BA0-93A9-9CEAB3F62C23}" presName="connTx" presStyleLbl="parChTrans1D2" presStyleIdx="1" presStyleCnt="4"/>
      <dgm:spPr/>
    </dgm:pt>
    <dgm:pt modelId="{55DC42DE-9D61-499D-9F70-1730AD485E4B}" type="pres">
      <dgm:prSet presAssocID="{C35F9D16-3CD2-464B-9C58-0686F627EA3A}" presName="node" presStyleLbl="node1" presStyleIdx="1" presStyleCnt="4">
        <dgm:presLayoutVars>
          <dgm:bulletEnabled val="1"/>
        </dgm:presLayoutVars>
      </dgm:prSet>
      <dgm:spPr/>
    </dgm:pt>
    <dgm:pt modelId="{2E6E4A37-B270-4C6E-8131-49737D874DD0}" type="pres">
      <dgm:prSet presAssocID="{7785EFCF-DB9E-408E-8F61-B55BC7B9256D}" presName="Name9" presStyleLbl="parChTrans1D2" presStyleIdx="2" presStyleCnt="4"/>
      <dgm:spPr/>
    </dgm:pt>
    <dgm:pt modelId="{7AC233BD-05E3-465E-9532-F8095AAEB5C5}" type="pres">
      <dgm:prSet presAssocID="{7785EFCF-DB9E-408E-8F61-B55BC7B9256D}" presName="connTx" presStyleLbl="parChTrans1D2" presStyleIdx="2" presStyleCnt="4"/>
      <dgm:spPr/>
    </dgm:pt>
    <dgm:pt modelId="{9C79A9F2-19A6-4792-B042-56F394026EEF}" type="pres">
      <dgm:prSet presAssocID="{8AAD223F-96B3-448A-BD3B-45E133529488}" presName="node" presStyleLbl="node1" presStyleIdx="2" presStyleCnt="4">
        <dgm:presLayoutVars>
          <dgm:bulletEnabled val="1"/>
        </dgm:presLayoutVars>
      </dgm:prSet>
      <dgm:spPr/>
    </dgm:pt>
    <dgm:pt modelId="{4B19AEEA-D7B8-47A2-8AA7-C0DC4C69179A}" type="pres">
      <dgm:prSet presAssocID="{3AB81886-F76B-4565-9B8D-660D8A573A2A}" presName="Name9" presStyleLbl="parChTrans1D2" presStyleIdx="3" presStyleCnt="4"/>
      <dgm:spPr/>
    </dgm:pt>
    <dgm:pt modelId="{ED9EEA0A-4908-4A2F-B0BD-699562DC9E5E}" type="pres">
      <dgm:prSet presAssocID="{3AB81886-F76B-4565-9B8D-660D8A573A2A}" presName="connTx" presStyleLbl="parChTrans1D2" presStyleIdx="3" presStyleCnt="4"/>
      <dgm:spPr/>
    </dgm:pt>
    <dgm:pt modelId="{25536482-08A1-4598-9BB7-8CC9DB649490}" type="pres">
      <dgm:prSet presAssocID="{5C1BAAF6-8A4D-41C3-AA1C-478B28CD26C0}" presName="node" presStyleLbl="node1" presStyleIdx="3" presStyleCnt="4">
        <dgm:presLayoutVars>
          <dgm:bulletEnabled val="1"/>
        </dgm:presLayoutVars>
      </dgm:prSet>
      <dgm:spPr/>
    </dgm:pt>
  </dgm:ptLst>
  <dgm:cxnLst>
    <dgm:cxn modelId="{1C68F90B-7A9D-435D-B139-2727B2171CC0}" type="presOf" srcId="{B4DBA3BA-DA00-43C3-80C8-2D23B346F7C2}" destId="{B1F31F65-190E-4023-B885-6AE870ED3ABE}" srcOrd="0" destOrd="0" presId="urn:microsoft.com/office/officeart/2005/8/layout/radial1"/>
    <dgm:cxn modelId="{0B598D18-E428-4913-AEFC-E5787CF3C1AC}" srcId="{624FD713-8DB6-4728-AFDE-30495A1F5564}" destId="{8AAD223F-96B3-448A-BD3B-45E133529488}" srcOrd="2" destOrd="0" parTransId="{7785EFCF-DB9E-408E-8F61-B55BC7B9256D}" sibTransId="{C2998354-3E89-41D8-95DA-1419C3E0F183}"/>
    <dgm:cxn modelId="{B379A822-E05C-42FE-BF4F-139E7D0B13D3}" type="presOf" srcId="{BCA036FF-7CC5-4846-859B-27AF3BF3DB65}" destId="{E414A0C2-8843-450E-AB71-B41FF5E34AC6}" srcOrd="0" destOrd="0" presId="urn:microsoft.com/office/officeart/2005/8/layout/radial1"/>
    <dgm:cxn modelId="{65C83F3D-0819-43D1-A7DE-F0F9C2F96B7C}" srcId="{624FD713-8DB6-4728-AFDE-30495A1F5564}" destId="{B4DBA3BA-DA00-43C3-80C8-2D23B346F7C2}" srcOrd="0" destOrd="0" parTransId="{BCA036FF-7CC5-4846-859B-27AF3BF3DB65}" sibTransId="{92C5155C-F124-4379-AAAA-A75668A8A1FC}"/>
    <dgm:cxn modelId="{8932EE3E-BF1A-4FC0-AB9D-318E9AABA764}" type="presOf" srcId="{3AB81886-F76B-4565-9B8D-660D8A573A2A}" destId="{ED9EEA0A-4908-4A2F-B0BD-699562DC9E5E}" srcOrd="1" destOrd="0" presId="urn:microsoft.com/office/officeart/2005/8/layout/radial1"/>
    <dgm:cxn modelId="{8352B967-C390-4CA4-85B4-8EE9FE798C3A}" type="presOf" srcId="{7785EFCF-DB9E-408E-8F61-B55BC7B9256D}" destId="{2E6E4A37-B270-4C6E-8131-49737D874DD0}" srcOrd="0" destOrd="0" presId="urn:microsoft.com/office/officeart/2005/8/layout/radial1"/>
    <dgm:cxn modelId="{53416248-6BA6-4334-96A6-987F1CD9A1F5}" type="presOf" srcId="{7785EFCF-DB9E-408E-8F61-B55BC7B9256D}" destId="{7AC233BD-05E3-465E-9532-F8095AAEB5C5}" srcOrd="1" destOrd="0" presId="urn:microsoft.com/office/officeart/2005/8/layout/radial1"/>
    <dgm:cxn modelId="{45412852-02A3-4CE2-893D-C63C5BA7A524}" type="presOf" srcId="{5C1BAAF6-8A4D-41C3-AA1C-478B28CD26C0}" destId="{25536482-08A1-4598-9BB7-8CC9DB649490}" srcOrd="0" destOrd="0" presId="urn:microsoft.com/office/officeart/2005/8/layout/radial1"/>
    <dgm:cxn modelId="{0025DE53-75FF-439D-9EBD-54375E93CCB9}" srcId="{F3943B5A-E92E-4574-8D73-4D90073EFC9F}" destId="{624FD713-8DB6-4728-AFDE-30495A1F5564}" srcOrd="0" destOrd="0" parTransId="{2DC3404D-0626-45F7-A3C9-E4E4CC821CC9}" sibTransId="{A1DAF6F8-2263-40D4-876A-BA16AD3D3218}"/>
    <dgm:cxn modelId="{61FF0656-9BCA-4C14-80F7-2742C0164E5A}" type="presOf" srcId="{F3943B5A-E92E-4574-8D73-4D90073EFC9F}" destId="{1585A4EB-E368-4B1B-BE99-27089FE2913A}" srcOrd="0" destOrd="0" presId="urn:microsoft.com/office/officeart/2005/8/layout/radial1"/>
    <dgm:cxn modelId="{52AD2B9C-463A-43E5-A391-57F8C5C3F6DC}" type="presOf" srcId="{8AAD223F-96B3-448A-BD3B-45E133529488}" destId="{9C79A9F2-19A6-4792-B042-56F394026EEF}" srcOrd="0" destOrd="0" presId="urn:microsoft.com/office/officeart/2005/8/layout/radial1"/>
    <dgm:cxn modelId="{CC2ADAA9-4F7A-41CA-AE34-67C396CCE950}" type="presOf" srcId="{A7B322CA-8943-4BA0-93A9-9CEAB3F62C23}" destId="{E0BD5D80-FC59-4B8C-AF1E-B6A5E752E46F}" srcOrd="1" destOrd="0" presId="urn:microsoft.com/office/officeart/2005/8/layout/radial1"/>
    <dgm:cxn modelId="{8B424FAA-6CFB-41D9-9DC9-946493AF98DB}" type="presOf" srcId="{3AB81886-F76B-4565-9B8D-660D8A573A2A}" destId="{4B19AEEA-D7B8-47A2-8AA7-C0DC4C69179A}" srcOrd="0" destOrd="0" presId="urn:microsoft.com/office/officeart/2005/8/layout/radial1"/>
    <dgm:cxn modelId="{1EB277D3-10F7-43C0-8CAE-1A9C92E58324}" type="presOf" srcId="{624FD713-8DB6-4728-AFDE-30495A1F5564}" destId="{D9EEFFBB-0F3C-4ECE-A798-DD641DB1D0E2}" srcOrd="0" destOrd="0" presId="urn:microsoft.com/office/officeart/2005/8/layout/radial1"/>
    <dgm:cxn modelId="{7273C9D7-1D20-4490-95EE-9253A473096D}" type="presOf" srcId="{BCA036FF-7CC5-4846-859B-27AF3BF3DB65}" destId="{7ED40071-2A0E-46BA-B252-F0AEA3F5798F}" srcOrd="1" destOrd="0" presId="urn:microsoft.com/office/officeart/2005/8/layout/radial1"/>
    <dgm:cxn modelId="{44A301DD-D734-49C7-8157-A2A1A96BC76A}" type="presOf" srcId="{A7B322CA-8943-4BA0-93A9-9CEAB3F62C23}" destId="{CDBB7072-850B-40A0-BCE8-55808469EBC7}" srcOrd="0" destOrd="0" presId="urn:microsoft.com/office/officeart/2005/8/layout/radial1"/>
    <dgm:cxn modelId="{6FF54AE6-D7AF-4BBC-8FC7-E3A8AD9C4F64}" type="presOf" srcId="{C35F9D16-3CD2-464B-9C58-0686F627EA3A}" destId="{55DC42DE-9D61-499D-9F70-1730AD485E4B}" srcOrd="0" destOrd="0" presId="urn:microsoft.com/office/officeart/2005/8/layout/radial1"/>
    <dgm:cxn modelId="{77FE73F2-F54A-4075-A38B-187374675BEB}" srcId="{624FD713-8DB6-4728-AFDE-30495A1F5564}" destId="{C35F9D16-3CD2-464B-9C58-0686F627EA3A}" srcOrd="1" destOrd="0" parTransId="{A7B322CA-8943-4BA0-93A9-9CEAB3F62C23}" sibTransId="{8CC8328F-0DA9-454B-88A9-12C943831C0D}"/>
    <dgm:cxn modelId="{84211BFD-B4D2-412E-8F80-2E74CBD6C42C}" srcId="{624FD713-8DB6-4728-AFDE-30495A1F5564}" destId="{5C1BAAF6-8A4D-41C3-AA1C-478B28CD26C0}" srcOrd="3" destOrd="0" parTransId="{3AB81886-F76B-4565-9B8D-660D8A573A2A}" sibTransId="{074BC1A2-11C7-4271-B2DC-442500434657}"/>
    <dgm:cxn modelId="{E50D7753-CEEA-4B92-97FC-B396465FFE01}" type="presParOf" srcId="{1585A4EB-E368-4B1B-BE99-27089FE2913A}" destId="{D9EEFFBB-0F3C-4ECE-A798-DD641DB1D0E2}" srcOrd="0" destOrd="0" presId="urn:microsoft.com/office/officeart/2005/8/layout/radial1"/>
    <dgm:cxn modelId="{5C962E76-82E7-4B10-A5F9-D05ADC8C201A}" type="presParOf" srcId="{1585A4EB-E368-4B1B-BE99-27089FE2913A}" destId="{E414A0C2-8843-450E-AB71-B41FF5E34AC6}" srcOrd="1" destOrd="0" presId="urn:microsoft.com/office/officeart/2005/8/layout/radial1"/>
    <dgm:cxn modelId="{D81B201D-D14D-42A2-9467-880C7E844654}" type="presParOf" srcId="{E414A0C2-8843-450E-AB71-B41FF5E34AC6}" destId="{7ED40071-2A0E-46BA-B252-F0AEA3F5798F}" srcOrd="0" destOrd="0" presId="urn:microsoft.com/office/officeart/2005/8/layout/radial1"/>
    <dgm:cxn modelId="{88F420A4-7D25-4285-A0E4-B047A883954F}" type="presParOf" srcId="{1585A4EB-E368-4B1B-BE99-27089FE2913A}" destId="{B1F31F65-190E-4023-B885-6AE870ED3ABE}" srcOrd="2" destOrd="0" presId="urn:microsoft.com/office/officeart/2005/8/layout/radial1"/>
    <dgm:cxn modelId="{87EF9B5B-3B0F-48A6-A27D-1E10D150B7C5}" type="presParOf" srcId="{1585A4EB-E368-4B1B-BE99-27089FE2913A}" destId="{CDBB7072-850B-40A0-BCE8-55808469EBC7}" srcOrd="3" destOrd="0" presId="urn:microsoft.com/office/officeart/2005/8/layout/radial1"/>
    <dgm:cxn modelId="{8C3EB1AE-6826-461A-AE29-2F5D225826EB}" type="presParOf" srcId="{CDBB7072-850B-40A0-BCE8-55808469EBC7}" destId="{E0BD5D80-FC59-4B8C-AF1E-B6A5E752E46F}" srcOrd="0" destOrd="0" presId="urn:microsoft.com/office/officeart/2005/8/layout/radial1"/>
    <dgm:cxn modelId="{9D2F9606-631D-4C4D-BA81-F331142CB042}" type="presParOf" srcId="{1585A4EB-E368-4B1B-BE99-27089FE2913A}" destId="{55DC42DE-9D61-499D-9F70-1730AD485E4B}" srcOrd="4" destOrd="0" presId="urn:microsoft.com/office/officeart/2005/8/layout/radial1"/>
    <dgm:cxn modelId="{DFD69896-6551-4AA3-9712-A0EE3C278F7F}" type="presParOf" srcId="{1585A4EB-E368-4B1B-BE99-27089FE2913A}" destId="{2E6E4A37-B270-4C6E-8131-49737D874DD0}" srcOrd="5" destOrd="0" presId="urn:microsoft.com/office/officeart/2005/8/layout/radial1"/>
    <dgm:cxn modelId="{5FD88447-89BB-4BA7-B3A9-E00472AA7C55}" type="presParOf" srcId="{2E6E4A37-B270-4C6E-8131-49737D874DD0}" destId="{7AC233BD-05E3-465E-9532-F8095AAEB5C5}" srcOrd="0" destOrd="0" presId="urn:microsoft.com/office/officeart/2005/8/layout/radial1"/>
    <dgm:cxn modelId="{ADC2ED8F-FA85-42B9-BADB-3311922433DE}" type="presParOf" srcId="{1585A4EB-E368-4B1B-BE99-27089FE2913A}" destId="{9C79A9F2-19A6-4792-B042-56F394026EEF}" srcOrd="6" destOrd="0" presId="urn:microsoft.com/office/officeart/2005/8/layout/radial1"/>
    <dgm:cxn modelId="{AE039759-C046-49F1-BEC5-971C40F110C0}" type="presParOf" srcId="{1585A4EB-E368-4B1B-BE99-27089FE2913A}" destId="{4B19AEEA-D7B8-47A2-8AA7-C0DC4C69179A}" srcOrd="7" destOrd="0" presId="urn:microsoft.com/office/officeart/2005/8/layout/radial1"/>
    <dgm:cxn modelId="{BE8DCDC7-4A05-4955-BF12-EA52F81978C2}" type="presParOf" srcId="{4B19AEEA-D7B8-47A2-8AA7-C0DC4C69179A}" destId="{ED9EEA0A-4908-4A2F-B0BD-699562DC9E5E}" srcOrd="0" destOrd="0" presId="urn:microsoft.com/office/officeart/2005/8/layout/radial1"/>
    <dgm:cxn modelId="{8A0C8170-A146-4C00-8A9F-793E4D4052DE}" type="presParOf" srcId="{1585A4EB-E368-4B1B-BE99-27089FE2913A}" destId="{25536482-08A1-4598-9BB7-8CC9DB649490}" srcOrd="8" destOrd="0" presId="urn:microsoft.com/office/officeart/2005/8/layout/radial1"/>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B0AD10BF-1518-43EC-9D22-A26C119594D3}" type="doc">
      <dgm:prSet loTypeId="urn:microsoft.com/office/officeart/2005/8/layout/hierarchy3" loCatId="relationship" qsTypeId="urn:microsoft.com/office/officeart/2005/8/quickstyle/simple1" qsCatId="simple" csTypeId="urn:microsoft.com/office/officeart/2005/8/colors/accent5_2" csCatId="accent5" phldr="1"/>
      <dgm:spPr/>
      <dgm:t>
        <a:bodyPr/>
        <a:lstStyle/>
        <a:p>
          <a:endParaRPr lang="en-US"/>
        </a:p>
      </dgm:t>
    </dgm:pt>
    <dgm:pt modelId="{9B283210-DD75-475A-BC38-17FB5F56E726}">
      <dgm:prSet phldrT="[Text]"/>
      <dgm:spPr/>
      <dgm:t>
        <a:bodyPr/>
        <a:lstStyle/>
        <a:p>
          <a:r>
            <a:rPr lang="en-US"/>
            <a:t>Qualitative</a:t>
          </a:r>
        </a:p>
      </dgm:t>
    </dgm:pt>
    <dgm:pt modelId="{B54D25F9-7F2E-4F3F-9F6B-8AB052971F42}" type="parTrans" cxnId="{E0686FE0-848F-44FB-832F-00CB79F934A9}">
      <dgm:prSet/>
      <dgm:spPr/>
      <dgm:t>
        <a:bodyPr/>
        <a:lstStyle/>
        <a:p>
          <a:endParaRPr lang="en-US"/>
        </a:p>
      </dgm:t>
    </dgm:pt>
    <dgm:pt modelId="{18D297F3-0D38-4463-B334-60555E314F14}" type="sibTrans" cxnId="{E0686FE0-848F-44FB-832F-00CB79F934A9}">
      <dgm:prSet/>
      <dgm:spPr/>
      <dgm:t>
        <a:bodyPr/>
        <a:lstStyle/>
        <a:p>
          <a:endParaRPr lang="en-US"/>
        </a:p>
      </dgm:t>
    </dgm:pt>
    <dgm:pt modelId="{717B171B-EBD6-4256-B2F0-54A387CE8B9E}">
      <dgm:prSet phldrT="[Text]"/>
      <dgm:spPr/>
      <dgm:t>
        <a:bodyPr/>
        <a:lstStyle/>
        <a:p>
          <a:r>
            <a:rPr lang="en-US"/>
            <a:t>Nominal</a:t>
          </a:r>
        </a:p>
      </dgm:t>
    </dgm:pt>
    <dgm:pt modelId="{04FEBB14-69C6-4AEB-BE52-74DE12560A09}" type="parTrans" cxnId="{BD48F8E4-00C2-496B-A0E6-FEDB14283A6B}">
      <dgm:prSet/>
      <dgm:spPr/>
      <dgm:t>
        <a:bodyPr/>
        <a:lstStyle/>
        <a:p>
          <a:endParaRPr lang="en-US"/>
        </a:p>
      </dgm:t>
    </dgm:pt>
    <dgm:pt modelId="{2CCBAD73-FB60-44A1-9A9B-A6C1591ECB3E}" type="sibTrans" cxnId="{BD48F8E4-00C2-496B-A0E6-FEDB14283A6B}">
      <dgm:prSet/>
      <dgm:spPr/>
      <dgm:t>
        <a:bodyPr/>
        <a:lstStyle/>
        <a:p>
          <a:endParaRPr lang="en-US"/>
        </a:p>
      </dgm:t>
    </dgm:pt>
    <dgm:pt modelId="{8CF5ED87-A606-4A42-93DF-08823CB5551B}">
      <dgm:prSet phldrT="[Text]"/>
      <dgm:spPr/>
      <dgm:t>
        <a:bodyPr/>
        <a:lstStyle/>
        <a:p>
          <a:r>
            <a:rPr lang="en-US"/>
            <a:t>Ordinal</a:t>
          </a:r>
        </a:p>
      </dgm:t>
    </dgm:pt>
    <dgm:pt modelId="{B92F795B-3C13-4DA3-B831-EEADB99C07DD}" type="parTrans" cxnId="{A0BD37F2-B0DB-49E6-AE98-FA7CF33E99E9}">
      <dgm:prSet/>
      <dgm:spPr/>
      <dgm:t>
        <a:bodyPr/>
        <a:lstStyle/>
        <a:p>
          <a:endParaRPr lang="en-US"/>
        </a:p>
      </dgm:t>
    </dgm:pt>
    <dgm:pt modelId="{A4C55E4A-15CD-452E-A312-65CBD3E9E918}" type="sibTrans" cxnId="{A0BD37F2-B0DB-49E6-AE98-FA7CF33E99E9}">
      <dgm:prSet/>
      <dgm:spPr/>
      <dgm:t>
        <a:bodyPr/>
        <a:lstStyle/>
        <a:p>
          <a:endParaRPr lang="en-US"/>
        </a:p>
      </dgm:t>
    </dgm:pt>
    <dgm:pt modelId="{44E71B69-2962-4ADF-B2CC-EC0A97A3F05F}">
      <dgm:prSet phldrT="[Text]"/>
      <dgm:spPr/>
      <dgm:t>
        <a:bodyPr/>
        <a:lstStyle/>
        <a:p>
          <a:r>
            <a:rPr lang="en-US"/>
            <a:t>Quantitative</a:t>
          </a:r>
        </a:p>
      </dgm:t>
    </dgm:pt>
    <dgm:pt modelId="{9FF52932-646C-4C35-BE29-3405B1E3D4F2}" type="parTrans" cxnId="{A8249B1A-ABE9-41B6-86ED-DA43B021C42F}">
      <dgm:prSet/>
      <dgm:spPr/>
      <dgm:t>
        <a:bodyPr/>
        <a:lstStyle/>
        <a:p>
          <a:endParaRPr lang="en-US"/>
        </a:p>
      </dgm:t>
    </dgm:pt>
    <dgm:pt modelId="{2A79C0F4-112A-458E-9CA9-5BA2D7D6996A}" type="sibTrans" cxnId="{A8249B1A-ABE9-41B6-86ED-DA43B021C42F}">
      <dgm:prSet/>
      <dgm:spPr/>
      <dgm:t>
        <a:bodyPr/>
        <a:lstStyle/>
        <a:p>
          <a:endParaRPr lang="en-US"/>
        </a:p>
      </dgm:t>
    </dgm:pt>
    <dgm:pt modelId="{FDD5FD6C-ACC0-49E2-9920-C2092DDC1026}">
      <dgm:prSet phldrT="[Text]"/>
      <dgm:spPr/>
      <dgm:t>
        <a:bodyPr/>
        <a:lstStyle/>
        <a:p>
          <a:r>
            <a:rPr lang="en-US"/>
            <a:t>Interval</a:t>
          </a:r>
        </a:p>
      </dgm:t>
    </dgm:pt>
    <dgm:pt modelId="{BA9F9B14-D304-43D1-9677-2AD299B76BCA}" type="parTrans" cxnId="{E7D23DCF-E9ED-4069-A97B-8A3200DD2473}">
      <dgm:prSet/>
      <dgm:spPr/>
      <dgm:t>
        <a:bodyPr/>
        <a:lstStyle/>
        <a:p>
          <a:endParaRPr lang="en-US"/>
        </a:p>
      </dgm:t>
    </dgm:pt>
    <dgm:pt modelId="{EBA64FF7-A3B1-47CC-8911-F93BDDEFAB6B}" type="sibTrans" cxnId="{E7D23DCF-E9ED-4069-A97B-8A3200DD2473}">
      <dgm:prSet/>
      <dgm:spPr/>
      <dgm:t>
        <a:bodyPr/>
        <a:lstStyle/>
        <a:p>
          <a:endParaRPr lang="en-US"/>
        </a:p>
      </dgm:t>
    </dgm:pt>
    <dgm:pt modelId="{A3A7D9C5-1D52-45EF-B608-5232FB8CA663}">
      <dgm:prSet phldrT="[Text]"/>
      <dgm:spPr/>
      <dgm:t>
        <a:bodyPr/>
        <a:lstStyle/>
        <a:p>
          <a:r>
            <a:rPr lang="en-US"/>
            <a:t>Ratio</a:t>
          </a:r>
        </a:p>
      </dgm:t>
    </dgm:pt>
    <dgm:pt modelId="{437C36DE-A570-479F-946A-56F3888CD8BD}" type="parTrans" cxnId="{11DCD0FA-C5B8-495B-820F-D95B25C8BD45}">
      <dgm:prSet/>
      <dgm:spPr/>
      <dgm:t>
        <a:bodyPr/>
        <a:lstStyle/>
        <a:p>
          <a:endParaRPr lang="en-US"/>
        </a:p>
      </dgm:t>
    </dgm:pt>
    <dgm:pt modelId="{9045F80E-9025-4135-B834-18CE2A97E8BB}" type="sibTrans" cxnId="{11DCD0FA-C5B8-495B-820F-D95B25C8BD45}">
      <dgm:prSet/>
      <dgm:spPr/>
      <dgm:t>
        <a:bodyPr/>
        <a:lstStyle/>
        <a:p>
          <a:endParaRPr lang="en-US"/>
        </a:p>
      </dgm:t>
    </dgm:pt>
    <dgm:pt modelId="{344A7B78-22ED-49D6-BA9C-81C50AA792D1}" type="pres">
      <dgm:prSet presAssocID="{B0AD10BF-1518-43EC-9D22-A26C119594D3}" presName="diagram" presStyleCnt="0">
        <dgm:presLayoutVars>
          <dgm:chPref val="1"/>
          <dgm:dir/>
          <dgm:animOne val="branch"/>
          <dgm:animLvl val="lvl"/>
          <dgm:resizeHandles/>
        </dgm:presLayoutVars>
      </dgm:prSet>
      <dgm:spPr/>
    </dgm:pt>
    <dgm:pt modelId="{01690892-E96C-4DC4-98B9-90BB04540741}" type="pres">
      <dgm:prSet presAssocID="{9B283210-DD75-475A-BC38-17FB5F56E726}" presName="root" presStyleCnt="0"/>
      <dgm:spPr/>
    </dgm:pt>
    <dgm:pt modelId="{115AD4B2-8F48-4E5D-9561-46554BCABDC0}" type="pres">
      <dgm:prSet presAssocID="{9B283210-DD75-475A-BC38-17FB5F56E726}" presName="rootComposite" presStyleCnt="0"/>
      <dgm:spPr/>
    </dgm:pt>
    <dgm:pt modelId="{526D70BB-9C99-4BD1-9D81-74FBAADEE145}" type="pres">
      <dgm:prSet presAssocID="{9B283210-DD75-475A-BC38-17FB5F56E726}" presName="rootText" presStyleLbl="node1" presStyleIdx="0" presStyleCnt="2"/>
      <dgm:spPr/>
    </dgm:pt>
    <dgm:pt modelId="{A3AF5D5C-3D02-4247-A146-661C599D95B7}" type="pres">
      <dgm:prSet presAssocID="{9B283210-DD75-475A-BC38-17FB5F56E726}" presName="rootConnector" presStyleLbl="node1" presStyleIdx="0" presStyleCnt="2"/>
      <dgm:spPr/>
    </dgm:pt>
    <dgm:pt modelId="{79D0FA54-EABD-475A-BDED-938E32B90DAD}" type="pres">
      <dgm:prSet presAssocID="{9B283210-DD75-475A-BC38-17FB5F56E726}" presName="childShape" presStyleCnt="0"/>
      <dgm:spPr/>
    </dgm:pt>
    <dgm:pt modelId="{760534F5-B056-4335-8039-7C0DB3409853}" type="pres">
      <dgm:prSet presAssocID="{04FEBB14-69C6-4AEB-BE52-74DE12560A09}" presName="Name13" presStyleLbl="parChTrans1D2" presStyleIdx="0" presStyleCnt="4"/>
      <dgm:spPr/>
    </dgm:pt>
    <dgm:pt modelId="{91A3C1A1-550E-442F-AA97-E5F6CCF585EA}" type="pres">
      <dgm:prSet presAssocID="{717B171B-EBD6-4256-B2F0-54A387CE8B9E}" presName="childText" presStyleLbl="bgAcc1" presStyleIdx="0" presStyleCnt="4">
        <dgm:presLayoutVars>
          <dgm:bulletEnabled val="1"/>
        </dgm:presLayoutVars>
      </dgm:prSet>
      <dgm:spPr/>
    </dgm:pt>
    <dgm:pt modelId="{0511B406-6404-449A-9395-CB89A0B4B6F5}" type="pres">
      <dgm:prSet presAssocID="{B92F795B-3C13-4DA3-B831-EEADB99C07DD}" presName="Name13" presStyleLbl="parChTrans1D2" presStyleIdx="1" presStyleCnt="4"/>
      <dgm:spPr/>
    </dgm:pt>
    <dgm:pt modelId="{46AAD572-06A7-42F5-B87D-69E73D833C7E}" type="pres">
      <dgm:prSet presAssocID="{8CF5ED87-A606-4A42-93DF-08823CB5551B}" presName="childText" presStyleLbl="bgAcc1" presStyleIdx="1" presStyleCnt="4">
        <dgm:presLayoutVars>
          <dgm:bulletEnabled val="1"/>
        </dgm:presLayoutVars>
      </dgm:prSet>
      <dgm:spPr/>
    </dgm:pt>
    <dgm:pt modelId="{BAE125D8-4D0B-4D2C-9B64-41D7C4059684}" type="pres">
      <dgm:prSet presAssocID="{44E71B69-2962-4ADF-B2CC-EC0A97A3F05F}" presName="root" presStyleCnt="0"/>
      <dgm:spPr/>
    </dgm:pt>
    <dgm:pt modelId="{701CF248-BFA6-487F-830E-CB5DE5BAED1A}" type="pres">
      <dgm:prSet presAssocID="{44E71B69-2962-4ADF-B2CC-EC0A97A3F05F}" presName="rootComposite" presStyleCnt="0"/>
      <dgm:spPr/>
    </dgm:pt>
    <dgm:pt modelId="{92E260FD-573E-4CFD-92B9-1296F9C1918A}" type="pres">
      <dgm:prSet presAssocID="{44E71B69-2962-4ADF-B2CC-EC0A97A3F05F}" presName="rootText" presStyleLbl="node1" presStyleIdx="1" presStyleCnt="2"/>
      <dgm:spPr/>
    </dgm:pt>
    <dgm:pt modelId="{99445BED-8CF2-4999-9DFF-04414BAA18E1}" type="pres">
      <dgm:prSet presAssocID="{44E71B69-2962-4ADF-B2CC-EC0A97A3F05F}" presName="rootConnector" presStyleLbl="node1" presStyleIdx="1" presStyleCnt="2"/>
      <dgm:spPr/>
    </dgm:pt>
    <dgm:pt modelId="{7C181AB3-86DC-41A0-9771-848F1B24346D}" type="pres">
      <dgm:prSet presAssocID="{44E71B69-2962-4ADF-B2CC-EC0A97A3F05F}" presName="childShape" presStyleCnt="0"/>
      <dgm:spPr/>
    </dgm:pt>
    <dgm:pt modelId="{369DAE73-2615-4604-82D8-2568CFC0B440}" type="pres">
      <dgm:prSet presAssocID="{BA9F9B14-D304-43D1-9677-2AD299B76BCA}" presName="Name13" presStyleLbl="parChTrans1D2" presStyleIdx="2" presStyleCnt="4"/>
      <dgm:spPr/>
    </dgm:pt>
    <dgm:pt modelId="{8FCD9D78-7F46-48EB-A852-8D5A5BEFEC04}" type="pres">
      <dgm:prSet presAssocID="{FDD5FD6C-ACC0-49E2-9920-C2092DDC1026}" presName="childText" presStyleLbl="bgAcc1" presStyleIdx="2" presStyleCnt="4">
        <dgm:presLayoutVars>
          <dgm:bulletEnabled val="1"/>
        </dgm:presLayoutVars>
      </dgm:prSet>
      <dgm:spPr/>
    </dgm:pt>
    <dgm:pt modelId="{3BECBC2B-7FDE-4B02-80F4-D37CE50593F4}" type="pres">
      <dgm:prSet presAssocID="{437C36DE-A570-479F-946A-56F3888CD8BD}" presName="Name13" presStyleLbl="parChTrans1D2" presStyleIdx="3" presStyleCnt="4"/>
      <dgm:spPr/>
    </dgm:pt>
    <dgm:pt modelId="{175C7266-517E-4920-8753-81C58FCF9D46}" type="pres">
      <dgm:prSet presAssocID="{A3A7D9C5-1D52-45EF-B608-5232FB8CA663}" presName="childText" presStyleLbl="bgAcc1" presStyleIdx="3" presStyleCnt="4">
        <dgm:presLayoutVars>
          <dgm:bulletEnabled val="1"/>
        </dgm:presLayoutVars>
      </dgm:prSet>
      <dgm:spPr/>
    </dgm:pt>
  </dgm:ptLst>
  <dgm:cxnLst>
    <dgm:cxn modelId="{4B277F06-90BF-4031-96FC-B23AE63F5F6C}" type="presOf" srcId="{9B283210-DD75-475A-BC38-17FB5F56E726}" destId="{A3AF5D5C-3D02-4247-A146-661C599D95B7}" srcOrd="1" destOrd="0" presId="urn:microsoft.com/office/officeart/2005/8/layout/hierarchy3"/>
    <dgm:cxn modelId="{C22A3913-2A41-4F6C-8C1A-01DFF1357DBE}" type="presOf" srcId="{8CF5ED87-A606-4A42-93DF-08823CB5551B}" destId="{46AAD572-06A7-42F5-B87D-69E73D833C7E}" srcOrd="0" destOrd="0" presId="urn:microsoft.com/office/officeart/2005/8/layout/hierarchy3"/>
    <dgm:cxn modelId="{48D51D1A-26C2-4415-9EB3-B5271D4A77CC}" type="presOf" srcId="{BA9F9B14-D304-43D1-9677-2AD299B76BCA}" destId="{369DAE73-2615-4604-82D8-2568CFC0B440}" srcOrd="0" destOrd="0" presId="urn:microsoft.com/office/officeart/2005/8/layout/hierarchy3"/>
    <dgm:cxn modelId="{A8249B1A-ABE9-41B6-86ED-DA43B021C42F}" srcId="{B0AD10BF-1518-43EC-9D22-A26C119594D3}" destId="{44E71B69-2962-4ADF-B2CC-EC0A97A3F05F}" srcOrd="1" destOrd="0" parTransId="{9FF52932-646C-4C35-BE29-3405B1E3D4F2}" sibTransId="{2A79C0F4-112A-458E-9CA9-5BA2D7D6996A}"/>
    <dgm:cxn modelId="{D4BC7F2F-7DF2-4B47-8E06-7030E682A065}" type="presOf" srcId="{44E71B69-2962-4ADF-B2CC-EC0A97A3F05F}" destId="{92E260FD-573E-4CFD-92B9-1296F9C1918A}" srcOrd="0" destOrd="0" presId="urn:microsoft.com/office/officeart/2005/8/layout/hierarchy3"/>
    <dgm:cxn modelId="{AE2F263A-E5CE-40E4-A31A-A71AA9972B75}" type="presOf" srcId="{437C36DE-A570-479F-946A-56F3888CD8BD}" destId="{3BECBC2B-7FDE-4B02-80F4-D37CE50593F4}" srcOrd="0" destOrd="0" presId="urn:microsoft.com/office/officeart/2005/8/layout/hierarchy3"/>
    <dgm:cxn modelId="{B15CF162-E75D-4CC4-B1A3-2E965722329A}" type="presOf" srcId="{04FEBB14-69C6-4AEB-BE52-74DE12560A09}" destId="{760534F5-B056-4335-8039-7C0DB3409853}" srcOrd="0" destOrd="0" presId="urn:microsoft.com/office/officeart/2005/8/layout/hierarchy3"/>
    <dgm:cxn modelId="{BB230664-B395-498B-A58D-199EF71F4C14}" type="presOf" srcId="{9B283210-DD75-475A-BC38-17FB5F56E726}" destId="{526D70BB-9C99-4BD1-9D81-74FBAADEE145}" srcOrd="0" destOrd="0" presId="urn:microsoft.com/office/officeart/2005/8/layout/hierarchy3"/>
    <dgm:cxn modelId="{259AC953-85EE-45BF-9B61-56AF5E655FD0}" type="presOf" srcId="{A3A7D9C5-1D52-45EF-B608-5232FB8CA663}" destId="{175C7266-517E-4920-8753-81C58FCF9D46}" srcOrd="0" destOrd="0" presId="urn:microsoft.com/office/officeart/2005/8/layout/hierarchy3"/>
    <dgm:cxn modelId="{F1D5C1A1-3616-4A92-B3E9-3846C3A98006}" type="presOf" srcId="{B0AD10BF-1518-43EC-9D22-A26C119594D3}" destId="{344A7B78-22ED-49D6-BA9C-81C50AA792D1}" srcOrd="0" destOrd="0" presId="urn:microsoft.com/office/officeart/2005/8/layout/hierarchy3"/>
    <dgm:cxn modelId="{9AD25BA3-7583-44E5-A265-BD592980C96F}" type="presOf" srcId="{717B171B-EBD6-4256-B2F0-54A387CE8B9E}" destId="{91A3C1A1-550E-442F-AA97-E5F6CCF585EA}" srcOrd="0" destOrd="0" presId="urn:microsoft.com/office/officeart/2005/8/layout/hierarchy3"/>
    <dgm:cxn modelId="{D92C1DAD-352E-4919-AD0C-F11B7D38A18B}" type="presOf" srcId="{44E71B69-2962-4ADF-B2CC-EC0A97A3F05F}" destId="{99445BED-8CF2-4999-9DFF-04414BAA18E1}" srcOrd="1" destOrd="0" presId="urn:microsoft.com/office/officeart/2005/8/layout/hierarchy3"/>
    <dgm:cxn modelId="{B4C1C6B3-187F-4A84-B8A3-F5BDEEB66CC2}" type="presOf" srcId="{FDD5FD6C-ACC0-49E2-9920-C2092DDC1026}" destId="{8FCD9D78-7F46-48EB-A852-8D5A5BEFEC04}" srcOrd="0" destOrd="0" presId="urn:microsoft.com/office/officeart/2005/8/layout/hierarchy3"/>
    <dgm:cxn modelId="{E7D23DCF-E9ED-4069-A97B-8A3200DD2473}" srcId="{44E71B69-2962-4ADF-B2CC-EC0A97A3F05F}" destId="{FDD5FD6C-ACC0-49E2-9920-C2092DDC1026}" srcOrd="0" destOrd="0" parTransId="{BA9F9B14-D304-43D1-9677-2AD299B76BCA}" sibTransId="{EBA64FF7-A3B1-47CC-8911-F93BDDEFAB6B}"/>
    <dgm:cxn modelId="{E0686FE0-848F-44FB-832F-00CB79F934A9}" srcId="{B0AD10BF-1518-43EC-9D22-A26C119594D3}" destId="{9B283210-DD75-475A-BC38-17FB5F56E726}" srcOrd="0" destOrd="0" parTransId="{B54D25F9-7F2E-4F3F-9F6B-8AB052971F42}" sibTransId="{18D297F3-0D38-4463-B334-60555E314F14}"/>
    <dgm:cxn modelId="{BD48F8E4-00C2-496B-A0E6-FEDB14283A6B}" srcId="{9B283210-DD75-475A-BC38-17FB5F56E726}" destId="{717B171B-EBD6-4256-B2F0-54A387CE8B9E}" srcOrd="0" destOrd="0" parTransId="{04FEBB14-69C6-4AEB-BE52-74DE12560A09}" sibTransId="{2CCBAD73-FB60-44A1-9A9B-A6C1591ECB3E}"/>
    <dgm:cxn modelId="{BB941FE9-EEC2-46DE-BCAF-806AB6155DC2}" type="presOf" srcId="{B92F795B-3C13-4DA3-B831-EEADB99C07DD}" destId="{0511B406-6404-449A-9395-CB89A0B4B6F5}" srcOrd="0" destOrd="0" presId="urn:microsoft.com/office/officeart/2005/8/layout/hierarchy3"/>
    <dgm:cxn modelId="{A0BD37F2-B0DB-49E6-AE98-FA7CF33E99E9}" srcId="{9B283210-DD75-475A-BC38-17FB5F56E726}" destId="{8CF5ED87-A606-4A42-93DF-08823CB5551B}" srcOrd="1" destOrd="0" parTransId="{B92F795B-3C13-4DA3-B831-EEADB99C07DD}" sibTransId="{A4C55E4A-15CD-452E-A312-65CBD3E9E918}"/>
    <dgm:cxn modelId="{11DCD0FA-C5B8-495B-820F-D95B25C8BD45}" srcId="{44E71B69-2962-4ADF-B2CC-EC0A97A3F05F}" destId="{A3A7D9C5-1D52-45EF-B608-5232FB8CA663}" srcOrd="1" destOrd="0" parTransId="{437C36DE-A570-479F-946A-56F3888CD8BD}" sibTransId="{9045F80E-9025-4135-B834-18CE2A97E8BB}"/>
    <dgm:cxn modelId="{41EF21CB-971B-453C-B08C-C0B509D89782}" type="presParOf" srcId="{344A7B78-22ED-49D6-BA9C-81C50AA792D1}" destId="{01690892-E96C-4DC4-98B9-90BB04540741}" srcOrd="0" destOrd="0" presId="urn:microsoft.com/office/officeart/2005/8/layout/hierarchy3"/>
    <dgm:cxn modelId="{79251919-79B5-440D-AFE4-A9237CBE751C}" type="presParOf" srcId="{01690892-E96C-4DC4-98B9-90BB04540741}" destId="{115AD4B2-8F48-4E5D-9561-46554BCABDC0}" srcOrd="0" destOrd="0" presId="urn:microsoft.com/office/officeart/2005/8/layout/hierarchy3"/>
    <dgm:cxn modelId="{7B5C47DC-65EB-47C1-B48A-4C211E5A9110}" type="presParOf" srcId="{115AD4B2-8F48-4E5D-9561-46554BCABDC0}" destId="{526D70BB-9C99-4BD1-9D81-74FBAADEE145}" srcOrd="0" destOrd="0" presId="urn:microsoft.com/office/officeart/2005/8/layout/hierarchy3"/>
    <dgm:cxn modelId="{8F53A938-7C75-4DD0-889D-2AE9CB5CEE3B}" type="presParOf" srcId="{115AD4B2-8F48-4E5D-9561-46554BCABDC0}" destId="{A3AF5D5C-3D02-4247-A146-661C599D95B7}" srcOrd="1" destOrd="0" presId="urn:microsoft.com/office/officeart/2005/8/layout/hierarchy3"/>
    <dgm:cxn modelId="{FF218FE9-FE5F-495C-AAF6-40E6D3971BE2}" type="presParOf" srcId="{01690892-E96C-4DC4-98B9-90BB04540741}" destId="{79D0FA54-EABD-475A-BDED-938E32B90DAD}" srcOrd="1" destOrd="0" presId="urn:microsoft.com/office/officeart/2005/8/layout/hierarchy3"/>
    <dgm:cxn modelId="{6F8434AA-85BC-428F-B3D8-1A38891D94F5}" type="presParOf" srcId="{79D0FA54-EABD-475A-BDED-938E32B90DAD}" destId="{760534F5-B056-4335-8039-7C0DB3409853}" srcOrd="0" destOrd="0" presId="urn:microsoft.com/office/officeart/2005/8/layout/hierarchy3"/>
    <dgm:cxn modelId="{B4D95ADF-8D4A-4DF5-B04F-AE74494683B1}" type="presParOf" srcId="{79D0FA54-EABD-475A-BDED-938E32B90DAD}" destId="{91A3C1A1-550E-442F-AA97-E5F6CCF585EA}" srcOrd="1" destOrd="0" presId="urn:microsoft.com/office/officeart/2005/8/layout/hierarchy3"/>
    <dgm:cxn modelId="{45D2949E-931D-46CE-8D81-C9E5119340F2}" type="presParOf" srcId="{79D0FA54-EABD-475A-BDED-938E32B90DAD}" destId="{0511B406-6404-449A-9395-CB89A0B4B6F5}" srcOrd="2" destOrd="0" presId="urn:microsoft.com/office/officeart/2005/8/layout/hierarchy3"/>
    <dgm:cxn modelId="{53881545-703B-4D73-B0B3-0EBC166DA3B7}" type="presParOf" srcId="{79D0FA54-EABD-475A-BDED-938E32B90DAD}" destId="{46AAD572-06A7-42F5-B87D-69E73D833C7E}" srcOrd="3" destOrd="0" presId="urn:microsoft.com/office/officeart/2005/8/layout/hierarchy3"/>
    <dgm:cxn modelId="{4C50A2AE-AF8C-4E5A-889C-F08CC1329BB8}" type="presParOf" srcId="{344A7B78-22ED-49D6-BA9C-81C50AA792D1}" destId="{BAE125D8-4D0B-4D2C-9B64-41D7C4059684}" srcOrd="1" destOrd="0" presId="urn:microsoft.com/office/officeart/2005/8/layout/hierarchy3"/>
    <dgm:cxn modelId="{418E6AB6-B29B-4161-B9C9-A6C581208954}" type="presParOf" srcId="{BAE125D8-4D0B-4D2C-9B64-41D7C4059684}" destId="{701CF248-BFA6-487F-830E-CB5DE5BAED1A}" srcOrd="0" destOrd="0" presId="urn:microsoft.com/office/officeart/2005/8/layout/hierarchy3"/>
    <dgm:cxn modelId="{1AF78EAD-A3BC-4BFA-BB6A-64642F4F5FE4}" type="presParOf" srcId="{701CF248-BFA6-487F-830E-CB5DE5BAED1A}" destId="{92E260FD-573E-4CFD-92B9-1296F9C1918A}" srcOrd="0" destOrd="0" presId="urn:microsoft.com/office/officeart/2005/8/layout/hierarchy3"/>
    <dgm:cxn modelId="{C2E88639-C95C-44C2-AD07-9BA9F2E617FC}" type="presParOf" srcId="{701CF248-BFA6-487F-830E-CB5DE5BAED1A}" destId="{99445BED-8CF2-4999-9DFF-04414BAA18E1}" srcOrd="1" destOrd="0" presId="urn:microsoft.com/office/officeart/2005/8/layout/hierarchy3"/>
    <dgm:cxn modelId="{D054D995-02C5-43CB-A8FD-A126D0E1006B}" type="presParOf" srcId="{BAE125D8-4D0B-4D2C-9B64-41D7C4059684}" destId="{7C181AB3-86DC-41A0-9771-848F1B24346D}" srcOrd="1" destOrd="0" presId="urn:microsoft.com/office/officeart/2005/8/layout/hierarchy3"/>
    <dgm:cxn modelId="{637CFBF4-33F0-45FA-998F-8768C0E647E8}" type="presParOf" srcId="{7C181AB3-86DC-41A0-9771-848F1B24346D}" destId="{369DAE73-2615-4604-82D8-2568CFC0B440}" srcOrd="0" destOrd="0" presId="urn:microsoft.com/office/officeart/2005/8/layout/hierarchy3"/>
    <dgm:cxn modelId="{98735A04-01F9-4FFD-B150-42C969CBF83D}" type="presParOf" srcId="{7C181AB3-86DC-41A0-9771-848F1B24346D}" destId="{8FCD9D78-7F46-48EB-A852-8D5A5BEFEC04}" srcOrd="1" destOrd="0" presId="urn:microsoft.com/office/officeart/2005/8/layout/hierarchy3"/>
    <dgm:cxn modelId="{ADD656E6-EFE6-451A-ACFF-528D045D561E}" type="presParOf" srcId="{7C181AB3-86DC-41A0-9771-848F1B24346D}" destId="{3BECBC2B-7FDE-4B02-80F4-D37CE50593F4}" srcOrd="2" destOrd="0" presId="urn:microsoft.com/office/officeart/2005/8/layout/hierarchy3"/>
    <dgm:cxn modelId="{C8B34EFD-E7CE-4BB2-A9DA-353E86CC23D1}" type="presParOf" srcId="{7C181AB3-86DC-41A0-9771-848F1B24346D}" destId="{175C7266-517E-4920-8753-81C58FCF9D46}" srcOrd="3" destOrd="0" presId="urn:microsoft.com/office/officeart/2005/8/layout/hierarchy3"/>
  </dgm:cxnLst>
  <dgm:bg/>
  <dgm:whole/>
  <dgm:extLst>
    <a:ext uri="http://schemas.microsoft.com/office/drawing/2008/diagram">
      <dsp:dataModelExt xmlns:dsp="http://schemas.microsoft.com/office/drawing/2008/diagram" relId="rId174"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27053203-1116-46A9-917C-BCC58C85C370}" type="doc">
      <dgm:prSet loTypeId="urn:diagrams.loki3.com/BracketList" loCatId="list" qsTypeId="urn:microsoft.com/office/officeart/2005/8/quickstyle/simple3" qsCatId="simple" csTypeId="urn:microsoft.com/office/officeart/2005/8/colors/colorful1" csCatId="colorful" phldr="1"/>
      <dgm:spPr/>
      <dgm:t>
        <a:bodyPr/>
        <a:lstStyle/>
        <a:p>
          <a:endParaRPr lang="en-US"/>
        </a:p>
      </dgm:t>
    </dgm:pt>
    <dgm:pt modelId="{43A56A46-A501-4A3A-9FCD-B5B840B4C61D}">
      <dgm:prSet phldrT="[Text]"/>
      <dgm:spPr/>
      <dgm:t>
        <a:bodyPr/>
        <a:lstStyle/>
        <a:p>
          <a:r>
            <a:rPr lang="en-US"/>
            <a:t>Binary</a:t>
          </a:r>
        </a:p>
      </dgm:t>
    </dgm:pt>
    <dgm:pt modelId="{510A407A-FF4E-49CC-B234-B239DDB90AF6}" type="parTrans" cxnId="{60A6684B-EEEF-4842-A91F-F18557C7E3BF}">
      <dgm:prSet/>
      <dgm:spPr/>
      <dgm:t>
        <a:bodyPr/>
        <a:lstStyle/>
        <a:p>
          <a:endParaRPr lang="en-US"/>
        </a:p>
      </dgm:t>
    </dgm:pt>
    <dgm:pt modelId="{F79A258A-4D16-4DA4-8352-403D1CB74431}" type="sibTrans" cxnId="{60A6684B-EEEF-4842-A91F-F18557C7E3BF}">
      <dgm:prSet/>
      <dgm:spPr/>
      <dgm:t>
        <a:bodyPr/>
        <a:lstStyle/>
        <a:p>
          <a:endParaRPr lang="en-US"/>
        </a:p>
      </dgm:t>
    </dgm:pt>
    <dgm:pt modelId="{1383C42E-4C08-4271-B507-49559D629BEF}">
      <dgm:prSet phldrT="[Text]"/>
      <dgm:spPr/>
      <dgm:t>
        <a:bodyPr/>
        <a:lstStyle/>
        <a:p>
          <a:r>
            <a:rPr lang="en-US"/>
            <a:t>Likert</a:t>
          </a:r>
        </a:p>
      </dgm:t>
    </dgm:pt>
    <dgm:pt modelId="{D601F21E-CA13-4476-AEF0-C62C862B13A4}" type="parTrans" cxnId="{E938F97E-A027-41FA-AE2D-A75CA3652902}">
      <dgm:prSet/>
      <dgm:spPr/>
      <dgm:t>
        <a:bodyPr/>
        <a:lstStyle/>
        <a:p>
          <a:endParaRPr lang="en-US"/>
        </a:p>
      </dgm:t>
    </dgm:pt>
    <dgm:pt modelId="{202E79C8-659F-484A-A21F-929661837590}" type="sibTrans" cxnId="{E938F97E-A027-41FA-AE2D-A75CA3652902}">
      <dgm:prSet/>
      <dgm:spPr/>
      <dgm:t>
        <a:bodyPr/>
        <a:lstStyle/>
        <a:p>
          <a:endParaRPr lang="en-US"/>
        </a:p>
      </dgm:t>
    </dgm:pt>
    <dgm:pt modelId="{9C379454-1BB7-4D9B-9973-88589B8CF53F}">
      <dgm:prSet phldrT="[Text]"/>
      <dgm:spPr/>
      <dgm:t>
        <a:bodyPr/>
        <a:lstStyle/>
        <a:p>
          <a:r>
            <a:rPr lang="en-US"/>
            <a:t>Semantic Differential</a:t>
          </a:r>
        </a:p>
      </dgm:t>
    </dgm:pt>
    <dgm:pt modelId="{65C893D5-1073-4E1C-AD25-805EF5E553E2}" type="parTrans" cxnId="{23E7A285-D06C-470A-8CC4-0BC9AAEB5706}">
      <dgm:prSet/>
      <dgm:spPr/>
      <dgm:t>
        <a:bodyPr/>
        <a:lstStyle/>
        <a:p>
          <a:endParaRPr lang="en-US"/>
        </a:p>
      </dgm:t>
    </dgm:pt>
    <dgm:pt modelId="{1EA4C1D1-09AF-4CE5-A662-9826974250A8}" type="sibTrans" cxnId="{23E7A285-D06C-470A-8CC4-0BC9AAEB5706}">
      <dgm:prSet/>
      <dgm:spPr/>
      <dgm:t>
        <a:bodyPr/>
        <a:lstStyle/>
        <a:p>
          <a:endParaRPr lang="en-US"/>
        </a:p>
      </dgm:t>
    </dgm:pt>
    <dgm:pt modelId="{94030F40-5D07-450D-AFDE-F826758EF232}">
      <dgm:prSet phldrT="[Text]"/>
      <dgm:spPr/>
      <dgm:t>
        <a:bodyPr/>
        <a:lstStyle/>
        <a:p>
          <a:r>
            <a:rPr lang="en-US"/>
            <a:t>Guttman</a:t>
          </a:r>
        </a:p>
      </dgm:t>
    </dgm:pt>
    <dgm:pt modelId="{235382B2-7F92-4E82-BA00-2CFB05DEE857}" type="parTrans" cxnId="{C7130D5C-0BC3-4625-843D-41AE8432E1B1}">
      <dgm:prSet/>
      <dgm:spPr/>
      <dgm:t>
        <a:bodyPr/>
        <a:lstStyle/>
        <a:p>
          <a:endParaRPr lang="en-US"/>
        </a:p>
      </dgm:t>
    </dgm:pt>
    <dgm:pt modelId="{A2A269F8-1606-4221-ACF9-C930FA35F5F5}" type="sibTrans" cxnId="{C7130D5C-0BC3-4625-843D-41AE8432E1B1}">
      <dgm:prSet/>
      <dgm:spPr/>
      <dgm:t>
        <a:bodyPr/>
        <a:lstStyle/>
        <a:p>
          <a:endParaRPr lang="en-US"/>
        </a:p>
      </dgm:t>
    </dgm:pt>
    <dgm:pt modelId="{AEF39733-7366-4B09-8F42-9DE40FFBE57D}">
      <dgm:prSet phldrT="[Text]"/>
      <dgm:spPr/>
      <dgm:t>
        <a:bodyPr/>
        <a:lstStyle/>
        <a:p>
          <a:r>
            <a:rPr lang="en-US"/>
            <a:t>Yes/No responses</a:t>
          </a:r>
        </a:p>
      </dgm:t>
    </dgm:pt>
    <dgm:pt modelId="{5FA3E5EF-0B64-4480-9951-B1340CA8744D}" type="parTrans" cxnId="{377C2E22-ED52-4B6E-B1D5-595CFD51AB75}">
      <dgm:prSet/>
      <dgm:spPr/>
      <dgm:t>
        <a:bodyPr/>
        <a:lstStyle/>
        <a:p>
          <a:endParaRPr lang="en-US"/>
        </a:p>
      </dgm:t>
    </dgm:pt>
    <dgm:pt modelId="{D1BD4051-B3A7-4D7F-B7C0-46762CBA6C94}" type="sibTrans" cxnId="{377C2E22-ED52-4B6E-B1D5-595CFD51AB75}">
      <dgm:prSet/>
      <dgm:spPr/>
      <dgm:t>
        <a:bodyPr/>
        <a:lstStyle/>
        <a:p>
          <a:endParaRPr lang="en-US"/>
        </a:p>
      </dgm:t>
    </dgm:pt>
    <dgm:pt modelId="{664277F2-EA40-4887-BB6C-C7386DFD0DB6}">
      <dgm:prSet phldrT="[Text]"/>
      <dgm:spPr/>
      <dgm:t>
        <a:bodyPr/>
        <a:lstStyle/>
        <a:p>
          <a:r>
            <a:rPr lang="en-US"/>
            <a:t>Records levels of agreement with a statement</a:t>
          </a:r>
        </a:p>
      </dgm:t>
    </dgm:pt>
    <dgm:pt modelId="{BFDE62EF-7D98-4B6A-B8E7-C92E2D4378DD}" type="parTrans" cxnId="{CFB33367-BEFF-449B-BBE3-3D9D5A5322E8}">
      <dgm:prSet/>
      <dgm:spPr/>
      <dgm:t>
        <a:bodyPr/>
        <a:lstStyle/>
        <a:p>
          <a:endParaRPr lang="en-US"/>
        </a:p>
      </dgm:t>
    </dgm:pt>
    <dgm:pt modelId="{7D55959E-E7B7-40C0-A0ED-91F96C5F910D}" type="sibTrans" cxnId="{CFB33367-BEFF-449B-BBE3-3D9D5A5322E8}">
      <dgm:prSet/>
      <dgm:spPr/>
      <dgm:t>
        <a:bodyPr/>
        <a:lstStyle/>
        <a:p>
          <a:endParaRPr lang="en-US"/>
        </a:p>
      </dgm:t>
    </dgm:pt>
    <dgm:pt modelId="{4BCDE11C-C3DF-41B5-87B4-4FBAC95B0320}">
      <dgm:prSet phldrT="[Text]"/>
      <dgm:spPr/>
      <dgm:t>
        <a:bodyPr/>
        <a:lstStyle/>
        <a:p>
          <a:r>
            <a:rPr lang="en-US"/>
            <a:t>Records the level of agreement with two opposite statements</a:t>
          </a:r>
        </a:p>
      </dgm:t>
    </dgm:pt>
    <dgm:pt modelId="{30B31BB1-A702-4C18-9540-B67A6A189419}" type="parTrans" cxnId="{562C6949-58BF-4ECF-933A-327BCF470349}">
      <dgm:prSet/>
      <dgm:spPr/>
      <dgm:t>
        <a:bodyPr/>
        <a:lstStyle/>
        <a:p>
          <a:endParaRPr lang="en-US"/>
        </a:p>
      </dgm:t>
    </dgm:pt>
    <dgm:pt modelId="{80DD5C87-937C-4EB9-8C90-1D98D87B065F}" type="sibTrans" cxnId="{562C6949-58BF-4ECF-933A-327BCF470349}">
      <dgm:prSet/>
      <dgm:spPr/>
      <dgm:t>
        <a:bodyPr/>
        <a:lstStyle/>
        <a:p>
          <a:endParaRPr lang="en-US"/>
        </a:p>
      </dgm:t>
    </dgm:pt>
    <dgm:pt modelId="{5F10472E-EADC-4851-97D2-473C36B122FD}">
      <dgm:prSet phldrT="[Text]"/>
      <dgm:spPr/>
      <dgm:t>
        <a:bodyPr/>
        <a:lstStyle/>
        <a:p>
          <a:r>
            <a:rPr lang="en-US"/>
            <a:t>Records agreement with statements arranged in order of intensity</a:t>
          </a:r>
        </a:p>
      </dgm:t>
    </dgm:pt>
    <dgm:pt modelId="{81FBB20E-3906-41AF-B35A-34E0245AEA24}" type="parTrans" cxnId="{740DFBCC-9BB6-48FF-9734-171B5A89F3C1}">
      <dgm:prSet/>
      <dgm:spPr/>
      <dgm:t>
        <a:bodyPr/>
        <a:lstStyle/>
        <a:p>
          <a:endParaRPr lang="en-US"/>
        </a:p>
      </dgm:t>
    </dgm:pt>
    <dgm:pt modelId="{880E02F8-D727-4703-8B4D-E547997BB11B}" type="sibTrans" cxnId="{740DFBCC-9BB6-48FF-9734-171B5A89F3C1}">
      <dgm:prSet/>
      <dgm:spPr/>
      <dgm:t>
        <a:bodyPr/>
        <a:lstStyle/>
        <a:p>
          <a:endParaRPr lang="en-US"/>
        </a:p>
      </dgm:t>
    </dgm:pt>
    <dgm:pt modelId="{C9C6A5C0-5885-435F-8F96-2251437D4792}">
      <dgm:prSet phldrT="[Text]"/>
      <dgm:spPr/>
      <dgm:t>
        <a:bodyPr/>
        <a:lstStyle/>
        <a:p>
          <a:r>
            <a:rPr lang="en-US"/>
            <a:t>Useful for probing feelings</a:t>
          </a:r>
        </a:p>
      </dgm:t>
    </dgm:pt>
    <dgm:pt modelId="{20301D0C-01B3-4873-9491-02B96406DADB}" type="parTrans" cxnId="{E4F04D8E-15ED-47E3-83E5-CA044F439003}">
      <dgm:prSet/>
      <dgm:spPr/>
      <dgm:t>
        <a:bodyPr/>
        <a:lstStyle/>
        <a:p>
          <a:endParaRPr lang="en-US"/>
        </a:p>
      </dgm:t>
    </dgm:pt>
    <dgm:pt modelId="{C824FFEC-0443-4D84-8064-BD59689255F2}" type="sibTrans" cxnId="{E4F04D8E-15ED-47E3-83E5-CA044F439003}">
      <dgm:prSet/>
      <dgm:spPr/>
      <dgm:t>
        <a:bodyPr/>
        <a:lstStyle/>
        <a:p>
          <a:endParaRPr lang="en-US"/>
        </a:p>
      </dgm:t>
    </dgm:pt>
    <dgm:pt modelId="{9FAAE868-84FF-4B50-B834-6DCE548FFF9A}">
      <dgm:prSet phldrT="[Text]"/>
      <dgm:spPr/>
      <dgm:t>
        <a:bodyPr/>
        <a:lstStyle/>
        <a:p>
          <a:r>
            <a:rPr lang="en-US"/>
            <a:t>Forces choices between extreme positions</a:t>
          </a:r>
        </a:p>
      </dgm:t>
    </dgm:pt>
    <dgm:pt modelId="{28616463-5DCD-4879-8679-C8B467FA7435}" type="parTrans" cxnId="{72B059E0-4992-42F7-9168-336816B30364}">
      <dgm:prSet/>
      <dgm:spPr/>
      <dgm:t>
        <a:bodyPr/>
        <a:lstStyle/>
        <a:p>
          <a:endParaRPr lang="en-US"/>
        </a:p>
      </dgm:t>
    </dgm:pt>
    <dgm:pt modelId="{6CEA560A-EC31-4112-8985-137D5035C150}" type="sibTrans" cxnId="{72B059E0-4992-42F7-9168-336816B30364}">
      <dgm:prSet/>
      <dgm:spPr/>
      <dgm:t>
        <a:bodyPr/>
        <a:lstStyle/>
        <a:p>
          <a:endParaRPr lang="en-US"/>
        </a:p>
      </dgm:t>
    </dgm:pt>
    <dgm:pt modelId="{5B8766A4-02F2-48B9-A6AC-D8E25734DF4F}">
      <dgm:prSet phldrT="[Text]"/>
      <dgm:spPr/>
      <dgm:t>
        <a:bodyPr/>
        <a:lstStyle/>
        <a:p>
          <a:r>
            <a:rPr lang="en-US"/>
            <a:t>Probes "this is is too much" choice</a:t>
          </a:r>
        </a:p>
      </dgm:t>
    </dgm:pt>
    <dgm:pt modelId="{A80BE877-E413-4D32-9C2F-EA43FCA4A94F}" type="parTrans" cxnId="{C77274ED-9BB6-4689-96E7-3AE9685991C6}">
      <dgm:prSet/>
      <dgm:spPr/>
      <dgm:t>
        <a:bodyPr/>
        <a:lstStyle/>
        <a:p>
          <a:endParaRPr lang="en-US"/>
        </a:p>
      </dgm:t>
    </dgm:pt>
    <dgm:pt modelId="{E0055C0C-B431-4654-862B-D635DA195455}" type="sibTrans" cxnId="{C77274ED-9BB6-4689-96E7-3AE9685991C6}">
      <dgm:prSet/>
      <dgm:spPr/>
      <dgm:t>
        <a:bodyPr/>
        <a:lstStyle/>
        <a:p>
          <a:endParaRPr lang="en-US"/>
        </a:p>
      </dgm:t>
    </dgm:pt>
    <dgm:pt modelId="{35B00FF1-02B3-4834-BD2C-30134AFEA69B}">
      <dgm:prSet phldrT="[Text]"/>
      <dgm:spPr/>
      <dgm:t>
        <a:bodyPr/>
        <a:lstStyle/>
        <a:p>
          <a:r>
            <a:rPr lang="en-US"/>
            <a:t>Creates simple survey questions</a:t>
          </a:r>
        </a:p>
      </dgm:t>
    </dgm:pt>
    <dgm:pt modelId="{715B490B-AE28-4B5B-860E-565814C19455}" type="parTrans" cxnId="{8DD90759-3AAA-43AA-A382-56F28E7ACFE5}">
      <dgm:prSet/>
      <dgm:spPr/>
      <dgm:t>
        <a:bodyPr/>
        <a:lstStyle/>
        <a:p>
          <a:endParaRPr lang="en-US"/>
        </a:p>
      </dgm:t>
    </dgm:pt>
    <dgm:pt modelId="{0A454A8F-38DB-4C06-8C7F-CDB913DC3A02}" type="sibTrans" cxnId="{8DD90759-3AAA-43AA-A382-56F28E7ACFE5}">
      <dgm:prSet/>
      <dgm:spPr/>
      <dgm:t>
        <a:bodyPr/>
        <a:lstStyle/>
        <a:p>
          <a:endParaRPr lang="en-US"/>
        </a:p>
      </dgm:t>
    </dgm:pt>
    <dgm:pt modelId="{0C113C83-455A-40DC-B16C-3741D8BF8588}" type="pres">
      <dgm:prSet presAssocID="{27053203-1116-46A9-917C-BCC58C85C370}" presName="Name0" presStyleCnt="0">
        <dgm:presLayoutVars>
          <dgm:dir/>
          <dgm:animLvl val="lvl"/>
          <dgm:resizeHandles val="exact"/>
        </dgm:presLayoutVars>
      </dgm:prSet>
      <dgm:spPr/>
    </dgm:pt>
    <dgm:pt modelId="{1644836B-2B32-4973-AD7D-B6B43A99A65E}" type="pres">
      <dgm:prSet presAssocID="{43A56A46-A501-4A3A-9FCD-B5B840B4C61D}" presName="linNode" presStyleCnt="0"/>
      <dgm:spPr/>
    </dgm:pt>
    <dgm:pt modelId="{1173C2DF-3174-4CC2-B22E-9D9D394156A8}" type="pres">
      <dgm:prSet presAssocID="{43A56A46-A501-4A3A-9FCD-B5B840B4C61D}" presName="parTx" presStyleLbl="revTx" presStyleIdx="0" presStyleCnt="4">
        <dgm:presLayoutVars>
          <dgm:chMax val="1"/>
          <dgm:bulletEnabled val="1"/>
        </dgm:presLayoutVars>
      </dgm:prSet>
      <dgm:spPr/>
    </dgm:pt>
    <dgm:pt modelId="{CAC23A34-28BE-42CE-8FC7-E8A45767C416}" type="pres">
      <dgm:prSet presAssocID="{43A56A46-A501-4A3A-9FCD-B5B840B4C61D}" presName="bracket" presStyleLbl="parChTrans1D1" presStyleIdx="0" presStyleCnt="4"/>
      <dgm:spPr/>
    </dgm:pt>
    <dgm:pt modelId="{3A6E1E12-CB23-4415-988A-0D83D57A846B}" type="pres">
      <dgm:prSet presAssocID="{43A56A46-A501-4A3A-9FCD-B5B840B4C61D}" presName="spH" presStyleCnt="0"/>
      <dgm:spPr/>
    </dgm:pt>
    <dgm:pt modelId="{9631FE61-6357-4FE7-8CAD-13048242DD6C}" type="pres">
      <dgm:prSet presAssocID="{43A56A46-A501-4A3A-9FCD-B5B840B4C61D}" presName="desTx" presStyleLbl="node1" presStyleIdx="0" presStyleCnt="4">
        <dgm:presLayoutVars>
          <dgm:bulletEnabled val="1"/>
        </dgm:presLayoutVars>
      </dgm:prSet>
      <dgm:spPr/>
    </dgm:pt>
    <dgm:pt modelId="{2BA68713-B6C8-48E2-AEAD-3F992F186881}" type="pres">
      <dgm:prSet presAssocID="{F79A258A-4D16-4DA4-8352-403D1CB74431}" presName="spV" presStyleCnt="0"/>
      <dgm:spPr/>
    </dgm:pt>
    <dgm:pt modelId="{39AFA098-8EF8-444B-B0E7-451B982B1BAB}" type="pres">
      <dgm:prSet presAssocID="{1383C42E-4C08-4271-B507-49559D629BEF}" presName="linNode" presStyleCnt="0"/>
      <dgm:spPr/>
    </dgm:pt>
    <dgm:pt modelId="{F4F63409-D9E2-4DF1-B9EC-9290F9947742}" type="pres">
      <dgm:prSet presAssocID="{1383C42E-4C08-4271-B507-49559D629BEF}" presName="parTx" presStyleLbl="revTx" presStyleIdx="1" presStyleCnt="4">
        <dgm:presLayoutVars>
          <dgm:chMax val="1"/>
          <dgm:bulletEnabled val="1"/>
        </dgm:presLayoutVars>
      </dgm:prSet>
      <dgm:spPr/>
    </dgm:pt>
    <dgm:pt modelId="{CC9E153F-50B0-4F7E-B551-452F92DED299}" type="pres">
      <dgm:prSet presAssocID="{1383C42E-4C08-4271-B507-49559D629BEF}" presName="bracket" presStyleLbl="parChTrans1D1" presStyleIdx="1" presStyleCnt="4"/>
      <dgm:spPr/>
    </dgm:pt>
    <dgm:pt modelId="{3A7898EA-492B-4E03-A29C-E3513234654D}" type="pres">
      <dgm:prSet presAssocID="{1383C42E-4C08-4271-B507-49559D629BEF}" presName="spH" presStyleCnt="0"/>
      <dgm:spPr/>
    </dgm:pt>
    <dgm:pt modelId="{BB6B7867-F710-4CE1-9D3A-28E1D1E3573A}" type="pres">
      <dgm:prSet presAssocID="{1383C42E-4C08-4271-B507-49559D629BEF}" presName="desTx" presStyleLbl="node1" presStyleIdx="1" presStyleCnt="4">
        <dgm:presLayoutVars>
          <dgm:bulletEnabled val="1"/>
        </dgm:presLayoutVars>
      </dgm:prSet>
      <dgm:spPr/>
    </dgm:pt>
    <dgm:pt modelId="{4F40B888-0B4C-41A8-8F1C-B9C3393B8C5C}" type="pres">
      <dgm:prSet presAssocID="{202E79C8-659F-484A-A21F-929661837590}" presName="spV" presStyleCnt="0"/>
      <dgm:spPr/>
    </dgm:pt>
    <dgm:pt modelId="{CD6B8541-AC31-42BD-997A-3C8022926C5C}" type="pres">
      <dgm:prSet presAssocID="{9C379454-1BB7-4D9B-9973-88589B8CF53F}" presName="linNode" presStyleCnt="0"/>
      <dgm:spPr/>
    </dgm:pt>
    <dgm:pt modelId="{71D8E9E4-CB55-4584-9A90-71F5BD40E924}" type="pres">
      <dgm:prSet presAssocID="{9C379454-1BB7-4D9B-9973-88589B8CF53F}" presName="parTx" presStyleLbl="revTx" presStyleIdx="2" presStyleCnt="4">
        <dgm:presLayoutVars>
          <dgm:chMax val="1"/>
          <dgm:bulletEnabled val="1"/>
        </dgm:presLayoutVars>
      </dgm:prSet>
      <dgm:spPr/>
    </dgm:pt>
    <dgm:pt modelId="{42AAF456-7A19-4B00-8638-FD0D9F72A005}" type="pres">
      <dgm:prSet presAssocID="{9C379454-1BB7-4D9B-9973-88589B8CF53F}" presName="bracket" presStyleLbl="parChTrans1D1" presStyleIdx="2" presStyleCnt="4"/>
      <dgm:spPr/>
    </dgm:pt>
    <dgm:pt modelId="{6AC447EC-45A8-4A29-AF59-5A0CB56D094A}" type="pres">
      <dgm:prSet presAssocID="{9C379454-1BB7-4D9B-9973-88589B8CF53F}" presName="spH" presStyleCnt="0"/>
      <dgm:spPr/>
    </dgm:pt>
    <dgm:pt modelId="{16AF8A86-DDD7-4D19-BB78-F3BCE6909705}" type="pres">
      <dgm:prSet presAssocID="{9C379454-1BB7-4D9B-9973-88589B8CF53F}" presName="desTx" presStyleLbl="node1" presStyleIdx="2" presStyleCnt="4">
        <dgm:presLayoutVars>
          <dgm:bulletEnabled val="1"/>
        </dgm:presLayoutVars>
      </dgm:prSet>
      <dgm:spPr/>
    </dgm:pt>
    <dgm:pt modelId="{F57122E8-3AED-404E-81AC-C77D66A36B74}" type="pres">
      <dgm:prSet presAssocID="{1EA4C1D1-09AF-4CE5-A662-9826974250A8}" presName="spV" presStyleCnt="0"/>
      <dgm:spPr/>
    </dgm:pt>
    <dgm:pt modelId="{D3CDB2FD-5E94-4C79-838F-AB61E3EB3DC3}" type="pres">
      <dgm:prSet presAssocID="{94030F40-5D07-450D-AFDE-F826758EF232}" presName="linNode" presStyleCnt="0"/>
      <dgm:spPr/>
    </dgm:pt>
    <dgm:pt modelId="{C820A67E-C5F5-474D-A92E-B0EF6A9EAFDF}" type="pres">
      <dgm:prSet presAssocID="{94030F40-5D07-450D-AFDE-F826758EF232}" presName="parTx" presStyleLbl="revTx" presStyleIdx="3" presStyleCnt="4">
        <dgm:presLayoutVars>
          <dgm:chMax val="1"/>
          <dgm:bulletEnabled val="1"/>
        </dgm:presLayoutVars>
      </dgm:prSet>
      <dgm:spPr/>
    </dgm:pt>
    <dgm:pt modelId="{64B66EE3-C332-45F3-84E2-6790214B46C4}" type="pres">
      <dgm:prSet presAssocID="{94030F40-5D07-450D-AFDE-F826758EF232}" presName="bracket" presStyleLbl="parChTrans1D1" presStyleIdx="3" presStyleCnt="4"/>
      <dgm:spPr/>
    </dgm:pt>
    <dgm:pt modelId="{F3300EDB-73C3-46C2-A4D1-E9DCC8D75452}" type="pres">
      <dgm:prSet presAssocID="{94030F40-5D07-450D-AFDE-F826758EF232}" presName="spH" presStyleCnt="0"/>
      <dgm:spPr/>
    </dgm:pt>
    <dgm:pt modelId="{22EF4468-9A7C-4817-AEB7-AFAD368E0118}" type="pres">
      <dgm:prSet presAssocID="{94030F40-5D07-450D-AFDE-F826758EF232}" presName="desTx" presStyleLbl="node1" presStyleIdx="3" presStyleCnt="4">
        <dgm:presLayoutVars>
          <dgm:bulletEnabled val="1"/>
        </dgm:presLayoutVars>
      </dgm:prSet>
      <dgm:spPr/>
    </dgm:pt>
  </dgm:ptLst>
  <dgm:cxnLst>
    <dgm:cxn modelId="{377C2E22-ED52-4B6E-B1D5-595CFD51AB75}" srcId="{43A56A46-A501-4A3A-9FCD-B5B840B4C61D}" destId="{AEF39733-7366-4B09-8F42-9DE40FFBE57D}" srcOrd="0" destOrd="0" parTransId="{5FA3E5EF-0B64-4480-9951-B1340CA8744D}" sibTransId="{D1BD4051-B3A7-4D7F-B7C0-46762CBA6C94}"/>
    <dgm:cxn modelId="{1902CB2F-4AB7-4BFB-87B0-FA72EFE3C8D0}" type="presOf" srcId="{94030F40-5D07-450D-AFDE-F826758EF232}" destId="{C820A67E-C5F5-474D-A92E-B0EF6A9EAFDF}" srcOrd="0" destOrd="0" presId="urn:diagrams.loki3.com/BracketList"/>
    <dgm:cxn modelId="{C7130D5C-0BC3-4625-843D-41AE8432E1B1}" srcId="{27053203-1116-46A9-917C-BCC58C85C370}" destId="{94030F40-5D07-450D-AFDE-F826758EF232}" srcOrd="3" destOrd="0" parTransId="{235382B2-7F92-4E82-BA00-2CFB05DEE857}" sibTransId="{A2A269F8-1606-4221-ACF9-C930FA35F5F5}"/>
    <dgm:cxn modelId="{CFB33367-BEFF-449B-BBE3-3D9D5A5322E8}" srcId="{1383C42E-4C08-4271-B507-49559D629BEF}" destId="{664277F2-EA40-4887-BB6C-C7386DFD0DB6}" srcOrd="0" destOrd="0" parTransId="{BFDE62EF-7D98-4B6A-B8E7-C92E2D4378DD}" sibTransId="{7D55959E-E7B7-40C0-A0ED-91F96C5F910D}"/>
    <dgm:cxn modelId="{562C6949-58BF-4ECF-933A-327BCF470349}" srcId="{9C379454-1BB7-4D9B-9973-88589B8CF53F}" destId="{4BCDE11C-C3DF-41B5-87B4-4FBAC95B0320}" srcOrd="0" destOrd="0" parTransId="{30B31BB1-A702-4C18-9540-B67A6A189419}" sibTransId="{80DD5C87-937C-4EB9-8C90-1D98D87B065F}"/>
    <dgm:cxn modelId="{60A6684B-EEEF-4842-A91F-F18557C7E3BF}" srcId="{27053203-1116-46A9-917C-BCC58C85C370}" destId="{43A56A46-A501-4A3A-9FCD-B5B840B4C61D}" srcOrd="0" destOrd="0" parTransId="{510A407A-FF4E-49CC-B234-B239DDB90AF6}" sibTransId="{F79A258A-4D16-4DA4-8352-403D1CB74431}"/>
    <dgm:cxn modelId="{E66FFB6B-EEF7-4164-A20E-08FDD47B027F}" type="presOf" srcId="{4BCDE11C-C3DF-41B5-87B4-4FBAC95B0320}" destId="{16AF8A86-DDD7-4D19-BB78-F3BCE6909705}" srcOrd="0" destOrd="0" presId="urn:diagrams.loki3.com/BracketList"/>
    <dgm:cxn modelId="{8DD90759-3AAA-43AA-A382-56F28E7ACFE5}" srcId="{43A56A46-A501-4A3A-9FCD-B5B840B4C61D}" destId="{35B00FF1-02B3-4834-BD2C-30134AFEA69B}" srcOrd="1" destOrd="0" parTransId="{715B490B-AE28-4B5B-860E-565814C19455}" sibTransId="{0A454A8F-38DB-4C06-8C7F-CDB913DC3A02}"/>
    <dgm:cxn modelId="{F72DC77A-E6F5-44FC-88FB-D724F6808DCF}" type="presOf" srcId="{AEF39733-7366-4B09-8F42-9DE40FFBE57D}" destId="{9631FE61-6357-4FE7-8CAD-13048242DD6C}" srcOrd="0" destOrd="0" presId="urn:diagrams.loki3.com/BracketList"/>
    <dgm:cxn modelId="{E938F97E-A027-41FA-AE2D-A75CA3652902}" srcId="{27053203-1116-46A9-917C-BCC58C85C370}" destId="{1383C42E-4C08-4271-B507-49559D629BEF}" srcOrd="1" destOrd="0" parTransId="{D601F21E-CA13-4476-AEF0-C62C862B13A4}" sibTransId="{202E79C8-659F-484A-A21F-929661837590}"/>
    <dgm:cxn modelId="{B8213183-7AEF-496C-9B6D-3D92C7DD18C0}" type="presOf" srcId="{35B00FF1-02B3-4834-BD2C-30134AFEA69B}" destId="{9631FE61-6357-4FE7-8CAD-13048242DD6C}" srcOrd="0" destOrd="1" presId="urn:diagrams.loki3.com/BracketList"/>
    <dgm:cxn modelId="{23E7A285-D06C-470A-8CC4-0BC9AAEB5706}" srcId="{27053203-1116-46A9-917C-BCC58C85C370}" destId="{9C379454-1BB7-4D9B-9973-88589B8CF53F}" srcOrd="2" destOrd="0" parTransId="{65C893D5-1073-4E1C-AD25-805EF5E553E2}" sibTransId="{1EA4C1D1-09AF-4CE5-A662-9826974250A8}"/>
    <dgm:cxn modelId="{1854368C-BCD0-4363-AD85-6C9657FF456E}" type="presOf" srcId="{27053203-1116-46A9-917C-BCC58C85C370}" destId="{0C113C83-455A-40DC-B16C-3741D8BF8588}" srcOrd="0" destOrd="0" presId="urn:diagrams.loki3.com/BracketList"/>
    <dgm:cxn modelId="{E4F04D8E-15ED-47E3-83E5-CA044F439003}" srcId="{1383C42E-4C08-4271-B507-49559D629BEF}" destId="{C9C6A5C0-5885-435F-8F96-2251437D4792}" srcOrd="1" destOrd="0" parTransId="{20301D0C-01B3-4873-9491-02B96406DADB}" sibTransId="{C824FFEC-0443-4D84-8064-BD59689255F2}"/>
    <dgm:cxn modelId="{690BBD98-3393-4FDD-B5C7-9D4DABE0D148}" type="presOf" srcId="{C9C6A5C0-5885-435F-8F96-2251437D4792}" destId="{BB6B7867-F710-4CE1-9D3A-28E1D1E3573A}" srcOrd="0" destOrd="1" presId="urn:diagrams.loki3.com/BracketList"/>
    <dgm:cxn modelId="{CEEFD2A6-C2AF-4E75-B690-ED6634A41D4A}" type="presOf" srcId="{9C379454-1BB7-4D9B-9973-88589B8CF53F}" destId="{71D8E9E4-CB55-4584-9A90-71F5BD40E924}" srcOrd="0" destOrd="0" presId="urn:diagrams.loki3.com/BracketList"/>
    <dgm:cxn modelId="{FF0395C5-DC9D-4CA7-8DF8-C8A0CDCD6310}" type="presOf" srcId="{43A56A46-A501-4A3A-9FCD-B5B840B4C61D}" destId="{1173C2DF-3174-4CC2-B22E-9D9D394156A8}" srcOrd="0" destOrd="0" presId="urn:diagrams.loki3.com/BracketList"/>
    <dgm:cxn modelId="{740DFBCC-9BB6-48FF-9734-171B5A89F3C1}" srcId="{94030F40-5D07-450D-AFDE-F826758EF232}" destId="{5F10472E-EADC-4851-97D2-473C36B122FD}" srcOrd="0" destOrd="0" parTransId="{81FBB20E-3906-41AF-B35A-34E0245AEA24}" sibTransId="{880E02F8-D727-4703-8B4D-E547997BB11B}"/>
    <dgm:cxn modelId="{C8B9B7D9-D6E0-4C5D-BA68-88115D4A24F5}" type="presOf" srcId="{1383C42E-4C08-4271-B507-49559D629BEF}" destId="{F4F63409-D9E2-4DF1-B9EC-9290F9947742}" srcOrd="0" destOrd="0" presId="urn:diagrams.loki3.com/BracketList"/>
    <dgm:cxn modelId="{72B059E0-4992-42F7-9168-336816B30364}" srcId="{9C379454-1BB7-4D9B-9973-88589B8CF53F}" destId="{9FAAE868-84FF-4B50-B834-6DCE548FFF9A}" srcOrd="1" destOrd="0" parTransId="{28616463-5DCD-4879-8679-C8B467FA7435}" sibTransId="{6CEA560A-EC31-4112-8985-137D5035C150}"/>
    <dgm:cxn modelId="{D27103E8-6109-4250-8856-12A847765F13}" type="presOf" srcId="{5F10472E-EADC-4851-97D2-473C36B122FD}" destId="{22EF4468-9A7C-4817-AEB7-AFAD368E0118}" srcOrd="0" destOrd="0" presId="urn:diagrams.loki3.com/BracketList"/>
    <dgm:cxn modelId="{9CFF82E8-259E-4775-82AA-AFAB695148F4}" type="presOf" srcId="{664277F2-EA40-4887-BB6C-C7386DFD0DB6}" destId="{BB6B7867-F710-4CE1-9D3A-28E1D1E3573A}" srcOrd="0" destOrd="0" presId="urn:diagrams.loki3.com/BracketList"/>
    <dgm:cxn modelId="{7490FFE8-8EE2-4E55-B19E-440391C3AB03}" type="presOf" srcId="{9FAAE868-84FF-4B50-B834-6DCE548FFF9A}" destId="{16AF8A86-DDD7-4D19-BB78-F3BCE6909705}" srcOrd="0" destOrd="1" presId="urn:diagrams.loki3.com/BracketList"/>
    <dgm:cxn modelId="{B7E33FE9-E7C3-4081-8DD6-1909EFAD198A}" type="presOf" srcId="{5B8766A4-02F2-48B9-A6AC-D8E25734DF4F}" destId="{22EF4468-9A7C-4817-AEB7-AFAD368E0118}" srcOrd="0" destOrd="1" presId="urn:diagrams.loki3.com/BracketList"/>
    <dgm:cxn modelId="{C77274ED-9BB6-4689-96E7-3AE9685991C6}" srcId="{94030F40-5D07-450D-AFDE-F826758EF232}" destId="{5B8766A4-02F2-48B9-A6AC-D8E25734DF4F}" srcOrd="1" destOrd="0" parTransId="{A80BE877-E413-4D32-9C2F-EA43FCA4A94F}" sibTransId="{E0055C0C-B431-4654-862B-D635DA195455}"/>
    <dgm:cxn modelId="{EDCBC245-ACE6-427C-B211-4B193DB3037B}" type="presParOf" srcId="{0C113C83-455A-40DC-B16C-3741D8BF8588}" destId="{1644836B-2B32-4973-AD7D-B6B43A99A65E}" srcOrd="0" destOrd="0" presId="urn:diagrams.loki3.com/BracketList"/>
    <dgm:cxn modelId="{9C9DD30D-E8CB-4D2C-B445-86388F12E78D}" type="presParOf" srcId="{1644836B-2B32-4973-AD7D-B6B43A99A65E}" destId="{1173C2DF-3174-4CC2-B22E-9D9D394156A8}" srcOrd="0" destOrd="0" presId="urn:diagrams.loki3.com/BracketList"/>
    <dgm:cxn modelId="{C5100624-ACA3-4442-98B2-C70F6823694E}" type="presParOf" srcId="{1644836B-2B32-4973-AD7D-B6B43A99A65E}" destId="{CAC23A34-28BE-42CE-8FC7-E8A45767C416}" srcOrd="1" destOrd="0" presId="urn:diagrams.loki3.com/BracketList"/>
    <dgm:cxn modelId="{22985A5B-555D-4F68-A9F8-915E930D36AE}" type="presParOf" srcId="{1644836B-2B32-4973-AD7D-B6B43A99A65E}" destId="{3A6E1E12-CB23-4415-988A-0D83D57A846B}" srcOrd="2" destOrd="0" presId="urn:diagrams.loki3.com/BracketList"/>
    <dgm:cxn modelId="{77949F43-86DE-4BB6-8000-5FD3F8696DC7}" type="presParOf" srcId="{1644836B-2B32-4973-AD7D-B6B43A99A65E}" destId="{9631FE61-6357-4FE7-8CAD-13048242DD6C}" srcOrd="3" destOrd="0" presId="urn:diagrams.loki3.com/BracketList"/>
    <dgm:cxn modelId="{674AEE09-30EE-44BA-B3BA-45DCDB2C61EC}" type="presParOf" srcId="{0C113C83-455A-40DC-B16C-3741D8BF8588}" destId="{2BA68713-B6C8-48E2-AEAD-3F992F186881}" srcOrd="1" destOrd="0" presId="urn:diagrams.loki3.com/BracketList"/>
    <dgm:cxn modelId="{4B8C42DC-13B6-40D3-B4A6-DD726CA754D6}" type="presParOf" srcId="{0C113C83-455A-40DC-B16C-3741D8BF8588}" destId="{39AFA098-8EF8-444B-B0E7-451B982B1BAB}" srcOrd="2" destOrd="0" presId="urn:diagrams.loki3.com/BracketList"/>
    <dgm:cxn modelId="{99C29068-6C8D-433D-A830-255B7A3E3683}" type="presParOf" srcId="{39AFA098-8EF8-444B-B0E7-451B982B1BAB}" destId="{F4F63409-D9E2-4DF1-B9EC-9290F9947742}" srcOrd="0" destOrd="0" presId="urn:diagrams.loki3.com/BracketList"/>
    <dgm:cxn modelId="{00E3561B-D786-490D-AD20-9D2FAD55A381}" type="presParOf" srcId="{39AFA098-8EF8-444B-B0E7-451B982B1BAB}" destId="{CC9E153F-50B0-4F7E-B551-452F92DED299}" srcOrd="1" destOrd="0" presId="urn:diagrams.loki3.com/BracketList"/>
    <dgm:cxn modelId="{0771C6FB-C36F-4EDE-BE9B-88A9FF59B31C}" type="presParOf" srcId="{39AFA098-8EF8-444B-B0E7-451B982B1BAB}" destId="{3A7898EA-492B-4E03-A29C-E3513234654D}" srcOrd="2" destOrd="0" presId="urn:diagrams.loki3.com/BracketList"/>
    <dgm:cxn modelId="{47877A3A-86E6-4D76-B2B5-415A94A50C34}" type="presParOf" srcId="{39AFA098-8EF8-444B-B0E7-451B982B1BAB}" destId="{BB6B7867-F710-4CE1-9D3A-28E1D1E3573A}" srcOrd="3" destOrd="0" presId="urn:diagrams.loki3.com/BracketList"/>
    <dgm:cxn modelId="{C9D01218-BA4D-437B-9967-81A070F4C662}" type="presParOf" srcId="{0C113C83-455A-40DC-B16C-3741D8BF8588}" destId="{4F40B888-0B4C-41A8-8F1C-B9C3393B8C5C}" srcOrd="3" destOrd="0" presId="urn:diagrams.loki3.com/BracketList"/>
    <dgm:cxn modelId="{6E7221FF-E56B-4FBF-AA71-41C17542B59E}" type="presParOf" srcId="{0C113C83-455A-40DC-B16C-3741D8BF8588}" destId="{CD6B8541-AC31-42BD-997A-3C8022926C5C}" srcOrd="4" destOrd="0" presId="urn:diagrams.loki3.com/BracketList"/>
    <dgm:cxn modelId="{DD9E4AD9-E52E-4A08-A502-DF7C7D7D1197}" type="presParOf" srcId="{CD6B8541-AC31-42BD-997A-3C8022926C5C}" destId="{71D8E9E4-CB55-4584-9A90-71F5BD40E924}" srcOrd="0" destOrd="0" presId="urn:diagrams.loki3.com/BracketList"/>
    <dgm:cxn modelId="{90E31899-EDC6-4ACB-8ADC-0D50584AD78E}" type="presParOf" srcId="{CD6B8541-AC31-42BD-997A-3C8022926C5C}" destId="{42AAF456-7A19-4B00-8638-FD0D9F72A005}" srcOrd="1" destOrd="0" presId="urn:diagrams.loki3.com/BracketList"/>
    <dgm:cxn modelId="{DFD73BCB-5C36-4F61-BAE0-0A5208518884}" type="presParOf" srcId="{CD6B8541-AC31-42BD-997A-3C8022926C5C}" destId="{6AC447EC-45A8-4A29-AF59-5A0CB56D094A}" srcOrd="2" destOrd="0" presId="urn:diagrams.loki3.com/BracketList"/>
    <dgm:cxn modelId="{5D07B65A-1FF5-422F-9389-7365F0E72496}" type="presParOf" srcId="{CD6B8541-AC31-42BD-997A-3C8022926C5C}" destId="{16AF8A86-DDD7-4D19-BB78-F3BCE6909705}" srcOrd="3" destOrd="0" presId="urn:diagrams.loki3.com/BracketList"/>
    <dgm:cxn modelId="{A688FEC7-ACA9-48B3-ADD2-1A3EAA0ACF60}" type="presParOf" srcId="{0C113C83-455A-40DC-B16C-3741D8BF8588}" destId="{F57122E8-3AED-404E-81AC-C77D66A36B74}" srcOrd="5" destOrd="0" presId="urn:diagrams.loki3.com/BracketList"/>
    <dgm:cxn modelId="{68E08234-4B60-4A80-ACD4-CEBC536AE195}" type="presParOf" srcId="{0C113C83-455A-40DC-B16C-3741D8BF8588}" destId="{D3CDB2FD-5E94-4C79-838F-AB61E3EB3DC3}" srcOrd="6" destOrd="0" presId="urn:diagrams.loki3.com/BracketList"/>
    <dgm:cxn modelId="{1992A2E3-69FC-4BAC-B469-815C7EB957CB}" type="presParOf" srcId="{D3CDB2FD-5E94-4C79-838F-AB61E3EB3DC3}" destId="{C820A67E-C5F5-474D-A92E-B0EF6A9EAFDF}" srcOrd="0" destOrd="0" presId="urn:diagrams.loki3.com/BracketList"/>
    <dgm:cxn modelId="{BCBD0DCF-1D58-4EDB-9A10-1D9585D56AA0}" type="presParOf" srcId="{D3CDB2FD-5E94-4C79-838F-AB61E3EB3DC3}" destId="{64B66EE3-C332-45F3-84E2-6790214B46C4}" srcOrd="1" destOrd="0" presId="urn:diagrams.loki3.com/BracketList"/>
    <dgm:cxn modelId="{636D161B-4FC2-45A5-81D1-CCB7606CFAAD}" type="presParOf" srcId="{D3CDB2FD-5E94-4C79-838F-AB61E3EB3DC3}" destId="{F3300EDB-73C3-46C2-A4D1-E9DCC8D75452}" srcOrd="2" destOrd="0" presId="urn:diagrams.loki3.com/BracketList"/>
    <dgm:cxn modelId="{174CC06B-89F4-47B2-9A1B-0E8DB1008C55}" type="presParOf" srcId="{D3CDB2FD-5E94-4C79-838F-AB61E3EB3DC3}" destId="{22EF4468-9A7C-4817-AEB7-AFAD368E0118}" srcOrd="3" destOrd="0" presId="urn:diagrams.loki3.com/BracketList"/>
  </dgm:cxnLst>
  <dgm:bg/>
  <dgm:whole>
    <a:ln>
      <a:noFill/>
    </a:ln>
  </dgm:whole>
  <dgm:extLst>
    <a:ext uri="http://schemas.microsoft.com/office/drawing/2008/diagram">
      <dsp:dataModelExt xmlns:dsp="http://schemas.microsoft.com/office/drawing/2008/diagram" relId="rId179"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108C4DAF-497B-4EA1-A171-1DB9EFB778E2}" type="doc">
      <dgm:prSet loTypeId="urn:microsoft.com/office/officeart/2005/8/layout/hierarchy2" loCatId="hierarchy" qsTypeId="urn:microsoft.com/office/officeart/2005/8/quickstyle/simple3" qsCatId="simple" csTypeId="urn:microsoft.com/office/officeart/2005/8/colors/colorful3" csCatId="colorful" phldr="1"/>
      <dgm:spPr/>
      <dgm:t>
        <a:bodyPr/>
        <a:lstStyle/>
        <a:p>
          <a:endParaRPr lang="en-US"/>
        </a:p>
      </dgm:t>
    </dgm:pt>
    <dgm:pt modelId="{9F9015CA-A147-4AE8-8422-6C644CB483E3}">
      <dgm:prSet phldrT="[Text]"/>
      <dgm:spPr/>
      <dgm:t>
        <a:bodyPr/>
        <a:lstStyle/>
        <a:p>
          <a:pPr algn="ctr"/>
          <a:r>
            <a:rPr lang="en-US"/>
            <a:t>Variable</a:t>
          </a:r>
        </a:p>
      </dgm:t>
    </dgm:pt>
    <dgm:pt modelId="{9C7B33C7-94C0-467C-9523-A04D02DEB662}" type="parTrans" cxnId="{415082D3-3AC9-4E05-A0CA-F58B99CB3355}">
      <dgm:prSet/>
      <dgm:spPr/>
      <dgm:t>
        <a:bodyPr/>
        <a:lstStyle/>
        <a:p>
          <a:pPr algn="ctr"/>
          <a:endParaRPr lang="en-US"/>
        </a:p>
      </dgm:t>
    </dgm:pt>
    <dgm:pt modelId="{7FE9C11F-8094-4139-8096-D11DCF7A98D1}" type="sibTrans" cxnId="{415082D3-3AC9-4E05-A0CA-F58B99CB3355}">
      <dgm:prSet/>
      <dgm:spPr/>
      <dgm:t>
        <a:bodyPr/>
        <a:lstStyle/>
        <a:p>
          <a:pPr algn="ctr"/>
          <a:endParaRPr lang="en-US"/>
        </a:p>
      </dgm:t>
    </dgm:pt>
    <dgm:pt modelId="{2DFFC8B8-75EF-411C-A677-802E14BECB60}">
      <dgm:prSet phldrT="[Text]"/>
      <dgm:spPr/>
      <dgm:t>
        <a:bodyPr/>
        <a:lstStyle/>
        <a:p>
          <a:pPr algn="ctr"/>
          <a:r>
            <a:rPr lang="en-US"/>
            <a:t>Quantative</a:t>
          </a:r>
        </a:p>
        <a:p>
          <a:pPr algn="ctr"/>
          <a:r>
            <a:rPr lang="en-US"/>
            <a:t>(Measure or Count)</a:t>
          </a:r>
        </a:p>
      </dgm:t>
    </dgm:pt>
    <dgm:pt modelId="{DBF41B36-8E73-4758-BA21-C50372CE7182}" type="parTrans" cxnId="{0D281A3D-F7C9-4CED-B774-CF366A20F3C6}">
      <dgm:prSet/>
      <dgm:spPr/>
      <dgm:t>
        <a:bodyPr/>
        <a:lstStyle/>
        <a:p>
          <a:pPr algn="ctr"/>
          <a:endParaRPr lang="en-US"/>
        </a:p>
      </dgm:t>
    </dgm:pt>
    <dgm:pt modelId="{559DB0F8-3E21-443F-A9C8-BC64634F890A}" type="sibTrans" cxnId="{0D281A3D-F7C9-4CED-B774-CF366A20F3C6}">
      <dgm:prSet/>
      <dgm:spPr/>
      <dgm:t>
        <a:bodyPr/>
        <a:lstStyle/>
        <a:p>
          <a:pPr algn="ctr"/>
          <a:endParaRPr lang="en-US"/>
        </a:p>
      </dgm:t>
    </dgm:pt>
    <dgm:pt modelId="{5258992D-3827-4E6A-BD39-825ACBC61A53}">
      <dgm:prSet phldrT="[Text]"/>
      <dgm:spPr/>
      <dgm:t>
        <a:bodyPr/>
        <a:lstStyle/>
        <a:p>
          <a:pPr algn="ctr"/>
          <a:r>
            <a:rPr lang="en-US"/>
            <a:t>Qualitative</a:t>
          </a:r>
        </a:p>
        <a:p>
          <a:pPr algn="ctr"/>
          <a:r>
            <a:rPr lang="en-US"/>
            <a:t>(Tick Boxes)</a:t>
          </a:r>
        </a:p>
      </dgm:t>
    </dgm:pt>
    <dgm:pt modelId="{64BA73E7-D4B5-44C3-9F23-CDA338C63674}" type="parTrans" cxnId="{AF42323B-90B1-4FE3-8E48-3D568F42D0E4}">
      <dgm:prSet/>
      <dgm:spPr/>
      <dgm:t>
        <a:bodyPr/>
        <a:lstStyle/>
        <a:p>
          <a:pPr algn="ctr"/>
          <a:endParaRPr lang="en-US"/>
        </a:p>
      </dgm:t>
    </dgm:pt>
    <dgm:pt modelId="{F643F924-18BA-428F-8625-726078B9F468}" type="sibTrans" cxnId="{AF42323B-90B1-4FE3-8E48-3D568F42D0E4}">
      <dgm:prSet/>
      <dgm:spPr/>
      <dgm:t>
        <a:bodyPr/>
        <a:lstStyle/>
        <a:p>
          <a:pPr algn="ctr"/>
          <a:endParaRPr lang="en-US"/>
        </a:p>
      </dgm:t>
    </dgm:pt>
    <dgm:pt modelId="{0060ABB4-3969-4C1F-B77F-6EC8C5F5C451}">
      <dgm:prSet phldrT="[Text]"/>
      <dgm:spPr/>
      <dgm:t>
        <a:bodyPr/>
        <a:lstStyle/>
        <a:p>
          <a:pPr algn="ctr"/>
          <a:r>
            <a:rPr lang="en-US"/>
            <a:t>Continuous</a:t>
          </a:r>
          <a:br>
            <a:rPr lang="en-US"/>
          </a:br>
          <a:r>
            <a:rPr lang="en-US"/>
            <a:t>(Any Value)</a:t>
          </a:r>
        </a:p>
      </dgm:t>
    </dgm:pt>
    <dgm:pt modelId="{E826DB45-3DB7-4B76-B4DF-ABAF2B922F6B}" type="parTrans" cxnId="{A059C693-253A-41E1-A0A5-75CC053895C1}">
      <dgm:prSet/>
      <dgm:spPr/>
      <dgm:t>
        <a:bodyPr/>
        <a:lstStyle/>
        <a:p>
          <a:pPr algn="ctr"/>
          <a:endParaRPr lang="en-US"/>
        </a:p>
      </dgm:t>
    </dgm:pt>
    <dgm:pt modelId="{7EE62E8A-AC16-4495-877E-F2838812BE6D}" type="sibTrans" cxnId="{A059C693-253A-41E1-A0A5-75CC053895C1}">
      <dgm:prSet/>
      <dgm:spPr/>
      <dgm:t>
        <a:bodyPr/>
        <a:lstStyle/>
        <a:p>
          <a:pPr algn="ctr"/>
          <a:endParaRPr lang="en-US"/>
        </a:p>
      </dgm:t>
    </dgm:pt>
    <dgm:pt modelId="{A66EF7F5-55EC-47DE-909B-4E3DF19E5C2F}">
      <dgm:prSet phldrT="[Text]"/>
      <dgm:spPr/>
      <dgm:t>
        <a:bodyPr/>
        <a:lstStyle/>
        <a:p>
          <a:pPr algn="ctr"/>
          <a:r>
            <a:rPr lang="en-US"/>
            <a:t>Discrete</a:t>
          </a:r>
          <a:br>
            <a:rPr lang="en-US"/>
          </a:br>
          <a:r>
            <a:rPr lang="en-US"/>
            <a:t>(Integers)</a:t>
          </a:r>
        </a:p>
      </dgm:t>
    </dgm:pt>
    <dgm:pt modelId="{8F42B1AF-E3B5-42EE-AF18-0B7BA21958A9}" type="parTrans" cxnId="{0EFFDC91-32C9-4C08-A76B-D7D4C65BBBE2}">
      <dgm:prSet/>
      <dgm:spPr/>
      <dgm:t>
        <a:bodyPr/>
        <a:lstStyle/>
        <a:p>
          <a:pPr algn="ctr"/>
          <a:endParaRPr lang="en-US"/>
        </a:p>
      </dgm:t>
    </dgm:pt>
    <dgm:pt modelId="{C8669057-8EDC-4321-BE88-0AF9D84E529B}" type="sibTrans" cxnId="{0EFFDC91-32C9-4C08-A76B-D7D4C65BBBE2}">
      <dgm:prSet/>
      <dgm:spPr/>
      <dgm:t>
        <a:bodyPr/>
        <a:lstStyle/>
        <a:p>
          <a:pPr algn="ctr"/>
          <a:endParaRPr lang="en-US"/>
        </a:p>
      </dgm:t>
    </dgm:pt>
    <dgm:pt modelId="{B16860BB-4B0C-43A7-AADF-4AEE817E32A3}">
      <dgm:prSet phldrT="[Text]"/>
      <dgm:spPr/>
      <dgm:t>
        <a:bodyPr/>
        <a:lstStyle/>
        <a:p>
          <a:pPr algn="ctr"/>
          <a:r>
            <a:rPr lang="en-US"/>
            <a:t>Ordinal</a:t>
          </a:r>
          <a:br>
            <a:rPr lang="en-US"/>
          </a:br>
          <a:r>
            <a:rPr lang="en-US"/>
            <a:t>(Ordered)</a:t>
          </a:r>
        </a:p>
      </dgm:t>
    </dgm:pt>
    <dgm:pt modelId="{A9B3E95C-DEC4-4F84-96E4-BDE3C827A65C}" type="parTrans" cxnId="{572D5790-CD6F-47F1-B185-A4794A15D338}">
      <dgm:prSet/>
      <dgm:spPr/>
      <dgm:t>
        <a:bodyPr/>
        <a:lstStyle/>
        <a:p>
          <a:pPr algn="ctr"/>
          <a:endParaRPr lang="en-US"/>
        </a:p>
      </dgm:t>
    </dgm:pt>
    <dgm:pt modelId="{46535A39-FCA8-4230-AE2D-DD2DC8EDED44}" type="sibTrans" cxnId="{572D5790-CD6F-47F1-B185-A4794A15D338}">
      <dgm:prSet/>
      <dgm:spPr/>
      <dgm:t>
        <a:bodyPr/>
        <a:lstStyle/>
        <a:p>
          <a:pPr algn="ctr"/>
          <a:endParaRPr lang="en-US"/>
        </a:p>
      </dgm:t>
    </dgm:pt>
    <dgm:pt modelId="{3DEEE6EF-EB3B-4F58-A4DB-CA279DFEBBAA}">
      <dgm:prSet phldrT="[Text]"/>
      <dgm:spPr/>
      <dgm:t>
        <a:bodyPr/>
        <a:lstStyle/>
        <a:p>
          <a:pPr algn="ctr"/>
          <a:r>
            <a:rPr lang="en-US"/>
            <a:t>Nominal</a:t>
          </a:r>
          <a:br>
            <a:rPr lang="en-US"/>
          </a:br>
          <a:r>
            <a:rPr lang="en-US"/>
            <a:t>(No Order)</a:t>
          </a:r>
        </a:p>
      </dgm:t>
    </dgm:pt>
    <dgm:pt modelId="{7934A15A-98EE-459B-97D8-0C6AEBA68D6E}" type="parTrans" cxnId="{06E02B81-A783-40D1-903C-12771AF45CE5}">
      <dgm:prSet/>
      <dgm:spPr/>
      <dgm:t>
        <a:bodyPr/>
        <a:lstStyle/>
        <a:p>
          <a:pPr algn="ctr"/>
          <a:endParaRPr lang="en-US"/>
        </a:p>
      </dgm:t>
    </dgm:pt>
    <dgm:pt modelId="{D22743CD-BFEF-4DA2-B6FB-A5C9BC392268}" type="sibTrans" cxnId="{06E02B81-A783-40D1-903C-12771AF45CE5}">
      <dgm:prSet/>
      <dgm:spPr/>
      <dgm:t>
        <a:bodyPr/>
        <a:lstStyle/>
        <a:p>
          <a:pPr algn="ctr"/>
          <a:endParaRPr lang="en-US"/>
        </a:p>
      </dgm:t>
    </dgm:pt>
    <dgm:pt modelId="{81897AE0-B467-409A-ACCA-31B2B43FC766}" type="pres">
      <dgm:prSet presAssocID="{108C4DAF-497B-4EA1-A171-1DB9EFB778E2}" presName="diagram" presStyleCnt="0">
        <dgm:presLayoutVars>
          <dgm:chPref val="1"/>
          <dgm:dir/>
          <dgm:animOne val="branch"/>
          <dgm:animLvl val="lvl"/>
          <dgm:resizeHandles val="exact"/>
        </dgm:presLayoutVars>
      </dgm:prSet>
      <dgm:spPr/>
    </dgm:pt>
    <dgm:pt modelId="{3763552E-7AC6-4F86-8370-FCD80CFC95D0}" type="pres">
      <dgm:prSet presAssocID="{9F9015CA-A147-4AE8-8422-6C644CB483E3}" presName="root1" presStyleCnt="0"/>
      <dgm:spPr/>
    </dgm:pt>
    <dgm:pt modelId="{F6A4FA7B-8081-46A6-8280-AE2B4125CF51}" type="pres">
      <dgm:prSet presAssocID="{9F9015CA-A147-4AE8-8422-6C644CB483E3}" presName="LevelOneTextNode" presStyleLbl="node0" presStyleIdx="0" presStyleCnt="1">
        <dgm:presLayoutVars>
          <dgm:chPref val="3"/>
        </dgm:presLayoutVars>
      </dgm:prSet>
      <dgm:spPr/>
    </dgm:pt>
    <dgm:pt modelId="{506C7451-399B-4050-91B1-C87680A8E31E}" type="pres">
      <dgm:prSet presAssocID="{9F9015CA-A147-4AE8-8422-6C644CB483E3}" presName="level2hierChild" presStyleCnt="0"/>
      <dgm:spPr/>
    </dgm:pt>
    <dgm:pt modelId="{CA5667E2-5195-48DA-87CA-B9963A6930D8}" type="pres">
      <dgm:prSet presAssocID="{DBF41B36-8E73-4758-BA21-C50372CE7182}" presName="conn2-1" presStyleLbl="parChTrans1D2" presStyleIdx="0" presStyleCnt="2"/>
      <dgm:spPr/>
    </dgm:pt>
    <dgm:pt modelId="{742FD1E0-AE9B-455C-B09E-8F8272BD3E35}" type="pres">
      <dgm:prSet presAssocID="{DBF41B36-8E73-4758-BA21-C50372CE7182}" presName="connTx" presStyleLbl="parChTrans1D2" presStyleIdx="0" presStyleCnt="2"/>
      <dgm:spPr/>
    </dgm:pt>
    <dgm:pt modelId="{1E8524FC-94AF-4F80-866A-0C88F754BD19}" type="pres">
      <dgm:prSet presAssocID="{2DFFC8B8-75EF-411C-A677-802E14BECB60}" presName="root2" presStyleCnt="0"/>
      <dgm:spPr/>
    </dgm:pt>
    <dgm:pt modelId="{7CB587BD-7222-440A-8F51-D92A07075826}" type="pres">
      <dgm:prSet presAssocID="{2DFFC8B8-75EF-411C-A677-802E14BECB60}" presName="LevelTwoTextNode" presStyleLbl="node2" presStyleIdx="0" presStyleCnt="2">
        <dgm:presLayoutVars>
          <dgm:chPref val="3"/>
        </dgm:presLayoutVars>
      </dgm:prSet>
      <dgm:spPr/>
    </dgm:pt>
    <dgm:pt modelId="{31CDBB62-52F8-4B1D-B057-0E6790513943}" type="pres">
      <dgm:prSet presAssocID="{2DFFC8B8-75EF-411C-A677-802E14BECB60}" presName="level3hierChild" presStyleCnt="0"/>
      <dgm:spPr/>
    </dgm:pt>
    <dgm:pt modelId="{96996770-4DE7-467D-A834-2C0288F6F297}" type="pres">
      <dgm:prSet presAssocID="{E826DB45-3DB7-4B76-B4DF-ABAF2B922F6B}" presName="conn2-1" presStyleLbl="parChTrans1D3" presStyleIdx="0" presStyleCnt="4"/>
      <dgm:spPr/>
    </dgm:pt>
    <dgm:pt modelId="{57434903-4F7A-47B5-8286-1860BDA8A02B}" type="pres">
      <dgm:prSet presAssocID="{E826DB45-3DB7-4B76-B4DF-ABAF2B922F6B}" presName="connTx" presStyleLbl="parChTrans1D3" presStyleIdx="0" presStyleCnt="4"/>
      <dgm:spPr/>
    </dgm:pt>
    <dgm:pt modelId="{EB5D7467-87D6-4C99-9229-AFC4DCC9A03F}" type="pres">
      <dgm:prSet presAssocID="{0060ABB4-3969-4C1F-B77F-6EC8C5F5C451}" presName="root2" presStyleCnt="0"/>
      <dgm:spPr/>
    </dgm:pt>
    <dgm:pt modelId="{BEE19B7A-F2B4-4CCD-9F1A-E802BFF27F8A}" type="pres">
      <dgm:prSet presAssocID="{0060ABB4-3969-4C1F-B77F-6EC8C5F5C451}" presName="LevelTwoTextNode" presStyleLbl="node3" presStyleIdx="0" presStyleCnt="4">
        <dgm:presLayoutVars>
          <dgm:chPref val="3"/>
        </dgm:presLayoutVars>
      </dgm:prSet>
      <dgm:spPr/>
    </dgm:pt>
    <dgm:pt modelId="{7FDA9D8A-9871-4EA9-84F4-3A7DC6E5F995}" type="pres">
      <dgm:prSet presAssocID="{0060ABB4-3969-4C1F-B77F-6EC8C5F5C451}" presName="level3hierChild" presStyleCnt="0"/>
      <dgm:spPr/>
    </dgm:pt>
    <dgm:pt modelId="{DED2D4E3-3C5E-4374-B7FB-B9D6C6441DCA}" type="pres">
      <dgm:prSet presAssocID="{8F42B1AF-E3B5-42EE-AF18-0B7BA21958A9}" presName="conn2-1" presStyleLbl="parChTrans1D3" presStyleIdx="1" presStyleCnt="4"/>
      <dgm:spPr/>
    </dgm:pt>
    <dgm:pt modelId="{109CF8B6-1FE1-4305-B199-7BECEAFD82EA}" type="pres">
      <dgm:prSet presAssocID="{8F42B1AF-E3B5-42EE-AF18-0B7BA21958A9}" presName="connTx" presStyleLbl="parChTrans1D3" presStyleIdx="1" presStyleCnt="4"/>
      <dgm:spPr/>
    </dgm:pt>
    <dgm:pt modelId="{13C9F072-E731-4514-84F3-82CAC4EB7A04}" type="pres">
      <dgm:prSet presAssocID="{A66EF7F5-55EC-47DE-909B-4E3DF19E5C2F}" presName="root2" presStyleCnt="0"/>
      <dgm:spPr/>
    </dgm:pt>
    <dgm:pt modelId="{7DE25F81-24B7-4109-A493-BB23D5E1BA7D}" type="pres">
      <dgm:prSet presAssocID="{A66EF7F5-55EC-47DE-909B-4E3DF19E5C2F}" presName="LevelTwoTextNode" presStyleLbl="node3" presStyleIdx="1" presStyleCnt="4">
        <dgm:presLayoutVars>
          <dgm:chPref val="3"/>
        </dgm:presLayoutVars>
      </dgm:prSet>
      <dgm:spPr/>
    </dgm:pt>
    <dgm:pt modelId="{93B91860-6AE8-4008-88E2-237239EA3F9A}" type="pres">
      <dgm:prSet presAssocID="{A66EF7F5-55EC-47DE-909B-4E3DF19E5C2F}" presName="level3hierChild" presStyleCnt="0"/>
      <dgm:spPr/>
    </dgm:pt>
    <dgm:pt modelId="{CFFB7B37-1058-49CE-AB0A-18D04074D955}" type="pres">
      <dgm:prSet presAssocID="{64BA73E7-D4B5-44C3-9F23-CDA338C63674}" presName="conn2-1" presStyleLbl="parChTrans1D2" presStyleIdx="1" presStyleCnt="2"/>
      <dgm:spPr/>
    </dgm:pt>
    <dgm:pt modelId="{2C9FAC2F-E4FA-408B-8D8A-D4DF1E3E7B1C}" type="pres">
      <dgm:prSet presAssocID="{64BA73E7-D4B5-44C3-9F23-CDA338C63674}" presName="connTx" presStyleLbl="parChTrans1D2" presStyleIdx="1" presStyleCnt="2"/>
      <dgm:spPr/>
    </dgm:pt>
    <dgm:pt modelId="{411D2A9A-9BF8-4F53-B106-BE48F18FA3EB}" type="pres">
      <dgm:prSet presAssocID="{5258992D-3827-4E6A-BD39-825ACBC61A53}" presName="root2" presStyleCnt="0"/>
      <dgm:spPr/>
    </dgm:pt>
    <dgm:pt modelId="{F887DCB6-E647-46A1-929F-119F530A577C}" type="pres">
      <dgm:prSet presAssocID="{5258992D-3827-4E6A-BD39-825ACBC61A53}" presName="LevelTwoTextNode" presStyleLbl="node2" presStyleIdx="1" presStyleCnt="2">
        <dgm:presLayoutVars>
          <dgm:chPref val="3"/>
        </dgm:presLayoutVars>
      </dgm:prSet>
      <dgm:spPr/>
    </dgm:pt>
    <dgm:pt modelId="{1A95D662-C333-4110-9FCC-9387D02E95A1}" type="pres">
      <dgm:prSet presAssocID="{5258992D-3827-4E6A-BD39-825ACBC61A53}" presName="level3hierChild" presStyleCnt="0"/>
      <dgm:spPr/>
    </dgm:pt>
    <dgm:pt modelId="{36A41229-5CE8-4E03-BC11-17D5B087C07F}" type="pres">
      <dgm:prSet presAssocID="{A9B3E95C-DEC4-4F84-96E4-BDE3C827A65C}" presName="conn2-1" presStyleLbl="parChTrans1D3" presStyleIdx="2" presStyleCnt="4"/>
      <dgm:spPr/>
    </dgm:pt>
    <dgm:pt modelId="{98D4054F-BA89-47CF-9116-A633406BFDE0}" type="pres">
      <dgm:prSet presAssocID="{A9B3E95C-DEC4-4F84-96E4-BDE3C827A65C}" presName="connTx" presStyleLbl="parChTrans1D3" presStyleIdx="2" presStyleCnt="4"/>
      <dgm:spPr/>
    </dgm:pt>
    <dgm:pt modelId="{1AA661E9-419A-40E7-AD31-6413FA8E0CB8}" type="pres">
      <dgm:prSet presAssocID="{B16860BB-4B0C-43A7-AADF-4AEE817E32A3}" presName="root2" presStyleCnt="0"/>
      <dgm:spPr/>
    </dgm:pt>
    <dgm:pt modelId="{A4042860-D167-4166-8FB4-D7128AE5AFFE}" type="pres">
      <dgm:prSet presAssocID="{B16860BB-4B0C-43A7-AADF-4AEE817E32A3}" presName="LevelTwoTextNode" presStyleLbl="node3" presStyleIdx="2" presStyleCnt="4">
        <dgm:presLayoutVars>
          <dgm:chPref val="3"/>
        </dgm:presLayoutVars>
      </dgm:prSet>
      <dgm:spPr/>
    </dgm:pt>
    <dgm:pt modelId="{98811DEA-0F29-45C5-8B62-AA0E62449748}" type="pres">
      <dgm:prSet presAssocID="{B16860BB-4B0C-43A7-AADF-4AEE817E32A3}" presName="level3hierChild" presStyleCnt="0"/>
      <dgm:spPr/>
    </dgm:pt>
    <dgm:pt modelId="{76340ED9-4187-4315-BBA3-FD92260B57CA}" type="pres">
      <dgm:prSet presAssocID="{7934A15A-98EE-459B-97D8-0C6AEBA68D6E}" presName="conn2-1" presStyleLbl="parChTrans1D3" presStyleIdx="3" presStyleCnt="4"/>
      <dgm:spPr/>
    </dgm:pt>
    <dgm:pt modelId="{90B9D9A6-B3EE-4F88-BFF5-9B51A368958A}" type="pres">
      <dgm:prSet presAssocID="{7934A15A-98EE-459B-97D8-0C6AEBA68D6E}" presName="connTx" presStyleLbl="parChTrans1D3" presStyleIdx="3" presStyleCnt="4"/>
      <dgm:spPr/>
    </dgm:pt>
    <dgm:pt modelId="{37E1A75D-59E5-4742-B71C-D9728337330F}" type="pres">
      <dgm:prSet presAssocID="{3DEEE6EF-EB3B-4F58-A4DB-CA279DFEBBAA}" presName="root2" presStyleCnt="0"/>
      <dgm:spPr/>
    </dgm:pt>
    <dgm:pt modelId="{053FF235-C3CB-411F-9CC1-30DE105C9DBA}" type="pres">
      <dgm:prSet presAssocID="{3DEEE6EF-EB3B-4F58-A4DB-CA279DFEBBAA}" presName="LevelTwoTextNode" presStyleLbl="node3" presStyleIdx="3" presStyleCnt="4">
        <dgm:presLayoutVars>
          <dgm:chPref val="3"/>
        </dgm:presLayoutVars>
      </dgm:prSet>
      <dgm:spPr/>
    </dgm:pt>
    <dgm:pt modelId="{85FDB085-E165-4006-8B70-D77EA1369DD0}" type="pres">
      <dgm:prSet presAssocID="{3DEEE6EF-EB3B-4F58-A4DB-CA279DFEBBAA}" presName="level3hierChild" presStyleCnt="0"/>
      <dgm:spPr/>
    </dgm:pt>
  </dgm:ptLst>
  <dgm:cxnLst>
    <dgm:cxn modelId="{AB847B05-C827-4260-84E2-2E6877F639F3}" type="presOf" srcId="{A9B3E95C-DEC4-4F84-96E4-BDE3C827A65C}" destId="{98D4054F-BA89-47CF-9116-A633406BFDE0}" srcOrd="1" destOrd="0" presId="urn:microsoft.com/office/officeart/2005/8/layout/hierarchy2"/>
    <dgm:cxn modelId="{8F2F7315-212B-47A8-84CF-1016275F3590}" type="presOf" srcId="{E826DB45-3DB7-4B76-B4DF-ABAF2B922F6B}" destId="{96996770-4DE7-467D-A834-2C0288F6F297}" srcOrd="0" destOrd="0" presId="urn:microsoft.com/office/officeart/2005/8/layout/hierarchy2"/>
    <dgm:cxn modelId="{8DE16C30-B96D-4A3D-BCBE-0C79752CE882}" type="presOf" srcId="{A66EF7F5-55EC-47DE-909B-4E3DF19E5C2F}" destId="{7DE25F81-24B7-4109-A493-BB23D5E1BA7D}" srcOrd="0" destOrd="0" presId="urn:microsoft.com/office/officeart/2005/8/layout/hierarchy2"/>
    <dgm:cxn modelId="{D9839337-C403-4842-A551-94706237D4AC}" type="presOf" srcId="{3DEEE6EF-EB3B-4F58-A4DB-CA279DFEBBAA}" destId="{053FF235-C3CB-411F-9CC1-30DE105C9DBA}" srcOrd="0" destOrd="0" presId="urn:microsoft.com/office/officeart/2005/8/layout/hierarchy2"/>
    <dgm:cxn modelId="{AF42323B-90B1-4FE3-8E48-3D568F42D0E4}" srcId="{9F9015CA-A147-4AE8-8422-6C644CB483E3}" destId="{5258992D-3827-4E6A-BD39-825ACBC61A53}" srcOrd="1" destOrd="0" parTransId="{64BA73E7-D4B5-44C3-9F23-CDA338C63674}" sibTransId="{F643F924-18BA-428F-8625-726078B9F468}"/>
    <dgm:cxn modelId="{0D281A3D-F7C9-4CED-B774-CF366A20F3C6}" srcId="{9F9015CA-A147-4AE8-8422-6C644CB483E3}" destId="{2DFFC8B8-75EF-411C-A677-802E14BECB60}" srcOrd="0" destOrd="0" parTransId="{DBF41B36-8E73-4758-BA21-C50372CE7182}" sibTransId="{559DB0F8-3E21-443F-A9C8-BC64634F890A}"/>
    <dgm:cxn modelId="{22C15F62-C3A8-4315-BF07-B86D06CF0D21}" type="presOf" srcId="{DBF41B36-8E73-4758-BA21-C50372CE7182}" destId="{CA5667E2-5195-48DA-87CA-B9963A6930D8}" srcOrd="0" destOrd="0" presId="urn:microsoft.com/office/officeart/2005/8/layout/hierarchy2"/>
    <dgm:cxn modelId="{E577D263-E926-4414-ACD7-7954A4A9AAB5}" type="presOf" srcId="{7934A15A-98EE-459B-97D8-0C6AEBA68D6E}" destId="{76340ED9-4187-4315-BBA3-FD92260B57CA}" srcOrd="0" destOrd="0" presId="urn:microsoft.com/office/officeart/2005/8/layout/hierarchy2"/>
    <dgm:cxn modelId="{C180B064-BB47-4569-8F93-0B0CCB2E8D10}" type="presOf" srcId="{8F42B1AF-E3B5-42EE-AF18-0B7BA21958A9}" destId="{109CF8B6-1FE1-4305-B199-7BECEAFD82EA}" srcOrd="1" destOrd="0" presId="urn:microsoft.com/office/officeart/2005/8/layout/hierarchy2"/>
    <dgm:cxn modelId="{DA4D6A73-97CA-456D-B8D5-F50389886632}" type="presOf" srcId="{64BA73E7-D4B5-44C3-9F23-CDA338C63674}" destId="{2C9FAC2F-E4FA-408B-8D8A-D4DF1E3E7B1C}" srcOrd="1" destOrd="0" presId="urn:microsoft.com/office/officeart/2005/8/layout/hierarchy2"/>
    <dgm:cxn modelId="{A564AA55-C4C0-45C1-8B57-B90DCA8A8D61}" type="presOf" srcId="{2DFFC8B8-75EF-411C-A677-802E14BECB60}" destId="{7CB587BD-7222-440A-8F51-D92A07075826}" srcOrd="0" destOrd="0" presId="urn:microsoft.com/office/officeart/2005/8/layout/hierarchy2"/>
    <dgm:cxn modelId="{98278B7E-7E16-4CCB-93C7-E43313ACDB12}" type="presOf" srcId="{0060ABB4-3969-4C1F-B77F-6EC8C5F5C451}" destId="{BEE19B7A-F2B4-4CCD-9F1A-E802BFF27F8A}" srcOrd="0" destOrd="0" presId="urn:microsoft.com/office/officeart/2005/8/layout/hierarchy2"/>
    <dgm:cxn modelId="{06E02B81-A783-40D1-903C-12771AF45CE5}" srcId="{5258992D-3827-4E6A-BD39-825ACBC61A53}" destId="{3DEEE6EF-EB3B-4F58-A4DB-CA279DFEBBAA}" srcOrd="1" destOrd="0" parTransId="{7934A15A-98EE-459B-97D8-0C6AEBA68D6E}" sibTransId="{D22743CD-BFEF-4DA2-B6FB-A5C9BC392268}"/>
    <dgm:cxn modelId="{0464CD89-4E9A-4F75-BEF1-B137AC734411}" type="presOf" srcId="{7934A15A-98EE-459B-97D8-0C6AEBA68D6E}" destId="{90B9D9A6-B3EE-4F88-BFF5-9B51A368958A}" srcOrd="1" destOrd="0" presId="urn:microsoft.com/office/officeart/2005/8/layout/hierarchy2"/>
    <dgm:cxn modelId="{572D5790-CD6F-47F1-B185-A4794A15D338}" srcId="{5258992D-3827-4E6A-BD39-825ACBC61A53}" destId="{B16860BB-4B0C-43A7-AADF-4AEE817E32A3}" srcOrd="0" destOrd="0" parTransId="{A9B3E95C-DEC4-4F84-96E4-BDE3C827A65C}" sibTransId="{46535A39-FCA8-4230-AE2D-DD2DC8EDED44}"/>
    <dgm:cxn modelId="{0EFFDC91-32C9-4C08-A76B-D7D4C65BBBE2}" srcId="{2DFFC8B8-75EF-411C-A677-802E14BECB60}" destId="{A66EF7F5-55EC-47DE-909B-4E3DF19E5C2F}" srcOrd="1" destOrd="0" parTransId="{8F42B1AF-E3B5-42EE-AF18-0B7BA21958A9}" sibTransId="{C8669057-8EDC-4321-BE88-0AF9D84E529B}"/>
    <dgm:cxn modelId="{A059C693-253A-41E1-A0A5-75CC053895C1}" srcId="{2DFFC8B8-75EF-411C-A677-802E14BECB60}" destId="{0060ABB4-3969-4C1F-B77F-6EC8C5F5C451}" srcOrd="0" destOrd="0" parTransId="{E826DB45-3DB7-4B76-B4DF-ABAF2B922F6B}" sibTransId="{7EE62E8A-AC16-4495-877E-F2838812BE6D}"/>
    <dgm:cxn modelId="{D479E7A4-17CB-4F52-ADB8-522289E54C13}" type="presOf" srcId="{64BA73E7-D4B5-44C3-9F23-CDA338C63674}" destId="{CFFB7B37-1058-49CE-AB0A-18D04074D955}" srcOrd="0" destOrd="0" presId="urn:microsoft.com/office/officeart/2005/8/layout/hierarchy2"/>
    <dgm:cxn modelId="{7B733BA5-7327-4EE0-8829-016FAB47D18D}" type="presOf" srcId="{108C4DAF-497B-4EA1-A171-1DB9EFB778E2}" destId="{81897AE0-B467-409A-ACCA-31B2B43FC766}" srcOrd="0" destOrd="0" presId="urn:microsoft.com/office/officeart/2005/8/layout/hierarchy2"/>
    <dgm:cxn modelId="{23A6ABA8-D114-481D-ABE5-2875CFE3A0CA}" type="presOf" srcId="{DBF41B36-8E73-4758-BA21-C50372CE7182}" destId="{742FD1E0-AE9B-455C-B09E-8F8272BD3E35}" srcOrd="1" destOrd="0" presId="urn:microsoft.com/office/officeart/2005/8/layout/hierarchy2"/>
    <dgm:cxn modelId="{EF8189D0-98E2-485D-92FC-6E0FD1225496}" type="presOf" srcId="{8F42B1AF-E3B5-42EE-AF18-0B7BA21958A9}" destId="{DED2D4E3-3C5E-4374-B7FB-B9D6C6441DCA}" srcOrd="0" destOrd="0" presId="urn:microsoft.com/office/officeart/2005/8/layout/hierarchy2"/>
    <dgm:cxn modelId="{415082D3-3AC9-4E05-A0CA-F58B99CB3355}" srcId="{108C4DAF-497B-4EA1-A171-1DB9EFB778E2}" destId="{9F9015CA-A147-4AE8-8422-6C644CB483E3}" srcOrd="0" destOrd="0" parTransId="{9C7B33C7-94C0-467C-9523-A04D02DEB662}" sibTransId="{7FE9C11F-8094-4139-8096-D11DCF7A98D1}"/>
    <dgm:cxn modelId="{A07F79D6-20A5-4B16-8ACB-6B44DEFFA57A}" type="presOf" srcId="{B16860BB-4B0C-43A7-AADF-4AEE817E32A3}" destId="{A4042860-D167-4166-8FB4-D7128AE5AFFE}" srcOrd="0" destOrd="0" presId="urn:microsoft.com/office/officeart/2005/8/layout/hierarchy2"/>
    <dgm:cxn modelId="{C60388E8-D653-4F69-A59B-E73353705C72}" type="presOf" srcId="{E826DB45-3DB7-4B76-B4DF-ABAF2B922F6B}" destId="{57434903-4F7A-47B5-8286-1860BDA8A02B}" srcOrd="1" destOrd="0" presId="urn:microsoft.com/office/officeart/2005/8/layout/hierarchy2"/>
    <dgm:cxn modelId="{A4FCCAEB-ADD3-49F8-AAE6-14C9902B59A9}" type="presOf" srcId="{9F9015CA-A147-4AE8-8422-6C644CB483E3}" destId="{F6A4FA7B-8081-46A6-8280-AE2B4125CF51}" srcOrd="0" destOrd="0" presId="urn:microsoft.com/office/officeart/2005/8/layout/hierarchy2"/>
    <dgm:cxn modelId="{B4ED13F9-EE65-4215-AB9A-0C17DC6BE6C2}" type="presOf" srcId="{5258992D-3827-4E6A-BD39-825ACBC61A53}" destId="{F887DCB6-E647-46A1-929F-119F530A577C}" srcOrd="0" destOrd="0" presId="urn:microsoft.com/office/officeart/2005/8/layout/hierarchy2"/>
    <dgm:cxn modelId="{7E7FBDFA-F43A-48E0-ADE8-37C908829D7F}" type="presOf" srcId="{A9B3E95C-DEC4-4F84-96E4-BDE3C827A65C}" destId="{36A41229-5CE8-4E03-BC11-17D5B087C07F}" srcOrd="0" destOrd="0" presId="urn:microsoft.com/office/officeart/2005/8/layout/hierarchy2"/>
    <dgm:cxn modelId="{F9882D65-1463-4AAE-90A5-A557F95771CE}" type="presParOf" srcId="{81897AE0-B467-409A-ACCA-31B2B43FC766}" destId="{3763552E-7AC6-4F86-8370-FCD80CFC95D0}" srcOrd="0" destOrd="0" presId="urn:microsoft.com/office/officeart/2005/8/layout/hierarchy2"/>
    <dgm:cxn modelId="{87C58DB2-08ED-4F73-BF43-1471BB57FC79}" type="presParOf" srcId="{3763552E-7AC6-4F86-8370-FCD80CFC95D0}" destId="{F6A4FA7B-8081-46A6-8280-AE2B4125CF51}" srcOrd="0" destOrd="0" presId="urn:microsoft.com/office/officeart/2005/8/layout/hierarchy2"/>
    <dgm:cxn modelId="{713DE3DE-C1B0-4D42-B9BA-8F744D988EBF}" type="presParOf" srcId="{3763552E-7AC6-4F86-8370-FCD80CFC95D0}" destId="{506C7451-399B-4050-91B1-C87680A8E31E}" srcOrd="1" destOrd="0" presId="urn:microsoft.com/office/officeart/2005/8/layout/hierarchy2"/>
    <dgm:cxn modelId="{14B7DBCE-F478-45FB-A145-AE6F241F1312}" type="presParOf" srcId="{506C7451-399B-4050-91B1-C87680A8E31E}" destId="{CA5667E2-5195-48DA-87CA-B9963A6930D8}" srcOrd="0" destOrd="0" presId="urn:microsoft.com/office/officeart/2005/8/layout/hierarchy2"/>
    <dgm:cxn modelId="{8247A251-0ED8-4382-A721-DF22EF7C172F}" type="presParOf" srcId="{CA5667E2-5195-48DA-87CA-B9963A6930D8}" destId="{742FD1E0-AE9B-455C-B09E-8F8272BD3E35}" srcOrd="0" destOrd="0" presId="urn:microsoft.com/office/officeart/2005/8/layout/hierarchy2"/>
    <dgm:cxn modelId="{1F131E1C-7950-4A05-90E2-57F8190D1879}" type="presParOf" srcId="{506C7451-399B-4050-91B1-C87680A8E31E}" destId="{1E8524FC-94AF-4F80-866A-0C88F754BD19}" srcOrd="1" destOrd="0" presId="urn:microsoft.com/office/officeart/2005/8/layout/hierarchy2"/>
    <dgm:cxn modelId="{81211BAC-360C-453D-91C2-15CA35D1A941}" type="presParOf" srcId="{1E8524FC-94AF-4F80-866A-0C88F754BD19}" destId="{7CB587BD-7222-440A-8F51-D92A07075826}" srcOrd="0" destOrd="0" presId="urn:microsoft.com/office/officeart/2005/8/layout/hierarchy2"/>
    <dgm:cxn modelId="{57926923-7A15-4CB1-8314-28C574402495}" type="presParOf" srcId="{1E8524FC-94AF-4F80-866A-0C88F754BD19}" destId="{31CDBB62-52F8-4B1D-B057-0E6790513943}" srcOrd="1" destOrd="0" presId="urn:microsoft.com/office/officeart/2005/8/layout/hierarchy2"/>
    <dgm:cxn modelId="{704FB3AB-ADF1-4238-B99A-B4A0431E3466}" type="presParOf" srcId="{31CDBB62-52F8-4B1D-B057-0E6790513943}" destId="{96996770-4DE7-467D-A834-2C0288F6F297}" srcOrd="0" destOrd="0" presId="urn:microsoft.com/office/officeart/2005/8/layout/hierarchy2"/>
    <dgm:cxn modelId="{B1B8C467-CF79-4601-819E-93CAE525DBA3}" type="presParOf" srcId="{96996770-4DE7-467D-A834-2C0288F6F297}" destId="{57434903-4F7A-47B5-8286-1860BDA8A02B}" srcOrd="0" destOrd="0" presId="urn:microsoft.com/office/officeart/2005/8/layout/hierarchy2"/>
    <dgm:cxn modelId="{6ADFE232-2126-463B-B89A-5A048CD9B3A3}" type="presParOf" srcId="{31CDBB62-52F8-4B1D-B057-0E6790513943}" destId="{EB5D7467-87D6-4C99-9229-AFC4DCC9A03F}" srcOrd="1" destOrd="0" presId="urn:microsoft.com/office/officeart/2005/8/layout/hierarchy2"/>
    <dgm:cxn modelId="{D2A53566-78F2-4D2E-8ABE-1D13A743DE0B}" type="presParOf" srcId="{EB5D7467-87D6-4C99-9229-AFC4DCC9A03F}" destId="{BEE19B7A-F2B4-4CCD-9F1A-E802BFF27F8A}" srcOrd="0" destOrd="0" presId="urn:microsoft.com/office/officeart/2005/8/layout/hierarchy2"/>
    <dgm:cxn modelId="{2158175D-4FD8-428C-ACFC-0FE3C2C06A85}" type="presParOf" srcId="{EB5D7467-87D6-4C99-9229-AFC4DCC9A03F}" destId="{7FDA9D8A-9871-4EA9-84F4-3A7DC6E5F995}" srcOrd="1" destOrd="0" presId="urn:microsoft.com/office/officeart/2005/8/layout/hierarchy2"/>
    <dgm:cxn modelId="{98F40D0A-3143-4F86-9816-E9BD73626FBE}" type="presParOf" srcId="{31CDBB62-52F8-4B1D-B057-0E6790513943}" destId="{DED2D4E3-3C5E-4374-B7FB-B9D6C6441DCA}" srcOrd="2" destOrd="0" presId="urn:microsoft.com/office/officeart/2005/8/layout/hierarchy2"/>
    <dgm:cxn modelId="{B26BCE00-1061-4C7F-91AE-99CF742F9FCA}" type="presParOf" srcId="{DED2D4E3-3C5E-4374-B7FB-B9D6C6441DCA}" destId="{109CF8B6-1FE1-4305-B199-7BECEAFD82EA}" srcOrd="0" destOrd="0" presId="urn:microsoft.com/office/officeart/2005/8/layout/hierarchy2"/>
    <dgm:cxn modelId="{C044725E-A86A-4548-9216-BC7043D6B13C}" type="presParOf" srcId="{31CDBB62-52F8-4B1D-B057-0E6790513943}" destId="{13C9F072-E731-4514-84F3-82CAC4EB7A04}" srcOrd="3" destOrd="0" presId="urn:microsoft.com/office/officeart/2005/8/layout/hierarchy2"/>
    <dgm:cxn modelId="{41435FA5-701B-4E4F-9F50-DA03FC1FE886}" type="presParOf" srcId="{13C9F072-E731-4514-84F3-82CAC4EB7A04}" destId="{7DE25F81-24B7-4109-A493-BB23D5E1BA7D}" srcOrd="0" destOrd="0" presId="urn:microsoft.com/office/officeart/2005/8/layout/hierarchy2"/>
    <dgm:cxn modelId="{2F338141-1147-4DA5-AE17-2E8E032E2422}" type="presParOf" srcId="{13C9F072-E731-4514-84F3-82CAC4EB7A04}" destId="{93B91860-6AE8-4008-88E2-237239EA3F9A}" srcOrd="1" destOrd="0" presId="urn:microsoft.com/office/officeart/2005/8/layout/hierarchy2"/>
    <dgm:cxn modelId="{0B9957F2-499B-4624-A226-F04BA0C75CD3}" type="presParOf" srcId="{506C7451-399B-4050-91B1-C87680A8E31E}" destId="{CFFB7B37-1058-49CE-AB0A-18D04074D955}" srcOrd="2" destOrd="0" presId="urn:microsoft.com/office/officeart/2005/8/layout/hierarchy2"/>
    <dgm:cxn modelId="{DC14FABC-16C1-41BE-8C77-17F6497CCD90}" type="presParOf" srcId="{CFFB7B37-1058-49CE-AB0A-18D04074D955}" destId="{2C9FAC2F-E4FA-408B-8D8A-D4DF1E3E7B1C}" srcOrd="0" destOrd="0" presId="urn:microsoft.com/office/officeart/2005/8/layout/hierarchy2"/>
    <dgm:cxn modelId="{900B1A6B-91CF-4F12-8F97-B3C3B04006F8}" type="presParOf" srcId="{506C7451-399B-4050-91B1-C87680A8E31E}" destId="{411D2A9A-9BF8-4F53-B106-BE48F18FA3EB}" srcOrd="3" destOrd="0" presId="urn:microsoft.com/office/officeart/2005/8/layout/hierarchy2"/>
    <dgm:cxn modelId="{F4E6AD93-BF93-4A59-9878-099C97CD089E}" type="presParOf" srcId="{411D2A9A-9BF8-4F53-B106-BE48F18FA3EB}" destId="{F887DCB6-E647-46A1-929F-119F530A577C}" srcOrd="0" destOrd="0" presId="urn:microsoft.com/office/officeart/2005/8/layout/hierarchy2"/>
    <dgm:cxn modelId="{C7A89FA6-3C5C-4FDE-A135-88E1FAA5E0A5}" type="presParOf" srcId="{411D2A9A-9BF8-4F53-B106-BE48F18FA3EB}" destId="{1A95D662-C333-4110-9FCC-9387D02E95A1}" srcOrd="1" destOrd="0" presId="urn:microsoft.com/office/officeart/2005/8/layout/hierarchy2"/>
    <dgm:cxn modelId="{3EE09AA1-6D59-4DA9-A7C0-6D233BD73400}" type="presParOf" srcId="{1A95D662-C333-4110-9FCC-9387D02E95A1}" destId="{36A41229-5CE8-4E03-BC11-17D5B087C07F}" srcOrd="0" destOrd="0" presId="urn:microsoft.com/office/officeart/2005/8/layout/hierarchy2"/>
    <dgm:cxn modelId="{8FDC8E64-B946-4C5F-96D6-AEE7E8D862C2}" type="presParOf" srcId="{36A41229-5CE8-4E03-BC11-17D5B087C07F}" destId="{98D4054F-BA89-47CF-9116-A633406BFDE0}" srcOrd="0" destOrd="0" presId="urn:microsoft.com/office/officeart/2005/8/layout/hierarchy2"/>
    <dgm:cxn modelId="{3BD34141-11F3-4F6E-8B5D-6EB8D8153261}" type="presParOf" srcId="{1A95D662-C333-4110-9FCC-9387D02E95A1}" destId="{1AA661E9-419A-40E7-AD31-6413FA8E0CB8}" srcOrd="1" destOrd="0" presId="urn:microsoft.com/office/officeart/2005/8/layout/hierarchy2"/>
    <dgm:cxn modelId="{E731011A-9D7C-472C-A753-9CF1B800F94A}" type="presParOf" srcId="{1AA661E9-419A-40E7-AD31-6413FA8E0CB8}" destId="{A4042860-D167-4166-8FB4-D7128AE5AFFE}" srcOrd="0" destOrd="0" presId="urn:microsoft.com/office/officeart/2005/8/layout/hierarchy2"/>
    <dgm:cxn modelId="{7BC0A306-638C-45B2-9D47-10801B0F25D4}" type="presParOf" srcId="{1AA661E9-419A-40E7-AD31-6413FA8E0CB8}" destId="{98811DEA-0F29-45C5-8B62-AA0E62449748}" srcOrd="1" destOrd="0" presId="urn:microsoft.com/office/officeart/2005/8/layout/hierarchy2"/>
    <dgm:cxn modelId="{B2549ED6-604A-409C-AF51-D953DFA17DDC}" type="presParOf" srcId="{1A95D662-C333-4110-9FCC-9387D02E95A1}" destId="{76340ED9-4187-4315-BBA3-FD92260B57CA}" srcOrd="2" destOrd="0" presId="urn:microsoft.com/office/officeart/2005/8/layout/hierarchy2"/>
    <dgm:cxn modelId="{EE2943CF-019D-4257-9944-7825FB1AD4F6}" type="presParOf" srcId="{76340ED9-4187-4315-BBA3-FD92260B57CA}" destId="{90B9D9A6-B3EE-4F88-BFF5-9B51A368958A}" srcOrd="0" destOrd="0" presId="urn:microsoft.com/office/officeart/2005/8/layout/hierarchy2"/>
    <dgm:cxn modelId="{31881F40-258C-4154-BA11-EBC1E3EC6B37}" type="presParOf" srcId="{1A95D662-C333-4110-9FCC-9387D02E95A1}" destId="{37E1A75D-59E5-4742-B71C-D9728337330F}" srcOrd="3" destOrd="0" presId="urn:microsoft.com/office/officeart/2005/8/layout/hierarchy2"/>
    <dgm:cxn modelId="{A118DEF4-2C7C-4D17-A2A2-87F985DAD761}" type="presParOf" srcId="{37E1A75D-59E5-4742-B71C-D9728337330F}" destId="{053FF235-C3CB-411F-9CC1-30DE105C9DBA}" srcOrd="0" destOrd="0" presId="urn:microsoft.com/office/officeart/2005/8/layout/hierarchy2"/>
    <dgm:cxn modelId="{FFA8DF47-97FF-44A7-9AC1-8FB130F8BFAE}" type="presParOf" srcId="{37E1A75D-59E5-4742-B71C-D9728337330F}" destId="{85FDB085-E165-4006-8B70-D77EA1369DD0}" srcOrd="1" destOrd="0" presId="urn:microsoft.com/office/officeart/2005/8/layout/hierarchy2"/>
  </dgm:cxnLst>
  <dgm:bg/>
  <dgm:whole>
    <a:ln>
      <a:noFill/>
    </a:ln>
  </dgm:whole>
  <dgm:extLst>
    <a:ext uri="http://schemas.microsoft.com/office/drawing/2008/diagram">
      <dsp:dataModelExt xmlns:dsp="http://schemas.microsoft.com/office/drawing/2008/diagram" relId="rId18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5D767B-9C65-4DCB-9DA8-0195612A9DF0}" type="doc">
      <dgm:prSet loTypeId="urn:microsoft.com/office/officeart/2005/8/layout/pList2" loCatId="picture" qsTypeId="urn:microsoft.com/office/officeart/2005/8/quickstyle/simple1" qsCatId="simple" csTypeId="urn:microsoft.com/office/officeart/2005/8/colors/accent1_2" csCatId="accent1" phldr="1"/>
      <dgm:spPr/>
    </dgm:pt>
    <dgm:pt modelId="{8679A714-FA4A-4D7C-B84E-DE93EE2787B5}">
      <dgm:prSet phldrT="[Text]"/>
      <dgm:spPr/>
      <dgm:t>
        <a:bodyPr/>
        <a:lstStyle/>
        <a:p>
          <a:r>
            <a:rPr lang="en-US"/>
            <a:t>Natural</a:t>
          </a:r>
        </a:p>
      </dgm:t>
    </dgm:pt>
    <dgm:pt modelId="{75E73009-C972-4E49-8F35-497B75FEFDDD}" type="parTrans" cxnId="{4A9055F9-F2F9-4379-8B78-D2463ED1DEED}">
      <dgm:prSet/>
      <dgm:spPr/>
      <dgm:t>
        <a:bodyPr/>
        <a:lstStyle/>
        <a:p>
          <a:endParaRPr lang="en-US"/>
        </a:p>
      </dgm:t>
    </dgm:pt>
    <dgm:pt modelId="{A89B1EAB-5CEB-4D7F-B0B4-945646CF40A1}" type="sibTrans" cxnId="{4A9055F9-F2F9-4379-8B78-D2463ED1DEED}">
      <dgm:prSet/>
      <dgm:spPr/>
      <dgm:t>
        <a:bodyPr/>
        <a:lstStyle/>
        <a:p>
          <a:endParaRPr lang="en-US"/>
        </a:p>
      </dgm:t>
    </dgm:pt>
    <dgm:pt modelId="{04640AAB-FD14-49C7-815C-8FD14201F946}">
      <dgm:prSet phldrT="[Text]"/>
      <dgm:spPr/>
      <dgm:t>
        <a:bodyPr/>
        <a:lstStyle/>
        <a:p>
          <a:r>
            <a:rPr lang="en-US"/>
            <a:t>Social</a:t>
          </a:r>
        </a:p>
      </dgm:t>
    </dgm:pt>
    <dgm:pt modelId="{808AAB03-5086-4393-BB21-5530DB0342B5}" type="parTrans" cxnId="{F7B68942-881D-4C75-A486-D8569202CD19}">
      <dgm:prSet/>
      <dgm:spPr/>
      <dgm:t>
        <a:bodyPr/>
        <a:lstStyle/>
        <a:p>
          <a:endParaRPr lang="en-US"/>
        </a:p>
      </dgm:t>
    </dgm:pt>
    <dgm:pt modelId="{316EBA64-1427-4481-A7CC-ED79A93B2E82}" type="sibTrans" cxnId="{F7B68942-881D-4C75-A486-D8569202CD19}">
      <dgm:prSet/>
      <dgm:spPr/>
      <dgm:t>
        <a:bodyPr/>
        <a:lstStyle/>
        <a:p>
          <a:endParaRPr lang="en-US"/>
        </a:p>
      </dgm:t>
    </dgm:pt>
    <dgm:pt modelId="{F915DD37-AB46-4951-A46D-CBCC9B53FA85}">
      <dgm:prSet phldrT="[Text]"/>
      <dgm:spPr/>
      <dgm:t>
        <a:bodyPr/>
        <a:lstStyle/>
        <a:p>
          <a:r>
            <a:rPr lang="en-US"/>
            <a:t>Physical</a:t>
          </a:r>
        </a:p>
      </dgm:t>
    </dgm:pt>
    <dgm:pt modelId="{0335867B-BA36-4641-B758-43A7B7F1AE43}" type="parTrans" cxnId="{FCCE5D29-0E54-48BB-B50C-30C601AA1977}">
      <dgm:prSet/>
      <dgm:spPr/>
      <dgm:t>
        <a:bodyPr/>
        <a:lstStyle/>
        <a:p>
          <a:endParaRPr lang="en-US"/>
        </a:p>
      </dgm:t>
    </dgm:pt>
    <dgm:pt modelId="{861065D7-87CE-44CB-A54A-C43E6313A5C6}" type="sibTrans" cxnId="{FCCE5D29-0E54-48BB-B50C-30C601AA1977}">
      <dgm:prSet/>
      <dgm:spPr/>
      <dgm:t>
        <a:bodyPr/>
        <a:lstStyle/>
        <a:p>
          <a:endParaRPr lang="en-US"/>
        </a:p>
      </dgm:t>
    </dgm:pt>
    <dgm:pt modelId="{25F62106-1705-469F-9307-213C1AE6EA32}">
      <dgm:prSet phldrT="[Text]"/>
      <dgm:spPr/>
      <dgm:t>
        <a:bodyPr/>
        <a:lstStyle/>
        <a:p>
          <a:r>
            <a:rPr lang="en-US"/>
            <a:t>Earth</a:t>
          </a:r>
        </a:p>
      </dgm:t>
    </dgm:pt>
    <dgm:pt modelId="{34825241-C1BF-4765-8447-6690889802DB}" type="parTrans" cxnId="{20CE14CE-F645-4185-8669-C727F5D0B4A7}">
      <dgm:prSet/>
      <dgm:spPr/>
      <dgm:t>
        <a:bodyPr/>
        <a:lstStyle/>
        <a:p>
          <a:endParaRPr lang="en-US"/>
        </a:p>
      </dgm:t>
    </dgm:pt>
    <dgm:pt modelId="{CDCD8A9C-BD48-4F5A-A160-3505E9A67E7A}" type="sibTrans" cxnId="{20CE14CE-F645-4185-8669-C727F5D0B4A7}">
      <dgm:prSet/>
      <dgm:spPr/>
      <dgm:t>
        <a:bodyPr/>
        <a:lstStyle/>
        <a:p>
          <a:endParaRPr lang="en-US"/>
        </a:p>
      </dgm:t>
    </dgm:pt>
    <dgm:pt modelId="{8C4A744C-2457-4C3D-B174-049C64E4307B}">
      <dgm:prSet phldrT="[Text]"/>
      <dgm:spPr/>
      <dgm:t>
        <a:bodyPr/>
        <a:lstStyle/>
        <a:p>
          <a:r>
            <a:rPr lang="en-US"/>
            <a:t>Life</a:t>
          </a:r>
        </a:p>
      </dgm:t>
    </dgm:pt>
    <dgm:pt modelId="{81FC075F-FCCD-430F-922A-8B2FEE9A73EE}" type="parTrans" cxnId="{903FFBB5-2EDC-460C-9BE9-CC9DE0796E6D}">
      <dgm:prSet/>
      <dgm:spPr/>
      <dgm:t>
        <a:bodyPr/>
        <a:lstStyle/>
        <a:p>
          <a:endParaRPr lang="en-US"/>
        </a:p>
      </dgm:t>
    </dgm:pt>
    <dgm:pt modelId="{C2D45F77-4BCF-46D3-941F-432805DAF9EE}" type="sibTrans" cxnId="{903FFBB5-2EDC-460C-9BE9-CC9DE0796E6D}">
      <dgm:prSet/>
      <dgm:spPr/>
      <dgm:t>
        <a:bodyPr/>
        <a:lstStyle/>
        <a:p>
          <a:endParaRPr lang="en-US"/>
        </a:p>
      </dgm:t>
    </dgm:pt>
    <dgm:pt modelId="{7F35F5AE-3313-49D1-9C4B-DA36A48BDA6D}">
      <dgm:prSet phldrT="[Text]"/>
      <dgm:spPr/>
      <dgm:t>
        <a:bodyPr/>
        <a:lstStyle/>
        <a:p>
          <a:r>
            <a:rPr lang="en-US"/>
            <a:t>Psychology</a:t>
          </a:r>
        </a:p>
      </dgm:t>
    </dgm:pt>
    <dgm:pt modelId="{F983CB35-19EE-408D-BD91-C05540AA52A6}" type="parTrans" cxnId="{E609F931-A0C1-42C8-8C6D-5A853F1D2B9A}">
      <dgm:prSet/>
      <dgm:spPr/>
      <dgm:t>
        <a:bodyPr/>
        <a:lstStyle/>
        <a:p>
          <a:endParaRPr lang="en-US"/>
        </a:p>
      </dgm:t>
    </dgm:pt>
    <dgm:pt modelId="{C6DE4B04-5E27-4F54-B590-EC33342FBB89}" type="sibTrans" cxnId="{E609F931-A0C1-42C8-8C6D-5A853F1D2B9A}">
      <dgm:prSet/>
      <dgm:spPr/>
      <dgm:t>
        <a:bodyPr/>
        <a:lstStyle/>
        <a:p>
          <a:endParaRPr lang="en-US"/>
        </a:p>
      </dgm:t>
    </dgm:pt>
    <dgm:pt modelId="{1E133743-F5CB-4FFE-BDE9-3622894314D9}">
      <dgm:prSet phldrT="[Text]"/>
      <dgm:spPr/>
      <dgm:t>
        <a:bodyPr/>
        <a:lstStyle/>
        <a:p>
          <a:r>
            <a:rPr lang="en-US"/>
            <a:t>Sociology</a:t>
          </a:r>
        </a:p>
      </dgm:t>
    </dgm:pt>
    <dgm:pt modelId="{5CCD2826-DF25-4255-8C3A-1019185A25C1}" type="parTrans" cxnId="{41CE1527-C010-48CF-AD52-AFDFAB9022A0}">
      <dgm:prSet/>
      <dgm:spPr/>
      <dgm:t>
        <a:bodyPr/>
        <a:lstStyle/>
        <a:p>
          <a:endParaRPr lang="en-US"/>
        </a:p>
      </dgm:t>
    </dgm:pt>
    <dgm:pt modelId="{AA461A95-5743-4A5A-BA3D-DB6ACFFA28B0}" type="sibTrans" cxnId="{41CE1527-C010-48CF-AD52-AFDFAB9022A0}">
      <dgm:prSet/>
      <dgm:spPr/>
      <dgm:t>
        <a:bodyPr/>
        <a:lstStyle/>
        <a:p>
          <a:endParaRPr lang="en-US"/>
        </a:p>
      </dgm:t>
    </dgm:pt>
    <dgm:pt modelId="{CF0955D8-643B-4D32-B0D1-293AB333D226}">
      <dgm:prSet phldrT="[Text]"/>
      <dgm:spPr/>
      <dgm:t>
        <a:bodyPr/>
        <a:lstStyle/>
        <a:p>
          <a:r>
            <a:rPr lang="en-US"/>
            <a:t>Economics</a:t>
          </a:r>
        </a:p>
      </dgm:t>
    </dgm:pt>
    <dgm:pt modelId="{49182A35-D937-4825-82A8-61568DF314A7}" type="parTrans" cxnId="{EC1F5599-2988-45F6-B655-0549228CCC8B}">
      <dgm:prSet/>
      <dgm:spPr/>
      <dgm:t>
        <a:bodyPr/>
        <a:lstStyle/>
        <a:p>
          <a:endParaRPr lang="en-US"/>
        </a:p>
      </dgm:t>
    </dgm:pt>
    <dgm:pt modelId="{20C23119-9009-4E72-9BBE-B176ACC48AAC}" type="sibTrans" cxnId="{EC1F5599-2988-45F6-B655-0549228CCC8B}">
      <dgm:prSet/>
      <dgm:spPr/>
      <dgm:t>
        <a:bodyPr/>
        <a:lstStyle/>
        <a:p>
          <a:endParaRPr lang="en-US"/>
        </a:p>
      </dgm:t>
    </dgm:pt>
    <dgm:pt modelId="{46E6D11C-D288-4C00-B1D4-D4B76443F85A}" type="pres">
      <dgm:prSet presAssocID="{5A5D767B-9C65-4DCB-9DA8-0195612A9DF0}" presName="Name0" presStyleCnt="0">
        <dgm:presLayoutVars>
          <dgm:dir/>
          <dgm:resizeHandles val="exact"/>
        </dgm:presLayoutVars>
      </dgm:prSet>
      <dgm:spPr/>
    </dgm:pt>
    <dgm:pt modelId="{1C7B079E-7D57-4269-9A9E-20220324504C}" type="pres">
      <dgm:prSet presAssocID="{5A5D767B-9C65-4DCB-9DA8-0195612A9DF0}" presName="bkgdShp" presStyleLbl="alignAccFollowNode1" presStyleIdx="0" presStyleCnt="1"/>
      <dgm:spPr/>
    </dgm:pt>
    <dgm:pt modelId="{5040BCC7-8B5E-4B16-B6D0-6DAC0602D34D}" type="pres">
      <dgm:prSet presAssocID="{5A5D767B-9C65-4DCB-9DA8-0195612A9DF0}" presName="linComp" presStyleCnt="0"/>
      <dgm:spPr/>
    </dgm:pt>
    <dgm:pt modelId="{210EB2D8-0D47-4F37-BB17-C3D8DAF1A10D}" type="pres">
      <dgm:prSet presAssocID="{8679A714-FA4A-4D7C-B84E-DE93EE2787B5}" presName="compNode" presStyleCnt="0"/>
      <dgm:spPr/>
    </dgm:pt>
    <dgm:pt modelId="{158A90CA-03B7-4A7C-9F29-ED5CD54C2400}" type="pres">
      <dgm:prSet presAssocID="{8679A714-FA4A-4D7C-B84E-DE93EE2787B5}" presName="node" presStyleLbl="node1" presStyleIdx="0" presStyleCnt="2">
        <dgm:presLayoutVars>
          <dgm:bulletEnabled val="1"/>
        </dgm:presLayoutVars>
      </dgm:prSet>
      <dgm:spPr/>
    </dgm:pt>
    <dgm:pt modelId="{C933277E-4A79-4355-AA21-56050837B713}" type="pres">
      <dgm:prSet presAssocID="{8679A714-FA4A-4D7C-B84E-DE93EE2787B5}" presName="invisiNode" presStyleLbl="node1" presStyleIdx="0" presStyleCnt="2"/>
      <dgm:spPr/>
    </dgm:pt>
    <dgm:pt modelId="{7BC660B4-9D47-4762-9825-4279A15179C4}" type="pres">
      <dgm:prSet presAssocID="{8679A714-FA4A-4D7C-B84E-DE93EE2787B5}" presName="imagNode" presStyleLbl="fgImgPlace1" presStyleIdx="0" presStyleCnt="2"/>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27000" b="-27000"/>
          </a:stretch>
        </a:blipFill>
      </dgm:spPr>
      <dgm:extLst>
        <a:ext uri="{E40237B7-FDA0-4F09-8148-C483321AD2D9}">
          <dgm14:cNvPr xmlns:dgm14="http://schemas.microsoft.com/office/drawing/2010/diagram" id="0" name="" descr="Molecular model and digital tablet on counter in lab"/>
        </a:ext>
      </dgm:extLst>
    </dgm:pt>
    <dgm:pt modelId="{1069C26F-23BB-46B8-A865-E47EC89E758C}" type="pres">
      <dgm:prSet presAssocID="{A89B1EAB-5CEB-4D7F-B0B4-945646CF40A1}" presName="sibTrans" presStyleLbl="sibTrans2D1" presStyleIdx="0" presStyleCnt="0"/>
      <dgm:spPr/>
    </dgm:pt>
    <dgm:pt modelId="{BB0D8126-BC47-473B-942D-60727437D212}" type="pres">
      <dgm:prSet presAssocID="{04640AAB-FD14-49C7-815C-8FD14201F946}" presName="compNode" presStyleCnt="0"/>
      <dgm:spPr/>
    </dgm:pt>
    <dgm:pt modelId="{1C6FD99B-9883-412B-92F6-8615B136DC01}" type="pres">
      <dgm:prSet presAssocID="{04640AAB-FD14-49C7-815C-8FD14201F946}" presName="node" presStyleLbl="node1" presStyleIdx="1" presStyleCnt="2">
        <dgm:presLayoutVars>
          <dgm:bulletEnabled val="1"/>
        </dgm:presLayoutVars>
      </dgm:prSet>
      <dgm:spPr/>
    </dgm:pt>
    <dgm:pt modelId="{E0314814-1883-4644-8FD0-F51BFA57ED73}" type="pres">
      <dgm:prSet presAssocID="{04640AAB-FD14-49C7-815C-8FD14201F946}" presName="invisiNode" presStyleLbl="node1" presStyleIdx="1" presStyleCnt="2"/>
      <dgm:spPr/>
    </dgm:pt>
    <dgm:pt modelId="{E3C54FFB-1557-4C04-93DB-F02ABD6BB951}" type="pres">
      <dgm:prSet presAssocID="{04640AAB-FD14-49C7-815C-8FD14201F946}" presName="imagNode" presStyleLbl="fgImgPlace1" presStyleIdx="1" presStyleCnt="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37000" b="-37000"/>
          </a:stretch>
        </a:blipFill>
      </dgm:spPr>
      <dgm:extLst>
        <a:ext uri="{E40237B7-FDA0-4F09-8148-C483321AD2D9}">
          <dgm14:cNvPr xmlns:dgm14="http://schemas.microsoft.com/office/drawing/2010/diagram" id="0" name="" descr="One in a crowd"/>
        </a:ext>
      </dgm:extLst>
    </dgm:pt>
  </dgm:ptLst>
  <dgm:cxnLst>
    <dgm:cxn modelId="{9B87B608-3BED-4CD0-8A2F-E9B21491F154}" type="presOf" srcId="{04640AAB-FD14-49C7-815C-8FD14201F946}" destId="{1C6FD99B-9883-412B-92F6-8615B136DC01}" srcOrd="0" destOrd="0" presId="urn:microsoft.com/office/officeart/2005/8/layout/pList2"/>
    <dgm:cxn modelId="{8D650112-F196-43F3-A825-7F969FABA170}" type="presOf" srcId="{7F35F5AE-3313-49D1-9C4B-DA36A48BDA6D}" destId="{1C6FD99B-9883-412B-92F6-8615B136DC01}" srcOrd="0" destOrd="1" presId="urn:microsoft.com/office/officeart/2005/8/layout/pList2"/>
    <dgm:cxn modelId="{3862901E-A180-423B-B42F-00A4415BD625}" type="presOf" srcId="{8C4A744C-2457-4C3D-B174-049C64E4307B}" destId="{158A90CA-03B7-4A7C-9F29-ED5CD54C2400}" srcOrd="0" destOrd="3" presId="urn:microsoft.com/office/officeart/2005/8/layout/pList2"/>
    <dgm:cxn modelId="{41CE1527-C010-48CF-AD52-AFDFAB9022A0}" srcId="{04640AAB-FD14-49C7-815C-8FD14201F946}" destId="{1E133743-F5CB-4FFE-BDE9-3622894314D9}" srcOrd="1" destOrd="0" parTransId="{5CCD2826-DF25-4255-8C3A-1019185A25C1}" sibTransId="{AA461A95-5743-4A5A-BA3D-DB6ACFFA28B0}"/>
    <dgm:cxn modelId="{FCCE5D29-0E54-48BB-B50C-30C601AA1977}" srcId="{8679A714-FA4A-4D7C-B84E-DE93EE2787B5}" destId="{F915DD37-AB46-4951-A46D-CBCC9B53FA85}" srcOrd="0" destOrd="0" parTransId="{0335867B-BA36-4641-B758-43A7B7F1AE43}" sibTransId="{861065D7-87CE-44CB-A54A-C43E6313A5C6}"/>
    <dgm:cxn modelId="{E609F931-A0C1-42C8-8C6D-5A853F1D2B9A}" srcId="{04640AAB-FD14-49C7-815C-8FD14201F946}" destId="{7F35F5AE-3313-49D1-9C4B-DA36A48BDA6D}" srcOrd="0" destOrd="0" parTransId="{F983CB35-19EE-408D-BD91-C05540AA52A6}" sibTransId="{C6DE4B04-5E27-4F54-B590-EC33342FBB89}"/>
    <dgm:cxn modelId="{E2EC613E-3AF8-4B5F-8AD6-362F021A3561}" type="presOf" srcId="{CF0955D8-643B-4D32-B0D1-293AB333D226}" destId="{1C6FD99B-9883-412B-92F6-8615B136DC01}" srcOrd="0" destOrd="3" presId="urn:microsoft.com/office/officeart/2005/8/layout/pList2"/>
    <dgm:cxn modelId="{F7B68942-881D-4C75-A486-D8569202CD19}" srcId="{5A5D767B-9C65-4DCB-9DA8-0195612A9DF0}" destId="{04640AAB-FD14-49C7-815C-8FD14201F946}" srcOrd="1" destOrd="0" parTransId="{808AAB03-5086-4393-BB21-5530DB0342B5}" sibTransId="{316EBA64-1427-4481-A7CC-ED79A93B2E82}"/>
    <dgm:cxn modelId="{0B369D56-DF8C-4748-BB90-70C8BEE4A5CB}" type="presOf" srcId="{F915DD37-AB46-4951-A46D-CBCC9B53FA85}" destId="{158A90CA-03B7-4A7C-9F29-ED5CD54C2400}" srcOrd="0" destOrd="1" presId="urn:microsoft.com/office/officeart/2005/8/layout/pList2"/>
    <dgm:cxn modelId="{5696B883-0683-4AF2-AF86-E4B419680AEE}" type="presOf" srcId="{5A5D767B-9C65-4DCB-9DA8-0195612A9DF0}" destId="{46E6D11C-D288-4C00-B1D4-D4B76443F85A}" srcOrd="0" destOrd="0" presId="urn:microsoft.com/office/officeart/2005/8/layout/pList2"/>
    <dgm:cxn modelId="{E402A690-8948-4F0E-9C99-8F4826E5BA0B}" type="presOf" srcId="{8679A714-FA4A-4D7C-B84E-DE93EE2787B5}" destId="{158A90CA-03B7-4A7C-9F29-ED5CD54C2400}" srcOrd="0" destOrd="0" presId="urn:microsoft.com/office/officeart/2005/8/layout/pList2"/>
    <dgm:cxn modelId="{EC1F5599-2988-45F6-B655-0549228CCC8B}" srcId="{04640AAB-FD14-49C7-815C-8FD14201F946}" destId="{CF0955D8-643B-4D32-B0D1-293AB333D226}" srcOrd="2" destOrd="0" parTransId="{49182A35-D937-4825-82A8-61568DF314A7}" sibTransId="{20C23119-9009-4E72-9BBE-B176ACC48AAC}"/>
    <dgm:cxn modelId="{4DC0B7A1-6D07-44BA-A175-A26FDD404FA1}" type="presOf" srcId="{A89B1EAB-5CEB-4D7F-B0B4-945646CF40A1}" destId="{1069C26F-23BB-46B8-A865-E47EC89E758C}" srcOrd="0" destOrd="0" presId="urn:microsoft.com/office/officeart/2005/8/layout/pList2"/>
    <dgm:cxn modelId="{0EB1BBA7-A265-47E3-A3A7-0F149072F0F9}" type="presOf" srcId="{25F62106-1705-469F-9307-213C1AE6EA32}" destId="{158A90CA-03B7-4A7C-9F29-ED5CD54C2400}" srcOrd="0" destOrd="2" presId="urn:microsoft.com/office/officeart/2005/8/layout/pList2"/>
    <dgm:cxn modelId="{903FFBB5-2EDC-460C-9BE9-CC9DE0796E6D}" srcId="{8679A714-FA4A-4D7C-B84E-DE93EE2787B5}" destId="{8C4A744C-2457-4C3D-B174-049C64E4307B}" srcOrd="2" destOrd="0" parTransId="{81FC075F-FCCD-430F-922A-8B2FEE9A73EE}" sibTransId="{C2D45F77-4BCF-46D3-941F-432805DAF9EE}"/>
    <dgm:cxn modelId="{20CE14CE-F645-4185-8669-C727F5D0B4A7}" srcId="{8679A714-FA4A-4D7C-B84E-DE93EE2787B5}" destId="{25F62106-1705-469F-9307-213C1AE6EA32}" srcOrd="1" destOrd="0" parTransId="{34825241-C1BF-4765-8447-6690889802DB}" sibTransId="{CDCD8A9C-BD48-4F5A-A160-3505E9A67E7A}"/>
    <dgm:cxn modelId="{4A9055F9-F2F9-4379-8B78-D2463ED1DEED}" srcId="{5A5D767B-9C65-4DCB-9DA8-0195612A9DF0}" destId="{8679A714-FA4A-4D7C-B84E-DE93EE2787B5}" srcOrd="0" destOrd="0" parTransId="{75E73009-C972-4E49-8F35-497B75FEFDDD}" sibTransId="{A89B1EAB-5CEB-4D7F-B0B4-945646CF40A1}"/>
    <dgm:cxn modelId="{68D7FCFF-1250-4A9B-BE2A-CF313DAFA809}" type="presOf" srcId="{1E133743-F5CB-4FFE-BDE9-3622894314D9}" destId="{1C6FD99B-9883-412B-92F6-8615B136DC01}" srcOrd="0" destOrd="2" presId="urn:microsoft.com/office/officeart/2005/8/layout/pList2"/>
    <dgm:cxn modelId="{27EAA509-8396-4134-97CF-0B5F97AA0DF8}" type="presParOf" srcId="{46E6D11C-D288-4C00-B1D4-D4B76443F85A}" destId="{1C7B079E-7D57-4269-9A9E-20220324504C}" srcOrd="0" destOrd="0" presId="urn:microsoft.com/office/officeart/2005/8/layout/pList2"/>
    <dgm:cxn modelId="{73DB7186-1458-446E-A7FE-60C5D3CBD18B}" type="presParOf" srcId="{46E6D11C-D288-4C00-B1D4-D4B76443F85A}" destId="{5040BCC7-8B5E-4B16-B6D0-6DAC0602D34D}" srcOrd="1" destOrd="0" presId="urn:microsoft.com/office/officeart/2005/8/layout/pList2"/>
    <dgm:cxn modelId="{02F601D2-5F33-4446-8307-595894A67E3B}" type="presParOf" srcId="{5040BCC7-8B5E-4B16-B6D0-6DAC0602D34D}" destId="{210EB2D8-0D47-4F37-BB17-C3D8DAF1A10D}" srcOrd="0" destOrd="0" presId="urn:microsoft.com/office/officeart/2005/8/layout/pList2"/>
    <dgm:cxn modelId="{D5276F44-F5F8-4EE3-80F1-AECFF714C5B7}" type="presParOf" srcId="{210EB2D8-0D47-4F37-BB17-C3D8DAF1A10D}" destId="{158A90CA-03B7-4A7C-9F29-ED5CD54C2400}" srcOrd="0" destOrd="0" presId="urn:microsoft.com/office/officeart/2005/8/layout/pList2"/>
    <dgm:cxn modelId="{B7DF3349-83C2-4B52-9886-4FE249044B95}" type="presParOf" srcId="{210EB2D8-0D47-4F37-BB17-C3D8DAF1A10D}" destId="{C933277E-4A79-4355-AA21-56050837B713}" srcOrd="1" destOrd="0" presId="urn:microsoft.com/office/officeart/2005/8/layout/pList2"/>
    <dgm:cxn modelId="{9D0EE4D6-5356-403A-BB68-ED575CFD3182}" type="presParOf" srcId="{210EB2D8-0D47-4F37-BB17-C3D8DAF1A10D}" destId="{7BC660B4-9D47-4762-9825-4279A15179C4}" srcOrd="2" destOrd="0" presId="urn:microsoft.com/office/officeart/2005/8/layout/pList2"/>
    <dgm:cxn modelId="{F636B07D-AB84-43D9-85E6-EC121CA5B4B4}" type="presParOf" srcId="{5040BCC7-8B5E-4B16-B6D0-6DAC0602D34D}" destId="{1069C26F-23BB-46B8-A865-E47EC89E758C}" srcOrd="1" destOrd="0" presId="urn:microsoft.com/office/officeart/2005/8/layout/pList2"/>
    <dgm:cxn modelId="{6652491D-6B09-4E08-90A8-D262241E1C58}" type="presParOf" srcId="{5040BCC7-8B5E-4B16-B6D0-6DAC0602D34D}" destId="{BB0D8126-BC47-473B-942D-60727437D212}" srcOrd="2" destOrd="0" presId="urn:microsoft.com/office/officeart/2005/8/layout/pList2"/>
    <dgm:cxn modelId="{3BF9C8C7-4FD0-4988-8128-E1528B4EBD61}" type="presParOf" srcId="{BB0D8126-BC47-473B-942D-60727437D212}" destId="{1C6FD99B-9883-412B-92F6-8615B136DC01}" srcOrd="0" destOrd="0" presId="urn:microsoft.com/office/officeart/2005/8/layout/pList2"/>
    <dgm:cxn modelId="{E9196D35-6779-41C1-9C17-59DBABAAD28A}" type="presParOf" srcId="{BB0D8126-BC47-473B-942D-60727437D212}" destId="{E0314814-1883-4644-8FD0-F51BFA57ED73}" srcOrd="1" destOrd="0" presId="urn:microsoft.com/office/officeart/2005/8/layout/pList2"/>
    <dgm:cxn modelId="{C7EA10FA-33B4-4FAF-819B-95084A4AB44D}" type="presParOf" srcId="{BB0D8126-BC47-473B-942D-60727437D212}" destId="{E3C54FFB-1557-4C04-93DB-F02ABD6BB951}" srcOrd="2" destOrd="0" presId="urn:microsoft.com/office/officeart/2005/8/layout/pList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DE836396-ABD2-40EF-91B7-457AA59F6E02}" type="doc">
      <dgm:prSet loTypeId="urn:microsoft.com/office/officeart/2005/8/layout/hierarchy2" loCatId="hierarchy" qsTypeId="urn:microsoft.com/office/officeart/2005/8/quickstyle/simple1" qsCatId="simple" csTypeId="urn:microsoft.com/office/officeart/2005/8/colors/colorful4" csCatId="colorful" phldr="1"/>
      <dgm:spPr/>
      <dgm:t>
        <a:bodyPr/>
        <a:lstStyle/>
        <a:p>
          <a:endParaRPr lang="en-US"/>
        </a:p>
      </dgm:t>
    </dgm:pt>
    <dgm:pt modelId="{6C1A2908-8AFD-4BA0-88B8-DD58FEC62067}">
      <dgm:prSet phldrT="[Text]"/>
      <dgm:spPr/>
      <dgm:t>
        <a:bodyPr/>
        <a:lstStyle/>
        <a:p>
          <a:r>
            <a:rPr lang="en-US"/>
            <a:t>Which Summary and Spread?</a:t>
          </a:r>
        </a:p>
      </dgm:t>
    </dgm:pt>
    <dgm:pt modelId="{640ACBBC-6A33-40AF-8307-C6D39FAC0C7A}" type="parTrans" cxnId="{94C11D35-ACF3-48D6-86A2-BD24929952A1}">
      <dgm:prSet/>
      <dgm:spPr/>
      <dgm:t>
        <a:bodyPr/>
        <a:lstStyle/>
        <a:p>
          <a:endParaRPr lang="en-US"/>
        </a:p>
      </dgm:t>
    </dgm:pt>
    <dgm:pt modelId="{CF615434-7FBD-4711-A0B1-8EBE22EDB5DA}" type="sibTrans" cxnId="{94C11D35-ACF3-48D6-86A2-BD24929952A1}">
      <dgm:prSet/>
      <dgm:spPr/>
      <dgm:t>
        <a:bodyPr/>
        <a:lstStyle/>
        <a:p>
          <a:endParaRPr lang="en-US"/>
        </a:p>
      </dgm:t>
    </dgm:pt>
    <dgm:pt modelId="{E1661932-FDD5-4828-8943-164DB088F115}">
      <dgm:prSet phldrT="[Text]"/>
      <dgm:spPr/>
      <dgm:t>
        <a:bodyPr/>
        <a:lstStyle/>
        <a:p>
          <a:r>
            <a:rPr lang="en-US"/>
            <a:t>Quantitative Data</a:t>
          </a:r>
        </a:p>
      </dgm:t>
    </dgm:pt>
    <dgm:pt modelId="{698A47EE-7984-4564-B9BA-BF2BFA9494C6}" type="parTrans" cxnId="{28416CCC-A63D-4E5E-8F27-9581ED63EDC7}">
      <dgm:prSet/>
      <dgm:spPr/>
      <dgm:t>
        <a:bodyPr/>
        <a:lstStyle/>
        <a:p>
          <a:endParaRPr lang="en-US"/>
        </a:p>
      </dgm:t>
    </dgm:pt>
    <dgm:pt modelId="{C9EC7DB9-604A-440A-8151-BED566445D7B}" type="sibTrans" cxnId="{28416CCC-A63D-4E5E-8F27-9581ED63EDC7}">
      <dgm:prSet/>
      <dgm:spPr/>
      <dgm:t>
        <a:bodyPr/>
        <a:lstStyle/>
        <a:p>
          <a:endParaRPr lang="en-US"/>
        </a:p>
      </dgm:t>
    </dgm:pt>
    <dgm:pt modelId="{E140171A-7A73-4D7C-BCCC-08F78C7A3106}">
      <dgm:prSet phldrT="[Text]"/>
      <dgm:spPr/>
      <dgm:t>
        <a:bodyPr/>
        <a:lstStyle/>
        <a:p>
          <a:r>
            <a:rPr lang="en-US"/>
            <a:t>Normal Distribution</a:t>
          </a:r>
          <a:br>
            <a:rPr lang="en-US"/>
          </a:br>
          <a:r>
            <a:rPr lang="en-US"/>
            <a:t>(Mean</a:t>
          </a:r>
          <a:br>
            <a:rPr lang="en-US"/>
          </a:br>
          <a:r>
            <a:rPr lang="en-US"/>
            <a:t>Standard Deviation)</a:t>
          </a:r>
        </a:p>
      </dgm:t>
    </dgm:pt>
    <dgm:pt modelId="{1BB61F30-3BF0-4093-817F-FF78879FFD69}" type="parTrans" cxnId="{3CD2C903-8D35-4DE8-AE27-10DFCBB2D97B}">
      <dgm:prSet/>
      <dgm:spPr/>
      <dgm:t>
        <a:bodyPr/>
        <a:lstStyle/>
        <a:p>
          <a:endParaRPr lang="en-US"/>
        </a:p>
      </dgm:t>
    </dgm:pt>
    <dgm:pt modelId="{75CE9171-E5C5-4ADE-A909-A5937A8892D0}" type="sibTrans" cxnId="{3CD2C903-8D35-4DE8-AE27-10DFCBB2D97B}">
      <dgm:prSet/>
      <dgm:spPr/>
      <dgm:t>
        <a:bodyPr/>
        <a:lstStyle/>
        <a:p>
          <a:endParaRPr lang="en-US"/>
        </a:p>
      </dgm:t>
    </dgm:pt>
    <dgm:pt modelId="{1CA3B01E-9A67-47E1-8CB5-424F8B834AB3}">
      <dgm:prSet phldrT="[Text]"/>
      <dgm:spPr/>
      <dgm:t>
        <a:bodyPr/>
        <a:lstStyle/>
        <a:p>
          <a:r>
            <a:rPr lang="en-US"/>
            <a:t>Skewed Data</a:t>
          </a:r>
          <a:br>
            <a:rPr lang="en-US"/>
          </a:br>
          <a:r>
            <a:rPr lang="en-US"/>
            <a:t>(Median</a:t>
          </a:r>
          <a:br>
            <a:rPr lang="en-US"/>
          </a:br>
          <a:r>
            <a:rPr lang="en-US"/>
            <a:t>IQR)</a:t>
          </a:r>
        </a:p>
      </dgm:t>
    </dgm:pt>
    <dgm:pt modelId="{D3FC6FF9-FE1A-44E5-A371-924821624FDC}" type="parTrans" cxnId="{E2FD5F91-B153-4702-9300-432557180761}">
      <dgm:prSet/>
      <dgm:spPr/>
      <dgm:t>
        <a:bodyPr/>
        <a:lstStyle/>
        <a:p>
          <a:endParaRPr lang="en-US"/>
        </a:p>
      </dgm:t>
    </dgm:pt>
    <dgm:pt modelId="{0F8DF668-97AC-4487-845E-10879EAF640D}" type="sibTrans" cxnId="{E2FD5F91-B153-4702-9300-432557180761}">
      <dgm:prSet/>
      <dgm:spPr/>
      <dgm:t>
        <a:bodyPr/>
        <a:lstStyle/>
        <a:p>
          <a:endParaRPr lang="en-US"/>
        </a:p>
      </dgm:t>
    </dgm:pt>
    <dgm:pt modelId="{C3AE9835-9618-49C7-B4E6-A82D4DB52756}">
      <dgm:prSet phldrT="[Text]"/>
      <dgm:spPr/>
      <dgm:t>
        <a:bodyPr/>
        <a:lstStyle/>
        <a:p>
          <a:r>
            <a:rPr lang="en-US"/>
            <a:t>Qualitative Data</a:t>
          </a:r>
        </a:p>
      </dgm:t>
    </dgm:pt>
    <dgm:pt modelId="{42AAC9B8-CB2B-4C84-B7C1-E6AA71F3E758}" type="parTrans" cxnId="{02D2F53D-D179-4150-B02D-2CE4AA76799E}">
      <dgm:prSet/>
      <dgm:spPr/>
      <dgm:t>
        <a:bodyPr/>
        <a:lstStyle/>
        <a:p>
          <a:endParaRPr lang="en-US"/>
        </a:p>
      </dgm:t>
    </dgm:pt>
    <dgm:pt modelId="{EC492B4F-5999-413B-9D30-D337A61A1BD8}" type="sibTrans" cxnId="{02D2F53D-D179-4150-B02D-2CE4AA76799E}">
      <dgm:prSet/>
      <dgm:spPr/>
      <dgm:t>
        <a:bodyPr/>
        <a:lstStyle/>
        <a:p>
          <a:endParaRPr lang="en-US"/>
        </a:p>
      </dgm:t>
    </dgm:pt>
    <dgm:pt modelId="{52CB597E-09BC-4529-97D7-9060E7506842}">
      <dgm:prSet phldrT="[Text]"/>
      <dgm:spPr/>
      <dgm:t>
        <a:bodyPr/>
        <a:lstStyle/>
        <a:p>
          <a:r>
            <a:rPr lang="en-US"/>
            <a:t>Ordinal</a:t>
          </a:r>
          <a:br>
            <a:rPr lang="en-US"/>
          </a:br>
          <a:r>
            <a:rPr lang="en-US"/>
            <a:t>(Median</a:t>
          </a:r>
          <a:br>
            <a:rPr lang="en-US"/>
          </a:br>
          <a:r>
            <a:rPr lang="en-US"/>
            <a:t>IQR)</a:t>
          </a:r>
        </a:p>
      </dgm:t>
    </dgm:pt>
    <dgm:pt modelId="{E44CA70B-FDD9-4019-A5A4-1121D85501D3}" type="parTrans" cxnId="{D6C613B4-E48E-4E19-83FA-6D6DCFAD23A1}">
      <dgm:prSet/>
      <dgm:spPr/>
      <dgm:t>
        <a:bodyPr/>
        <a:lstStyle/>
        <a:p>
          <a:endParaRPr lang="en-US"/>
        </a:p>
      </dgm:t>
    </dgm:pt>
    <dgm:pt modelId="{CC59F14E-DAC0-4D93-BE09-9391F3ED3D6A}" type="sibTrans" cxnId="{D6C613B4-E48E-4E19-83FA-6D6DCFAD23A1}">
      <dgm:prSet/>
      <dgm:spPr/>
      <dgm:t>
        <a:bodyPr/>
        <a:lstStyle/>
        <a:p>
          <a:endParaRPr lang="en-US"/>
        </a:p>
      </dgm:t>
    </dgm:pt>
    <dgm:pt modelId="{931CC922-76D0-4E6D-9FEA-6F4C10EA1196}">
      <dgm:prSet phldrT="[Text]"/>
      <dgm:spPr/>
      <dgm:t>
        <a:bodyPr/>
        <a:lstStyle/>
        <a:p>
          <a:r>
            <a:rPr lang="en-US"/>
            <a:t>Nominal</a:t>
          </a:r>
          <a:br>
            <a:rPr lang="en-US"/>
          </a:br>
          <a:r>
            <a:rPr lang="en-US"/>
            <a:t>(Mode</a:t>
          </a:r>
          <a:br>
            <a:rPr lang="en-US"/>
          </a:br>
          <a:r>
            <a:rPr lang="en-US"/>
            <a:t>No Spread)</a:t>
          </a:r>
        </a:p>
      </dgm:t>
    </dgm:pt>
    <dgm:pt modelId="{79B32263-368C-4CB6-BF1F-7CD261A95069}" type="parTrans" cxnId="{63B9C773-3E9B-4687-BEC2-DD9F871CEEDC}">
      <dgm:prSet/>
      <dgm:spPr/>
      <dgm:t>
        <a:bodyPr/>
        <a:lstStyle/>
        <a:p>
          <a:endParaRPr lang="en-US"/>
        </a:p>
      </dgm:t>
    </dgm:pt>
    <dgm:pt modelId="{31C564A4-DC37-4F2F-BF89-70E055980330}" type="sibTrans" cxnId="{63B9C773-3E9B-4687-BEC2-DD9F871CEEDC}">
      <dgm:prSet/>
      <dgm:spPr/>
      <dgm:t>
        <a:bodyPr/>
        <a:lstStyle/>
        <a:p>
          <a:endParaRPr lang="en-US"/>
        </a:p>
      </dgm:t>
    </dgm:pt>
    <dgm:pt modelId="{913A556A-4C48-4F33-805E-738728F976FC}" type="pres">
      <dgm:prSet presAssocID="{DE836396-ABD2-40EF-91B7-457AA59F6E02}" presName="diagram" presStyleCnt="0">
        <dgm:presLayoutVars>
          <dgm:chPref val="1"/>
          <dgm:dir/>
          <dgm:animOne val="branch"/>
          <dgm:animLvl val="lvl"/>
          <dgm:resizeHandles val="exact"/>
        </dgm:presLayoutVars>
      </dgm:prSet>
      <dgm:spPr/>
    </dgm:pt>
    <dgm:pt modelId="{CA7BC198-DE90-4380-9E93-B38C5BC7BB9B}" type="pres">
      <dgm:prSet presAssocID="{6C1A2908-8AFD-4BA0-88B8-DD58FEC62067}" presName="root1" presStyleCnt="0"/>
      <dgm:spPr/>
    </dgm:pt>
    <dgm:pt modelId="{07A64DF8-06BC-4251-ACFC-68280BB7808B}" type="pres">
      <dgm:prSet presAssocID="{6C1A2908-8AFD-4BA0-88B8-DD58FEC62067}" presName="LevelOneTextNode" presStyleLbl="node0" presStyleIdx="0" presStyleCnt="1">
        <dgm:presLayoutVars>
          <dgm:chPref val="3"/>
        </dgm:presLayoutVars>
      </dgm:prSet>
      <dgm:spPr/>
    </dgm:pt>
    <dgm:pt modelId="{B2EEF2D2-3261-4FB7-9DC1-201F13197302}" type="pres">
      <dgm:prSet presAssocID="{6C1A2908-8AFD-4BA0-88B8-DD58FEC62067}" presName="level2hierChild" presStyleCnt="0"/>
      <dgm:spPr/>
    </dgm:pt>
    <dgm:pt modelId="{7FD7724F-6B3B-492C-AC2E-033366F7B0B9}" type="pres">
      <dgm:prSet presAssocID="{698A47EE-7984-4564-B9BA-BF2BFA9494C6}" presName="conn2-1" presStyleLbl="parChTrans1D2" presStyleIdx="0" presStyleCnt="2"/>
      <dgm:spPr/>
    </dgm:pt>
    <dgm:pt modelId="{A3EB3B19-4D6C-4E8E-AD45-4934B7CBFEE1}" type="pres">
      <dgm:prSet presAssocID="{698A47EE-7984-4564-B9BA-BF2BFA9494C6}" presName="connTx" presStyleLbl="parChTrans1D2" presStyleIdx="0" presStyleCnt="2"/>
      <dgm:spPr/>
    </dgm:pt>
    <dgm:pt modelId="{BBCAA194-6BCF-4A7D-BF0C-D194E81C5B71}" type="pres">
      <dgm:prSet presAssocID="{E1661932-FDD5-4828-8943-164DB088F115}" presName="root2" presStyleCnt="0"/>
      <dgm:spPr/>
    </dgm:pt>
    <dgm:pt modelId="{64DF96A0-EFE2-452B-89DA-3968A768D324}" type="pres">
      <dgm:prSet presAssocID="{E1661932-FDD5-4828-8943-164DB088F115}" presName="LevelTwoTextNode" presStyleLbl="node2" presStyleIdx="0" presStyleCnt="2">
        <dgm:presLayoutVars>
          <dgm:chPref val="3"/>
        </dgm:presLayoutVars>
      </dgm:prSet>
      <dgm:spPr/>
    </dgm:pt>
    <dgm:pt modelId="{42C0E349-1F2B-45AD-A30F-6DA5CD4102FE}" type="pres">
      <dgm:prSet presAssocID="{E1661932-FDD5-4828-8943-164DB088F115}" presName="level3hierChild" presStyleCnt="0"/>
      <dgm:spPr/>
    </dgm:pt>
    <dgm:pt modelId="{8DEF274A-181A-4D15-9135-154CA153CE3B}" type="pres">
      <dgm:prSet presAssocID="{1BB61F30-3BF0-4093-817F-FF78879FFD69}" presName="conn2-1" presStyleLbl="parChTrans1D3" presStyleIdx="0" presStyleCnt="4"/>
      <dgm:spPr/>
    </dgm:pt>
    <dgm:pt modelId="{79A111E9-62A8-4132-BCC5-D7376ADCF62F}" type="pres">
      <dgm:prSet presAssocID="{1BB61F30-3BF0-4093-817F-FF78879FFD69}" presName="connTx" presStyleLbl="parChTrans1D3" presStyleIdx="0" presStyleCnt="4"/>
      <dgm:spPr/>
    </dgm:pt>
    <dgm:pt modelId="{CE8EC25B-8778-428E-AA4E-EECB0E15408F}" type="pres">
      <dgm:prSet presAssocID="{E140171A-7A73-4D7C-BCCC-08F78C7A3106}" presName="root2" presStyleCnt="0"/>
      <dgm:spPr/>
    </dgm:pt>
    <dgm:pt modelId="{F0C0ECE9-77AD-4716-ADD8-CFE518082DB4}" type="pres">
      <dgm:prSet presAssocID="{E140171A-7A73-4D7C-BCCC-08F78C7A3106}" presName="LevelTwoTextNode" presStyleLbl="node3" presStyleIdx="0" presStyleCnt="4">
        <dgm:presLayoutVars>
          <dgm:chPref val="3"/>
        </dgm:presLayoutVars>
      </dgm:prSet>
      <dgm:spPr/>
    </dgm:pt>
    <dgm:pt modelId="{A54613A4-D7CE-4384-A461-0C54E8BC935D}" type="pres">
      <dgm:prSet presAssocID="{E140171A-7A73-4D7C-BCCC-08F78C7A3106}" presName="level3hierChild" presStyleCnt="0"/>
      <dgm:spPr/>
    </dgm:pt>
    <dgm:pt modelId="{0AB28617-4437-4BC5-BE6C-EB5DD81C22FF}" type="pres">
      <dgm:prSet presAssocID="{D3FC6FF9-FE1A-44E5-A371-924821624FDC}" presName="conn2-1" presStyleLbl="parChTrans1D3" presStyleIdx="1" presStyleCnt="4"/>
      <dgm:spPr/>
    </dgm:pt>
    <dgm:pt modelId="{6A1603B9-A870-49F9-8716-81F145BA3908}" type="pres">
      <dgm:prSet presAssocID="{D3FC6FF9-FE1A-44E5-A371-924821624FDC}" presName="connTx" presStyleLbl="parChTrans1D3" presStyleIdx="1" presStyleCnt="4"/>
      <dgm:spPr/>
    </dgm:pt>
    <dgm:pt modelId="{FC651C07-2EB7-4B0C-901D-4AAF35E42266}" type="pres">
      <dgm:prSet presAssocID="{1CA3B01E-9A67-47E1-8CB5-424F8B834AB3}" presName="root2" presStyleCnt="0"/>
      <dgm:spPr/>
    </dgm:pt>
    <dgm:pt modelId="{A20B859D-A640-404A-AB04-3841F7028FB6}" type="pres">
      <dgm:prSet presAssocID="{1CA3B01E-9A67-47E1-8CB5-424F8B834AB3}" presName="LevelTwoTextNode" presStyleLbl="node3" presStyleIdx="1" presStyleCnt="4">
        <dgm:presLayoutVars>
          <dgm:chPref val="3"/>
        </dgm:presLayoutVars>
      </dgm:prSet>
      <dgm:spPr/>
    </dgm:pt>
    <dgm:pt modelId="{580FD750-1713-4862-8B8D-3A8BB70BA5F3}" type="pres">
      <dgm:prSet presAssocID="{1CA3B01E-9A67-47E1-8CB5-424F8B834AB3}" presName="level3hierChild" presStyleCnt="0"/>
      <dgm:spPr/>
    </dgm:pt>
    <dgm:pt modelId="{7D7A68DC-8595-4245-BD07-8A7F8422C254}" type="pres">
      <dgm:prSet presAssocID="{42AAC9B8-CB2B-4C84-B7C1-E6AA71F3E758}" presName="conn2-1" presStyleLbl="parChTrans1D2" presStyleIdx="1" presStyleCnt="2"/>
      <dgm:spPr/>
    </dgm:pt>
    <dgm:pt modelId="{3E3CE06F-F71D-4F55-B6C7-86ADC7EB80A6}" type="pres">
      <dgm:prSet presAssocID="{42AAC9B8-CB2B-4C84-B7C1-E6AA71F3E758}" presName="connTx" presStyleLbl="parChTrans1D2" presStyleIdx="1" presStyleCnt="2"/>
      <dgm:spPr/>
    </dgm:pt>
    <dgm:pt modelId="{9249F9B6-8037-4A92-8119-034818B6E15D}" type="pres">
      <dgm:prSet presAssocID="{C3AE9835-9618-49C7-B4E6-A82D4DB52756}" presName="root2" presStyleCnt="0"/>
      <dgm:spPr/>
    </dgm:pt>
    <dgm:pt modelId="{11467418-19B9-487A-8FBD-F0C1AAD8BC88}" type="pres">
      <dgm:prSet presAssocID="{C3AE9835-9618-49C7-B4E6-A82D4DB52756}" presName="LevelTwoTextNode" presStyleLbl="node2" presStyleIdx="1" presStyleCnt="2">
        <dgm:presLayoutVars>
          <dgm:chPref val="3"/>
        </dgm:presLayoutVars>
      </dgm:prSet>
      <dgm:spPr/>
    </dgm:pt>
    <dgm:pt modelId="{4980C568-D310-46B8-978F-9A55B3F0DB34}" type="pres">
      <dgm:prSet presAssocID="{C3AE9835-9618-49C7-B4E6-A82D4DB52756}" presName="level3hierChild" presStyleCnt="0"/>
      <dgm:spPr/>
    </dgm:pt>
    <dgm:pt modelId="{734688C8-A846-41C0-8681-B9D9C10A7336}" type="pres">
      <dgm:prSet presAssocID="{E44CA70B-FDD9-4019-A5A4-1121D85501D3}" presName="conn2-1" presStyleLbl="parChTrans1D3" presStyleIdx="2" presStyleCnt="4"/>
      <dgm:spPr/>
    </dgm:pt>
    <dgm:pt modelId="{28102F79-CDB3-41EA-9F60-6B934E282045}" type="pres">
      <dgm:prSet presAssocID="{E44CA70B-FDD9-4019-A5A4-1121D85501D3}" presName="connTx" presStyleLbl="parChTrans1D3" presStyleIdx="2" presStyleCnt="4"/>
      <dgm:spPr/>
    </dgm:pt>
    <dgm:pt modelId="{F41A351C-E177-4111-A0D9-B977308EE7A2}" type="pres">
      <dgm:prSet presAssocID="{52CB597E-09BC-4529-97D7-9060E7506842}" presName="root2" presStyleCnt="0"/>
      <dgm:spPr/>
    </dgm:pt>
    <dgm:pt modelId="{3C50508F-D004-4050-B1E7-13901746F970}" type="pres">
      <dgm:prSet presAssocID="{52CB597E-09BC-4529-97D7-9060E7506842}" presName="LevelTwoTextNode" presStyleLbl="node3" presStyleIdx="2" presStyleCnt="4">
        <dgm:presLayoutVars>
          <dgm:chPref val="3"/>
        </dgm:presLayoutVars>
      </dgm:prSet>
      <dgm:spPr/>
    </dgm:pt>
    <dgm:pt modelId="{F04CB501-1D55-444E-A798-CAD86FD32476}" type="pres">
      <dgm:prSet presAssocID="{52CB597E-09BC-4529-97D7-9060E7506842}" presName="level3hierChild" presStyleCnt="0"/>
      <dgm:spPr/>
    </dgm:pt>
    <dgm:pt modelId="{F46F11BE-CBBD-4872-A0BC-A6C6010EA3C8}" type="pres">
      <dgm:prSet presAssocID="{79B32263-368C-4CB6-BF1F-7CD261A95069}" presName="conn2-1" presStyleLbl="parChTrans1D3" presStyleIdx="3" presStyleCnt="4"/>
      <dgm:spPr/>
    </dgm:pt>
    <dgm:pt modelId="{FEE85584-897C-44D4-AB5C-2B32CED5BED1}" type="pres">
      <dgm:prSet presAssocID="{79B32263-368C-4CB6-BF1F-7CD261A95069}" presName="connTx" presStyleLbl="parChTrans1D3" presStyleIdx="3" presStyleCnt="4"/>
      <dgm:spPr/>
    </dgm:pt>
    <dgm:pt modelId="{2AA48266-41C7-4903-9669-67C943B2170F}" type="pres">
      <dgm:prSet presAssocID="{931CC922-76D0-4E6D-9FEA-6F4C10EA1196}" presName="root2" presStyleCnt="0"/>
      <dgm:spPr/>
    </dgm:pt>
    <dgm:pt modelId="{07E4835C-3EF1-4791-8E94-FFAF4280F2A5}" type="pres">
      <dgm:prSet presAssocID="{931CC922-76D0-4E6D-9FEA-6F4C10EA1196}" presName="LevelTwoTextNode" presStyleLbl="node3" presStyleIdx="3" presStyleCnt="4">
        <dgm:presLayoutVars>
          <dgm:chPref val="3"/>
        </dgm:presLayoutVars>
      </dgm:prSet>
      <dgm:spPr/>
    </dgm:pt>
    <dgm:pt modelId="{D478E0DB-6D7D-4D5D-81E0-22CD306472E1}" type="pres">
      <dgm:prSet presAssocID="{931CC922-76D0-4E6D-9FEA-6F4C10EA1196}" presName="level3hierChild" presStyleCnt="0"/>
      <dgm:spPr/>
    </dgm:pt>
  </dgm:ptLst>
  <dgm:cxnLst>
    <dgm:cxn modelId="{3CD2C903-8D35-4DE8-AE27-10DFCBB2D97B}" srcId="{E1661932-FDD5-4828-8943-164DB088F115}" destId="{E140171A-7A73-4D7C-BCCC-08F78C7A3106}" srcOrd="0" destOrd="0" parTransId="{1BB61F30-3BF0-4093-817F-FF78879FFD69}" sibTransId="{75CE9171-E5C5-4ADE-A909-A5937A8892D0}"/>
    <dgm:cxn modelId="{8568D80E-6BA5-414E-BC78-58FCED28F37A}" type="presOf" srcId="{79B32263-368C-4CB6-BF1F-7CD261A95069}" destId="{FEE85584-897C-44D4-AB5C-2B32CED5BED1}" srcOrd="1" destOrd="0" presId="urn:microsoft.com/office/officeart/2005/8/layout/hierarchy2"/>
    <dgm:cxn modelId="{3F1DC210-E1FE-4237-95FD-EA78FA9B3FBA}" type="presOf" srcId="{79B32263-368C-4CB6-BF1F-7CD261A95069}" destId="{F46F11BE-CBBD-4872-A0BC-A6C6010EA3C8}" srcOrd="0" destOrd="0" presId="urn:microsoft.com/office/officeart/2005/8/layout/hierarchy2"/>
    <dgm:cxn modelId="{B96AE134-0435-4FB9-888E-79530ECDA560}" type="presOf" srcId="{6C1A2908-8AFD-4BA0-88B8-DD58FEC62067}" destId="{07A64DF8-06BC-4251-ACFC-68280BB7808B}" srcOrd="0" destOrd="0" presId="urn:microsoft.com/office/officeart/2005/8/layout/hierarchy2"/>
    <dgm:cxn modelId="{94C11D35-ACF3-48D6-86A2-BD24929952A1}" srcId="{DE836396-ABD2-40EF-91B7-457AA59F6E02}" destId="{6C1A2908-8AFD-4BA0-88B8-DD58FEC62067}" srcOrd="0" destOrd="0" parTransId="{640ACBBC-6A33-40AF-8307-C6D39FAC0C7A}" sibTransId="{CF615434-7FBD-4711-A0B1-8EBE22EDB5DA}"/>
    <dgm:cxn modelId="{02D2F53D-D179-4150-B02D-2CE4AA76799E}" srcId="{6C1A2908-8AFD-4BA0-88B8-DD58FEC62067}" destId="{C3AE9835-9618-49C7-B4E6-A82D4DB52756}" srcOrd="1" destOrd="0" parTransId="{42AAC9B8-CB2B-4C84-B7C1-E6AA71F3E758}" sibTransId="{EC492B4F-5999-413B-9D30-D337A61A1BD8}"/>
    <dgm:cxn modelId="{D769073E-EFF5-4D59-A4F4-5FEE5A4D36A1}" type="presOf" srcId="{698A47EE-7984-4564-B9BA-BF2BFA9494C6}" destId="{7FD7724F-6B3B-492C-AC2E-033366F7B0B9}" srcOrd="0" destOrd="0" presId="urn:microsoft.com/office/officeart/2005/8/layout/hierarchy2"/>
    <dgm:cxn modelId="{F6CA7F3E-9BE1-45D2-A0FD-B53787F08881}" type="presOf" srcId="{E140171A-7A73-4D7C-BCCC-08F78C7A3106}" destId="{F0C0ECE9-77AD-4716-ADD8-CFE518082DB4}" srcOrd="0" destOrd="0" presId="urn:microsoft.com/office/officeart/2005/8/layout/hierarchy2"/>
    <dgm:cxn modelId="{42641E40-AACC-480B-9123-32ABD4A23B4A}" type="presOf" srcId="{931CC922-76D0-4E6D-9FEA-6F4C10EA1196}" destId="{07E4835C-3EF1-4791-8E94-FFAF4280F2A5}" srcOrd="0" destOrd="0" presId="urn:microsoft.com/office/officeart/2005/8/layout/hierarchy2"/>
    <dgm:cxn modelId="{EF319F42-FC4B-4EC9-8ADE-BEFEC233468A}" type="presOf" srcId="{1BB61F30-3BF0-4093-817F-FF78879FFD69}" destId="{8DEF274A-181A-4D15-9135-154CA153CE3B}" srcOrd="0" destOrd="0" presId="urn:microsoft.com/office/officeart/2005/8/layout/hierarchy2"/>
    <dgm:cxn modelId="{8A73BA66-AA24-4E3C-95DC-2D37E52E40DE}" type="presOf" srcId="{C3AE9835-9618-49C7-B4E6-A82D4DB52756}" destId="{11467418-19B9-487A-8FBD-F0C1AAD8BC88}" srcOrd="0" destOrd="0" presId="urn:microsoft.com/office/officeart/2005/8/layout/hierarchy2"/>
    <dgm:cxn modelId="{6446A74C-4EB2-4741-8628-2336B98015DA}" type="presOf" srcId="{E44CA70B-FDD9-4019-A5A4-1121D85501D3}" destId="{28102F79-CDB3-41EA-9F60-6B934E282045}" srcOrd="1" destOrd="0" presId="urn:microsoft.com/office/officeart/2005/8/layout/hierarchy2"/>
    <dgm:cxn modelId="{2430364D-09BE-4FD6-9AFC-25A85C4F7484}" type="presOf" srcId="{42AAC9B8-CB2B-4C84-B7C1-E6AA71F3E758}" destId="{7D7A68DC-8595-4245-BD07-8A7F8422C254}" srcOrd="0" destOrd="0" presId="urn:microsoft.com/office/officeart/2005/8/layout/hierarchy2"/>
    <dgm:cxn modelId="{63B9C773-3E9B-4687-BEC2-DD9F871CEEDC}" srcId="{C3AE9835-9618-49C7-B4E6-A82D4DB52756}" destId="{931CC922-76D0-4E6D-9FEA-6F4C10EA1196}" srcOrd="1" destOrd="0" parTransId="{79B32263-368C-4CB6-BF1F-7CD261A95069}" sibTransId="{31C564A4-DC37-4F2F-BF89-70E055980330}"/>
    <dgm:cxn modelId="{08C3578F-F9CA-4512-BABD-65E7E0753921}" type="presOf" srcId="{D3FC6FF9-FE1A-44E5-A371-924821624FDC}" destId="{6A1603B9-A870-49F9-8716-81F145BA3908}" srcOrd="1" destOrd="0" presId="urn:microsoft.com/office/officeart/2005/8/layout/hierarchy2"/>
    <dgm:cxn modelId="{E2FD5F91-B153-4702-9300-432557180761}" srcId="{E1661932-FDD5-4828-8943-164DB088F115}" destId="{1CA3B01E-9A67-47E1-8CB5-424F8B834AB3}" srcOrd="1" destOrd="0" parTransId="{D3FC6FF9-FE1A-44E5-A371-924821624FDC}" sibTransId="{0F8DF668-97AC-4487-845E-10879EAF640D}"/>
    <dgm:cxn modelId="{938D6D9B-3A96-4CE1-A502-C57CE1157903}" type="presOf" srcId="{1BB61F30-3BF0-4093-817F-FF78879FFD69}" destId="{79A111E9-62A8-4132-BCC5-D7376ADCF62F}" srcOrd="1" destOrd="0" presId="urn:microsoft.com/office/officeart/2005/8/layout/hierarchy2"/>
    <dgm:cxn modelId="{B6E834A5-10F5-4939-8664-91F61562C41B}" type="presOf" srcId="{52CB597E-09BC-4529-97D7-9060E7506842}" destId="{3C50508F-D004-4050-B1E7-13901746F970}" srcOrd="0" destOrd="0" presId="urn:microsoft.com/office/officeart/2005/8/layout/hierarchy2"/>
    <dgm:cxn modelId="{D6C613B4-E48E-4E19-83FA-6D6DCFAD23A1}" srcId="{C3AE9835-9618-49C7-B4E6-A82D4DB52756}" destId="{52CB597E-09BC-4529-97D7-9060E7506842}" srcOrd="0" destOrd="0" parTransId="{E44CA70B-FDD9-4019-A5A4-1121D85501D3}" sibTransId="{CC59F14E-DAC0-4D93-BE09-9391F3ED3D6A}"/>
    <dgm:cxn modelId="{962FE6BD-DA52-4AFB-81A9-F9A1E8BF1AE4}" type="presOf" srcId="{D3FC6FF9-FE1A-44E5-A371-924821624FDC}" destId="{0AB28617-4437-4BC5-BE6C-EB5DD81C22FF}" srcOrd="0" destOrd="0" presId="urn:microsoft.com/office/officeart/2005/8/layout/hierarchy2"/>
    <dgm:cxn modelId="{EC8E33BE-1CD3-482D-ACB0-B5CE6B212FCC}" type="presOf" srcId="{E1661932-FDD5-4828-8943-164DB088F115}" destId="{64DF96A0-EFE2-452B-89DA-3968A768D324}" srcOrd="0" destOrd="0" presId="urn:microsoft.com/office/officeart/2005/8/layout/hierarchy2"/>
    <dgm:cxn modelId="{FBD4ADC6-9629-4619-A6D4-43988127DCA6}" type="presOf" srcId="{1CA3B01E-9A67-47E1-8CB5-424F8B834AB3}" destId="{A20B859D-A640-404A-AB04-3841F7028FB6}" srcOrd="0" destOrd="0" presId="urn:microsoft.com/office/officeart/2005/8/layout/hierarchy2"/>
    <dgm:cxn modelId="{FE7847CB-65B2-4506-9445-3C68ADB71CCA}" type="presOf" srcId="{42AAC9B8-CB2B-4C84-B7C1-E6AA71F3E758}" destId="{3E3CE06F-F71D-4F55-B6C7-86ADC7EB80A6}" srcOrd="1" destOrd="0" presId="urn:microsoft.com/office/officeart/2005/8/layout/hierarchy2"/>
    <dgm:cxn modelId="{28416CCC-A63D-4E5E-8F27-9581ED63EDC7}" srcId="{6C1A2908-8AFD-4BA0-88B8-DD58FEC62067}" destId="{E1661932-FDD5-4828-8943-164DB088F115}" srcOrd="0" destOrd="0" parTransId="{698A47EE-7984-4564-B9BA-BF2BFA9494C6}" sibTransId="{C9EC7DB9-604A-440A-8151-BED566445D7B}"/>
    <dgm:cxn modelId="{5A4A06D6-3A45-4920-B0E3-C60AA9B9A251}" type="presOf" srcId="{E44CA70B-FDD9-4019-A5A4-1121D85501D3}" destId="{734688C8-A846-41C0-8681-B9D9C10A7336}" srcOrd="0" destOrd="0" presId="urn:microsoft.com/office/officeart/2005/8/layout/hierarchy2"/>
    <dgm:cxn modelId="{824693F5-EA21-4C78-8D96-086FB8BDD259}" type="presOf" srcId="{DE836396-ABD2-40EF-91B7-457AA59F6E02}" destId="{913A556A-4C48-4F33-805E-738728F976FC}" srcOrd="0" destOrd="0" presId="urn:microsoft.com/office/officeart/2005/8/layout/hierarchy2"/>
    <dgm:cxn modelId="{2FAA34F9-51E3-4A79-B23F-BC8557A81560}" type="presOf" srcId="{698A47EE-7984-4564-B9BA-BF2BFA9494C6}" destId="{A3EB3B19-4D6C-4E8E-AD45-4934B7CBFEE1}" srcOrd="1" destOrd="0" presId="urn:microsoft.com/office/officeart/2005/8/layout/hierarchy2"/>
    <dgm:cxn modelId="{3ACDB222-AA86-4C90-AB5E-F3F7A065E656}" type="presParOf" srcId="{913A556A-4C48-4F33-805E-738728F976FC}" destId="{CA7BC198-DE90-4380-9E93-B38C5BC7BB9B}" srcOrd="0" destOrd="0" presId="urn:microsoft.com/office/officeart/2005/8/layout/hierarchy2"/>
    <dgm:cxn modelId="{085E5669-9950-44C8-A1FC-77930E949144}" type="presParOf" srcId="{CA7BC198-DE90-4380-9E93-B38C5BC7BB9B}" destId="{07A64DF8-06BC-4251-ACFC-68280BB7808B}" srcOrd="0" destOrd="0" presId="urn:microsoft.com/office/officeart/2005/8/layout/hierarchy2"/>
    <dgm:cxn modelId="{912F58CD-36EB-45CF-8259-32EBE5F69A72}" type="presParOf" srcId="{CA7BC198-DE90-4380-9E93-B38C5BC7BB9B}" destId="{B2EEF2D2-3261-4FB7-9DC1-201F13197302}" srcOrd="1" destOrd="0" presId="urn:microsoft.com/office/officeart/2005/8/layout/hierarchy2"/>
    <dgm:cxn modelId="{15919896-15C3-4886-9031-25BD843C06FF}" type="presParOf" srcId="{B2EEF2D2-3261-4FB7-9DC1-201F13197302}" destId="{7FD7724F-6B3B-492C-AC2E-033366F7B0B9}" srcOrd="0" destOrd="0" presId="urn:microsoft.com/office/officeart/2005/8/layout/hierarchy2"/>
    <dgm:cxn modelId="{6EE97CD2-35F8-41F2-8DD3-8219CFAC12DA}" type="presParOf" srcId="{7FD7724F-6B3B-492C-AC2E-033366F7B0B9}" destId="{A3EB3B19-4D6C-4E8E-AD45-4934B7CBFEE1}" srcOrd="0" destOrd="0" presId="urn:microsoft.com/office/officeart/2005/8/layout/hierarchy2"/>
    <dgm:cxn modelId="{F171E6A9-6F40-431E-914F-30A7ED033E3D}" type="presParOf" srcId="{B2EEF2D2-3261-4FB7-9DC1-201F13197302}" destId="{BBCAA194-6BCF-4A7D-BF0C-D194E81C5B71}" srcOrd="1" destOrd="0" presId="urn:microsoft.com/office/officeart/2005/8/layout/hierarchy2"/>
    <dgm:cxn modelId="{2BB77C05-BB34-49EA-82FE-D9EA9B5FCC1D}" type="presParOf" srcId="{BBCAA194-6BCF-4A7D-BF0C-D194E81C5B71}" destId="{64DF96A0-EFE2-452B-89DA-3968A768D324}" srcOrd="0" destOrd="0" presId="urn:microsoft.com/office/officeart/2005/8/layout/hierarchy2"/>
    <dgm:cxn modelId="{D7C25AE1-59F9-4273-B345-717AB3A380B0}" type="presParOf" srcId="{BBCAA194-6BCF-4A7D-BF0C-D194E81C5B71}" destId="{42C0E349-1F2B-45AD-A30F-6DA5CD4102FE}" srcOrd="1" destOrd="0" presId="urn:microsoft.com/office/officeart/2005/8/layout/hierarchy2"/>
    <dgm:cxn modelId="{C2BFEA56-A18C-4A79-B12E-266387052F85}" type="presParOf" srcId="{42C0E349-1F2B-45AD-A30F-6DA5CD4102FE}" destId="{8DEF274A-181A-4D15-9135-154CA153CE3B}" srcOrd="0" destOrd="0" presId="urn:microsoft.com/office/officeart/2005/8/layout/hierarchy2"/>
    <dgm:cxn modelId="{B508D475-EC4C-4682-A2B7-D1A229480607}" type="presParOf" srcId="{8DEF274A-181A-4D15-9135-154CA153CE3B}" destId="{79A111E9-62A8-4132-BCC5-D7376ADCF62F}" srcOrd="0" destOrd="0" presId="urn:microsoft.com/office/officeart/2005/8/layout/hierarchy2"/>
    <dgm:cxn modelId="{B91516AD-2FAB-4F9D-8A30-F3998930E664}" type="presParOf" srcId="{42C0E349-1F2B-45AD-A30F-6DA5CD4102FE}" destId="{CE8EC25B-8778-428E-AA4E-EECB0E15408F}" srcOrd="1" destOrd="0" presId="urn:microsoft.com/office/officeart/2005/8/layout/hierarchy2"/>
    <dgm:cxn modelId="{A7CFE226-2E08-4CD1-9624-2495D6682777}" type="presParOf" srcId="{CE8EC25B-8778-428E-AA4E-EECB0E15408F}" destId="{F0C0ECE9-77AD-4716-ADD8-CFE518082DB4}" srcOrd="0" destOrd="0" presId="urn:microsoft.com/office/officeart/2005/8/layout/hierarchy2"/>
    <dgm:cxn modelId="{CAB6DA13-BB3B-4410-8B72-9A06C28AEC4C}" type="presParOf" srcId="{CE8EC25B-8778-428E-AA4E-EECB0E15408F}" destId="{A54613A4-D7CE-4384-A461-0C54E8BC935D}" srcOrd="1" destOrd="0" presId="urn:microsoft.com/office/officeart/2005/8/layout/hierarchy2"/>
    <dgm:cxn modelId="{245CEC63-6826-43D2-9D22-FCE8312D6B14}" type="presParOf" srcId="{42C0E349-1F2B-45AD-A30F-6DA5CD4102FE}" destId="{0AB28617-4437-4BC5-BE6C-EB5DD81C22FF}" srcOrd="2" destOrd="0" presId="urn:microsoft.com/office/officeart/2005/8/layout/hierarchy2"/>
    <dgm:cxn modelId="{43796385-A195-41C5-84C7-E2DFE2C7F3E0}" type="presParOf" srcId="{0AB28617-4437-4BC5-BE6C-EB5DD81C22FF}" destId="{6A1603B9-A870-49F9-8716-81F145BA3908}" srcOrd="0" destOrd="0" presId="urn:microsoft.com/office/officeart/2005/8/layout/hierarchy2"/>
    <dgm:cxn modelId="{AA3BF69D-B8A7-48F1-B484-D3B8E2CAB20A}" type="presParOf" srcId="{42C0E349-1F2B-45AD-A30F-6DA5CD4102FE}" destId="{FC651C07-2EB7-4B0C-901D-4AAF35E42266}" srcOrd="3" destOrd="0" presId="urn:microsoft.com/office/officeart/2005/8/layout/hierarchy2"/>
    <dgm:cxn modelId="{F8CD983C-147D-47CC-AAB6-17BB3ACA64A4}" type="presParOf" srcId="{FC651C07-2EB7-4B0C-901D-4AAF35E42266}" destId="{A20B859D-A640-404A-AB04-3841F7028FB6}" srcOrd="0" destOrd="0" presId="urn:microsoft.com/office/officeart/2005/8/layout/hierarchy2"/>
    <dgm:cxn modelId="{38518A66-FB55-4BF1-8A8A-EBCBA31D71B4}" type="presParOf" srcId="{FC651C07-2EB7-4B0C-901D-4AAF35E42266}" destId="{580FD750-1713-4862-8B8D-3A8BB70BA5F3}" srcOrd="1" destOrd="0" presId="urn:microsoft.com/office/officeart/2005/8/layout/hierarchy2"/>
    <dgm:cxn modelId="{534540CB-7CCF-4526-94D7-BDF6C9B55136}" type="presParOf" srcId="{B2EEF2D2-3261-4FB7-9DC1-201F13197302}" destId="{7D7A68DC-8595-4245-BD07-8A7F8422C254}" srcOrd="2" destOrd="0" presId="urn:microsoft.com/office/officeart/2005/8/layout/hierarchy2"/>
    <dgm:cxn modelId="{B42E9BDE-3159-47A0-9445-3E55047258E7}" type="presParOf" srcId="{7D7A68DC-8595-4245-BD07-8A7F8422C254}" destId="{3E3CE06F-F71D-4F55-B6C7-86ADC7EB80A6}" srcOrd="0" destOrd="0" presId="urn:microsoft.com/office/officeart/2005/8/layout/hierarchy2"/>
    <dgm:cxn modelId="{0C1AB8B5-801A-40F3-8583-0012B717E450}" type="presParOf" srcId="{B2EEF2D2-3261-4FB7-9DC1-201F13197302}" destId="{9249F9B6-8037-4A92-8119-034818B6E15D}" srcOrd="3" destOrd="0" presId="urn:microsoft.com/office/officeart/2005/8/layout/hierarchy2"/>
    <dgm:cxn modelId="{9D64E6B6-9E15-4B2E-97D1-5163A2B82F22}" type="presParOf" srcId="{9249F9B6-8037-4A92-8119-034818B6E15D}" destId="{11467418-19B9-487A-8FBD-F0C1AAD8BC88}" srcOrd="0" destOrd="0" presId="urn:microsoft.com/office/officeart/2005/8/layout/hierarchy2"/>
    <dgm:cxn modelId="{54D662C3-81FB-44AD-ACA0-5F1CD33A4E49}" type="presParOf" srcId="{9249F9B6-8037-4A92-8119-034818B6E15D}" destId="{4980C568-D310-46B8-978F-9A55B3F0DB34}" srcOrd="1" destOrd="0" presId="urn:microsoft.com/office/officeart/2005/8/layout/hierarchy2"/>
    <dgm:cxn modelId="{7E8CFCFB-2483-46D7-AF18-1F28624AE1E1}" type="presParOf" srcId="{4980C568-D310-46B8-978F-9A55B3F0DB34}" destId="{734688C8-A846-41C0-8681-B9D9C10A7336}" srcOrd="0" destOrd="0" presId="urn:microsoft.com/office/officeart/2005/8/layout/hierarchy2"/>
    <dgm:cxn modelId="{1E14B0C4-E733-492D-99E0-21E0988796D0}" type="presParOf" srcId="{734688C8-A846-41C0-8681-B9D9C10A7336}" destId="{28102F79-CDB3-41EA-9F60-6B934E282045}" srcOrd="0" destOrd="0" presId="urn:microsoft.com/office/officeart/2005/8/layout/hierarchy2"/>
    <dgm:cxn modelId="{FD33F8B5-A93E-43C0-B99E-6963DB8BAD0F}" type="presParOf" srcId="{4980C568-D310-46B8-978F-9A55B3F0DB34}" destId="{F41A351C-E177-4111-A0D9-B977308EE7A2}" srcOrd="1" destOrd="0" presId="urn:microsoft.com/office/officeart/2005/8/layout/hierarchy2"/>
    <dgm:cxn modelId="{D931561D-5AE8-45E4-980C-B7B463BA4674}" type="presParOf" srcId="{F41A351C-E177-4111-A0D9-B977308EE7A2}" destId="{3C50508F-D004-4050-B1E7-13901746F970}" srcOrd="0" destOrd="0" presId="urn:microsoft.com/office/officeart/2005/8/layout/hierarchy2"/>
    <dgm:cxn modelId="{1FB3B948-649A-4648-A58E-BB3C9E307A27}" type="presParOf" srcId="{F41A351C-E177-4111-A0D9-B977308EE7A2}" destId="{F04CB501-1D55-444E-A798-CAD86FD32476}" srcOrd="1" destOrd="0" presId="urn:microsoft.com/office/officeart/2005/8/layout/hierarchy2"/>
    <dgm:cxn modelId="{08280B9B-07D6-48CD-994B-9DFC19B13ED7}" type="presParOf" srcId="{4980C568-D310-46B8-978F-9A55B3F0DB34}" destId="{F46F11BE-CBBD-4872-A0BC-A6C6010EA3C8}" srcOrd="2" destOrd="0" presId="urn:microsoft.com/office/officeart/2005/8/layout/hierarchy2"/>
    <dgm:cxn modelId="{E2BB9F80-A866-41A5-871A-D936351A0E75}" type="presParOf" srcId="{F46F11BE-CBBD-4872-A0BC-A6C6010EA3C8}" destId="{FEE85584-897C-44D4-AB5C-2B32CED5BED1}" srcOrd="0" destOrd="0" presId="urn:microsoft.com/office/officeart/2005/8/layout/hierarchy2"/>
    <dgm:cxn modelId="{092FA25E-30E2-4477-8F5A-E46E13EB93BB}" type="presParOf" srcId="{4980C568-D310-46B8-978F-9A55B3F0DB34}" destId="{2AA48266-41C7-4903-9669-67C943B2170F}" srcOrd="3" destOrd="0" presId="urn:microsoft.com/office/officeart/2005/8/layout/hierarchy2"/>
    <dgm:cxn modelId="{A0C04A33-4E29-4B5C-8F4F-94AC2A18887D}" type="presParOf" srcId="{2AA48266-41C7-4903-9669-67C943B2170F}" destId="{07E4835C-3EF1-4791-8E94-FFAF4280F2A5}" srcOrd="0" destOrd="0" presId="urn:microsoft.com/office/officeart/2005/8/layout/hierarchy2"/>
    <dgm:cxn modelId="{EE50BE06-2B16-446C-A283-126A8641CD74}" type="presParOf" srcId="{2AA48266-41C7-4903-9669-67C943B2170F}" destId="{D478E0DB-6D7D-4D5D-81E0-22CD306472E1}" srcOrd="1" destOrd="0" presId="urn:microsoft.com/office/officeart/2005/8/layout/hierarchy2"/>
  </dgm:cxnLst>
  <dgm:bg/>
  <dgm:whole/>
  <dgm:extLst>
    <a:ext uri="http://schemas.microsoft.com/office/drawing/2008/diagram">
      <dsp:dataModelExt xmlns:dsp="http://schemas.microsoft.com/office/drawing/2008/diagram" relId="rId193"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DA24B79-1C6C-431A-9019-800DA5169BFE}" type="doc">
      <dgm:prSet loTypeId="urn:microsoft.com/office/officeart/2005/8/layout/hierarchy2" loCatId="hierarchy" qsTypeId="urn:microsoft.com/office/officeart/2005/8/quickstyle/simple1" qsCatId="simple" csTypeId="urn:microsoft.com/office/officeart/2005/8/colors/colorful2" csCatId="colorful" phldr="1"/>
      <dgm:spPr/>
      <dgm:t>
        <a:bodyPr/>
        <a:lstStyle/>
        <a:p>
          <a:endParaRPr lang="en-US"/>
        </a:p>
      </dgm:t>
    </dgm:pt>
    <dgm:pt modelId="{B4BD2F4D-4C5C-46FA-8C04-C5D3CD1E1D29}">
      <dgm:prSet phldrT="[Text]"/>
      <dgm:spPr/>
      <dgm:t>
        <a:bodyPr/>
        <a:lstStyle/>
        <a:p>
          <a:r>
            <a:rPr lang="en-US"/>
            <a:t>Dependent Variable</a:t>
          </a:r>
        </a:p>
      </dgm:t>
    </dgm:pt>
    <dgm:pt modelId="{09979FFD-57E4-4597-90D0-DF6067579E57}" type="parTrans" cxnId="{92A714C9-C287-418A-9500-DCE5CB2C00CF}">
      <dgm:prSet/>
      <dgm:spPr/>
      <dgm:t>
        <a:bodyPr/>
        <a:lstStyle/>
        <a:p>
          <a:endParaRPr lang="en-US"/>
        </a:p>
      </dgm:t>
    </dgm:pt>
    <dgm:pt modelId="{E3A02452-B8A0-401F-B4A8-6AFEA9D0FC4B}" type="sibTrans" cxnId="{92A714C9-C287-418A-9500-DCE5CB2C00CF}">
      <dgm:prSet/>
      <dgm:spPr/>
      <dgm:t>
        <a:bodyPr/>
        <a:lstStyle/>
        <a:p>
          <a:endParaRPr lang="en-US"/>
        </a:p>
      </dgm:t>
    </dgm:pt>
    <dgm:pt modelId="{240A7779-B5FA-4B89-9578-FA00AE4818C3}">
      <dgm:prSet phldrT="[Text]"/>
      <dgm:spPr/>
      <dgm:t>
        <a:bodyPr/>
        <a:lstStyle/>
        <a:p>
          <a:r>
            <a:rPr lang="en-US"/>
            <a:t>Quantitative</a:t>
          </a:r>
        </a:p>
      </dgm:t>
    </dgm:pt>
    <dgm:pt modelId="{664499BC-0F14-44D6-B3BF-8D8C541FC9FD}" type="parTrans" cxnId="{8DF10E97-C9EF-4E91-9754-45DA50003DDF}">
      <dgm:prSet/>
      <dgm:spPr/>
      <dgm:t>
        <a:bodyPr/>
        <a:lstStyle/>
        <a:p>
          <a:endParaRPr lang="en-US"/>
        </a:p>
      </dgm:t>
    </dgm:pt>
    <dgm:pt modelId="{5A62CABB-319D-46CE-9AAA-E5AA3AC4B9D5}" type="sibTrans" cxnId="{8DF10E97-C9EF-4E91-9754-45DA50003DDF}">
      <dgm:prSet/>
      <dgm:spPr/>
      <dgm:t>
        <a:bodyPr/>
        <a:lstStyle/>
        <a:p>
          <a:endParaRPr lang="en-US"/>
        </a:p>
      </dgm:t>
    </dgm:pt>
    <dgm:pt modelId="{2A9F7C65-96AF-4ACE-9BC0-68FCC8B80DFB}">
      <dgm:prSet phldrT="[Text]"/>
      <dgm:spPr/>
      <dgm:t>
        <a:bodyPr/>
        <a:lstStyle/>
        <a:p>
          <a:r>
            <a:rPr lang="en-US"/>
            <a:t>Normal Distribution</a:t>
          </a:r>
          <a:br>
            <a:rPr lang="en-US"/>
          </a:br>
          <a:r>
            <a:rPr lang="en-US"/>
            <a:t>(Parametric)</a:t>
          </a:r>
        </a:p>
      </dgm:t>
    </dgm:pt>
    <dgm:pt modelId="{56635B1C-B784-44FE-B834-81FD1A5137FB}" type="parTrans" cxnId="{09A1DF93-BABB-4A59-AED6-D4E0B6742066}">
      <dgm:prSet/>
      <dgm:spPr/>
      <dgm:t>
        <a:bodyPr/>
        <a:lstStyle/>
        <a:p>
          <a:endParaRPr lang="en-US"/>
        </a:p>
      </dgm:t>
    </dgm:pt>
    <dgm:pt modelId="{99C28AFB-49DD-4063-B924-9389F0932745}" type="sibTrans" cxnId="{09A1DF93-BABB-4A59-AED6-D4E0B6742066}">
      <dgm:prSet/>
      <dgm:spPr/>
      <dgm:t>
        <a:bodyPr/>
        <a:lstStyle/>
        <a:p>
          <a:endParaRPr lang="en-US"/>
        </a:p>
      </dgm:t>
    </dgm:pt>
    <dgm:pt modelId="{D95D8C3B-EA24-4EB1-B3B4-349E9AD131E1}">
      <dgm:prSet phldrT="[Text]"/>
      <dgm:spPr/>
      <dgm:t>
        <a:bodyPr/>
        <a:lstStyle/>
        <a:p>
          <a:r>
            <a:rPr lang="en-US"/>
            <a:t>Skewed Data</a:t>
          </a:r>
          <a:br>
            <a:rPr lang="en-US"/>
          </a:br>
          <a:r>
            <a:rPr lang="en-US"/>
            <a:t>(Nonparametric)</a:t>
          </a:r>
        </a:p>
      </dgm:t>
    </dgm:pt>
    <dgm:pt modelId="{D1AB0804-2FB1-48DE-A5F0-B8F1D66041F8}" type="parTrans" cxnId="{046DF520-F1DE-4F7B-8E1D-5AF235759AA4}">
      <dgm:prSet/>
      <dgm:spPr/>
      <dgm:t>
        <a:bodyPr/>
        <a:lstStyle/>
        <a:p>
          <a:endParaRPr lang="en-US"/>
        </a:p>
      </dgm:t>
    </dgm:pt>
    <dgm:pt modelId="{592ACFDC-47F7-46C7-B8BC-06C422EC392C}" type="sibTrans" cxnId="{046DF520-F1DE-4F7B-8E1D-5AF235759AA4}">
      <dgm:prSet/>
      <dgm:spPr/>
      <dgm:t>
        <a:bodyPr/>
        <a:lstStyle/>
        <a:p>
          <a:endParaRPr lang="en-US"/>
        </a:p>
      </dgm:t>
    </dgm:pt>
    <dgm:pt modelId="{92F91C66-1929-4F26-BE0E-03E382F63AF9}">
      <dgm:prSet phldrT="[Text]"/>
      <dgm:spPr/>
      <dgm:t>
        <a:bodyPr/>
        <a:lstStyle/>
        <a:p>
          <a:r>
            <a:rPr lang="en-US"/>
            <a:t>Qualitative</a:t>
          </a:r>
        </a:p>
      </dgm:t>
    </dgm:pt>
    <dgm:pt modelId="{74C3E8DC-74CD-47AF-B000-A98FFEAD57AE}" type="parTrans" cxnId="{FCFBA1F7-6BB9-4FE4-9E0E-6192AA8238B3}">
      <dgm:prSet/>
      <dgm:spPr/>
      <dgm:t>
        <a:bodyPr/>
        <a:lstStyle/>
        <a:p>
          <a:endParaRPr lang="en-US"/>
        </a:p>
      </dgm:t>
    </dgm:pt>
    <dgm:pt modelId="{9A49A4B2-732B-455B-BEA3-6F75B339A5E5}" type="sibTrans" cxnId="{FCFBA1F7-6BB9-4FE4-9E0E-6192AA8238B3}">
      <dgm:prSet/>
      <dgm:spPr/>
      <dgm:t>
        <a:bodyPr/>
        <a:lstStyle/>
        <a:p>
          <a:endParaRPr lang="en-US"/>
        </a:p>
      </dgm:t>
    </dgm:pt>
    <dgm:pt modelId="{1E8F578E-7C7A-4689-BE37-0385B7C8552E}">
      <dgm:prSet phldrT="[Text]"/>
      <dgm:spPr/>
      <dgm:t>
        <a:bodyPr/>
        <a:lstStyle/>
        <a:p>
          <a:r>
            <a:rPr lang="en-US"/>
            <a:t>Ordinal</a:t>
          </a:r>
          <a:br>
            <a:rPr lang="en-US"/>
          </a:br>
          <a:r>
            <a:rPr lang="en-US"/>
            <a:t>(Nonparametric)</a:t>
          </a:r>
        </a:p>
      </dgm:t>
    </dgm:pt>
    <dgm:pt modelId="{2DF903F6-0F62-4FB6-A67C-694FF7BADF56}" type="parTrans" cxnId="{FE802FB4-7A58-44A2-9241-36DDE261E1DC}">
      <dgm:prSet/>
      <dgm:spPr/>
      <dgm:t>
        <a:bodyPr/>
        <a:lstStyle/>
        <a:p>
          <a:endParaRPr lang="en-US"/>
        </a:p>
      </dgm:t>
    </dgm:pt>
    <dgm:pt modelId="{FE24F4CE-FAAD-492F-A1D2-6C8B3FBE0583}" type="sibTrans" cxnId="{FE802FB4-7A58-44A2-9241-36DDE261E1DC}">
      <dgm:prSet/>
      <dgm:spPr/>
      <dgm:t>
        <a:bodyPr/>
        <a:lstStyle/>
        <a:p>
          <a:endParaRPr lang="en-US"/>
        </a:p>
      </dgm:t>
    </dgm:pt>
    <dgm:pt modelId="{1B8DFAE0-5604-49C3-8867-16D720488A19}">
      <dgm:prSet phldrT="[Text]"/>
      <dgm:spPr/>
      <dgm:t>
        <a:bodyPr/>
        <a:lstStyle/>
        <a:p>
          <a:r>
            <a:rPr lang="en-US"/>
            <a:t>Nominal</a:t>
          </a:r>
          <a:br>
            <a:rPr lang="en-US"/>
          </a:br>
          <a:r>
            <a:rPr lang="en-US"/>
            <a:t>(Chi-square)</a:t>
          </a:r>
        </a:p>
      </dgm:t>
    </dgm:pt>
    <dgm:pt modelId="{E067861A-0E73-4FE9-BA9C-3A4188E80E42}" type="parTrans" cxnId="{F3D792AD-8584-4EE4-80EF-B30CD020767A}">
      <dgm:prSet/>
      <dgm:spPr/>
      <dgm:t>
        <a:bodyPr/>
        <a:lstStyle/>
        <a:p>
          <a:endParaRPr lang="en-US"/>
        </a:p>
      </dgm:t>
    </dgm:pt>
    <dgm:pt modelId="{214C0C2D-00D0-4F15-8FD5-7F93215B29CD}" type="sibTrans" cxnId="{F3D792AD-8584-4EE4-80EF-B30CD020767A}">
      <dgm:prSet/>
      <dgm:spPr/>
      <dgm:t>
        <a:bodyPr/>
        <a:lstStyle/>
        <a:p>
          <a:endParaRPr lang="en-US"/>
        </a:p>
      </dgm:t>
    </dgm:pt>
    <dgm:pt modelId="{EC1F1A2B-A7AE-4478-9A09-B8CA7777EF18}" type="pres">
      <dgm:prSet presAssocID="{4DA24B79-1C6C-431A-9019-800DA5169BFE}" presName="diagram" presStyleCnt="0">
        <dgm:presLayoutVars>
          <dgm:chPref val="1"/>
          <dgm:dir/>
          <dgm:animOne val="branch"/>
          <dgm:animLvl val="lvl"/>
          <dgm:resizeHandles val="exact"/>
        </dgm:presLayoutVars>
      </dgm:prSet>
      <dgm:spPr/>
    </dgm:pt>
    <dgm:pt modelId="{2163005D-5D13-4147-BAA2-CD0800DB95A2}" type="pres">
      <dgm:prSet presAssocID="{B4BD2F4D-4C5C-46FA-8C04-C5D3CD1E1D29}" presName="root1" presStyleCnt="0"/>
      <dgm:spPr/>
    </dgm:pt>
    <dgm:pt modelId="{A8D78CC5-4C61-4972-8B5A-5D64729A530F}" type="pres">
      <dgm:prSet presAssocID="{B4BD2F4D-4C5C-46FA-8C04-C5D3CD1E1D29}" presName="LevelOneTextNode" presStyleLbl="node0" presStyleIdx="0" presStyleCnt="1">
        <dgm:presLayoutVars>
          <dgm:chPref val="3"/>
        </dgm:presLayoutVars>
      </dgm:prSet>
      <dgm:spPr/>
    </dgm:pt>
    <dgm:pt modelId="{CDC1FF3A-F39A-47F8-80CE-7D7FA02B5206}" type="pres">
      <dgm:prSet presAssocID="{B4BD2F4D-4C5C-46FA-8C04-C5D3CD1E1D29}" presName="level2hierChild" presStyleCnt="0"/>
      <dgm:spPr/>
    </dgm:pt>
    <dgm:pt modelId="{5B4E33FC-5246-4299-AD49-6062F700D5F2}" type="pres">
      <dgm:prSet presAssocID="{664499BC-0F14-44D6-B3BF-8D8C541FC9FD}" presName="conn2-1" presStyleLbl="parChTrans1D2" presStyleIdx="0" presStyleCnt="2"/>
      <dgm:spPr/>
    </dgm:pt>
    <dgm:pt modelId="{3B083F07-4618-4CE3-B2F1-F5B5F613388B}" type="pres">
      <dgm:prSet presAssocID="{664499BC-0F14-44D6-B3BF-8D8C541FC9FD}" presName="connTx" presStyleLbl="parChTrans1D2" presStyleIdx="0" presStyleCnt="2"/>
      <dgm:spPr/>
    </dgm:pt>
    <dgm:pt modelId="{75C912D3-B08B-4A1B-9ECF-8893907DD80B}" type="pres">
      <dgm:prSet presAssocID="{240A7779-B5FA-4B89-9578-FA00AE4818C3}" presName="root2" presStyleCnt="0"/>
      <dgm:spPr/>
    </dgm:pt>
    <dgm:pt modelId="{25849D66-BBBA-40A2-A773-74BC30F8DBB3}" type="pres">
      <dgm:prSet presAssocID="{240A7779-B5FA-4B89-9578-FA00AE4818C3}" presName="LevelTwoTextNode" presStyleLbl="node2" presStyleIdx="0" presStyleCnt="2">
        <dgm:presLayoutVars>
          <dgm:chPref val="3"/>
        </dgm:presLayoutVars>
      </dgm:prSet>
      <dgm:spPr/>
    </dgm:pt>
    <dgm:pt modelId="{850D304F-1FEB-449E-BEAB-017329501686}" type="pres">
      <dgm:prSet presAssocID="{240A7779-B5FA-4B89-9578-FA00AE4818C3}" presName="level3hierChild" presStyleCnt="0"/>
      <dgm:spPr/>
    </dgm:pt>
    <dgm:pt modelId="{B53CF769-DFCA-486A-AE53-57C872949B79}" type="pres">
      <dgm:prSet presAssocID="{56635B1C-B784-44FE-B834-81FD1A5137FB}" presName="conn2-1" presStyleLbl="parChTrans1D3" presStyleIdx="0" presStyleCnt="4"/>
      <dgm:spPr/>
    </dgm:pt>
    <dgm:pt modelId="{D853EC8D-44B1-4391-BA4B-2FD51CA384AE}" type="pres">
      <dgm:prSet presAssocID="{56635B1C-B784-44FE-B834-81FD1A5137FB}" presName="connTx" presStyleLbl="parChTrans1D3" presStyleIdx="0" presStyleCnt="4"/>
      <dgm:spPr/>
    </dgm:pt>
    <dgm:pt modelId="{C6DA1624-842D-4658-B45D-FC8D58D073FA}" type="pres">
      <dgm:prSet presAssocID="{2A9F7C65-96AF-4ACE-9BC0-68FCC8B80DFB}" presName="root2" presStyleCnt="0"/>
      <dgm:spPr/>
    </dgm:pt>
    <dgm:pt modelId="{7DC1A1C9-EF2D-429D-8B08-B764A2639834}" type="pres">
      <dgm:prSet presAssocID="{2A9F7C65-96AF-4ACE-9BC0-68FCC8B80DFB}" presName="LevelTwoTextNode" presStyleLbl="node3" presStyleIdx="0" presStyleCnt="4">
        <dgm:presLayoutVars>
          <dgm:chPref val="3"/>
        </dgm:presLayoutVars>
      </dgm:prSet>
      <dgm:spPr/>
    </dgm:pt>
    <dgm:pt modelId="{F1A0B929-AA70-4336-A5B8-C982583F968B}" type="pres">
      <dgm:prSet presAssocID="{2A9F7C65-96AF-4ACE-9BC0-68FCC8B80DFB}" presName="level3hierChild" presStyleCnt="0"/>
      <dgm:spPr/>
    </dgm:pt>
    <dgm:pt modelId="{2E82E654-7C73-44E9-9CE8-94DC1B75ED27}" type="pres">
      <dgm:prSet presAssocID="{D1AB0804-2FB1-48DE-A5F0-B8F1D66041F8}" presName="conn2-1" presStyleLbl="parChTrans1D3" presStyleIdx="1" presStyleCnt="4"/>
      <dgm:spPr/>
    </dgm:pt>
    <dgm:pt modelId="{E9C6B33C-5B02-4E60-8110-1AA5FA344224}" type="pres">
      <dgm:prSet presAssocID="{D1AB0804-2FB1-48DE-A5F0-B8F1D66041F8}" presName="connTx" presStyleLbl="parChTrans1D3" presStyleIdx="1" presStyleCnt="4"/>
      <dgm:spPr/>
    </dgm:pt>
    <dgm:pt modelId="{81482142-7ED9-49E8-9024-BE11661538A8}" type="pres">
      <dgm:prSet presAssocID="{D95D8C3B-EA24-4EB1-B3B4-349E9AD131E1}" presName="root2" presStyleCnt="0"/>
      <dgm:spPr/>
    </dgm:pt>
    <dgm:pt modelId="{CFA6288F-0B32-43D2-A33A-1D76EAE983DA}" type="pres">
      <dgm:prSet presAssocID="{D95D8C3B-EA24-4EB1-B3B4-349E9AD131E1}" presName="LevelTwoTextNode" presStyleLbl="node3" presStyleIdx="1" presStyleCnt="4">
        <dgm:presLayoutVars>
          <dgm:chPref val="3"/>
        </dgm:presLayoutVars>
      </dgm:prSet>
      <dgm:spPr/>
    </dgm:pt>
    <dgm:pt modelId="{DFDDEF9F-DA58-42B8-94DC-49C51A798B4E}" type="pres">
      <dgm:prSet presAssocID="{D95D8C3B-EA24-4EB1-B3B4-349E9AD131E1}" presName="level3hierChild" presStyleCnt="0"/>
      <dgm:spPr/>
    </dgm:pt>
    <dgm:pt modelId="{697F2994-8952-4D07-808B-EABDC5DDB431}" type="pres">
      <dgm:prSet presAssocID="{74C3E8DC-74CD-47AF-B000-A98FFEAD57AE}" presName="conn2-1" presStyleLbl="parChTrans1D2" presStyleIdx="1" presStyleCnt="2"/>
      <dgm:spPr/>
    </dgm:pt>
    <dgm:pt modelId="{A0DB5B0B-BBA1-4342-82A9-071F56D9DE0C}" type="pres">
      <dgm:prSet presAssocID="{74C3E8DC-74CD-47AF-B000-A98FFEAD57AE}" presName="connTx" presStyleLbl="parChTrans1D2" presStyleIdx="1" presStyleCnt="2"/>
      <dgm:spPr/>
    </dgm:pt>
    <dgm:pt modelId="{46C666C9-976E-41C0-BEED-4D876ABF36AF}" type="pres">
      <dgm:prSet presAssocID="{92F91C66-1929-4F26-BE0E-03E382F63AF9}" presName="root2" presStyleCnt="0"/>
      <dgm:spPr/>
    </dgm:pt>
    <dgm:pt modelId="{0CA9B2DA-F7ED-428C-9397-F1653863287F}" type="pres">
      <dgm:prSet presAssocID="{92F91C66-1929-4F26-BE0E-03E382F63AF9}" presName="LevelTwoTextNode" presStyleLbl="node2" presStyleIdx="1" presStyleCnt="2">
        <dgm:presLayoutVars>
          <dgm:chPref val="3"/>
        </dgm:presLayoutVars>
      </dgm:prSet>
      <dgm:spPr/>
    </dgm:pt>
    <dgm:pt modelId="{016DC70B-52C7-4D76-88F7-B6555FA66D7C}" type="pres">
      <dgm:prSet presAssocID="{92F91C66-1929-4F26-BE0E-03E382F63AF9}" presName="level3hierChild" presStyleCnt="0"/>
      <dgm:spPr/>
    </dgm:pt>
    <dgm:pt modelId="{D737EFA5-9D6A-438D-B883-C530926349B4}" type="pres">
      <dgm:prSet presAssocID="{2DF903F6-0F62-4FB6-A67C-694FF7BADF56}" presName="conn2-1" presStyleLbl="parChTrans1D3" presStyleIdx="2" presStyleCnt="4"/>
      <dgm:spPr/>
    </dgm:pt>
    <dgm:pt modelId="{271E97B6-D9C3-44A8-B421-FBE6CDE327FA}" type="pres">
      <dgm:prSet presAssocID="{2DF903F6-0F62-4FB6-A67C-694FF7BADF56}" presName="connTx" presStyleLbl="parChTrans1D3" presStyleIdx="2" presStyleCnt="4"/>
      <dgm:spPr/>
    </dgm:pt>
    <dgm:pt modelId="{4222C5DD-FE89-4DAD-AAF5-C22E11DBAEB8}" type="pres">
      <dgm:prSet presAssocID="{1E8F578E-7C7A-4689-BE37-0385B7C8552E}" presName="root2" presStyleCnt="0"/>
      <dgm:spPr/>
    </dgm:pt>
    <dgm:pt modelId="{61478A31-E656-44CD-8320-83DC457E198B}" type="pres">
      <dgm:prSet presAssocID="{1E8F578E-7C7A-4689-BE37-0385B7C8552E}" presName="LevelTwoTextNode" presStyleLbl="node3" presStyleIdx="2" presStyleCnt="4">
        <dgm:presLayoutVars>
          <dgm:chPref val="3"/>
        </dgm:presLayoutVars>
      </dgm:prSet>
      <dgm:spPr/>
    </dgm:pt>
    <dgm:pt modelId="{5F733FD9-9838-4ECB-B586-7674FA7B2EE7}" type="pres">
      <dgm:prSet presAssocID="{1E8F578E-7C7A-4689-BE37-0385B7C8552E}" presName="level3hierChild" presStyleCnt="0"/>
      <dgm:spPr/>
    </dgm:pt>
    <dgm:pt modelId="{C0570914-C2E4-4CC7-B7F8-73660E5FE126}" type="pres">
      <dgm:prSet presAssocID="{E067861A-0E73-4FE9-BA9C-3A4188E80E42}" presName="conn2-1" presStyleLbl="parChTrans1D3" presStyleIdx="3" presStyleCnt="4"/>
      <dgm:spPr/>
    </dgm:pt>
    <dgm:pt modelId="{93676581-BFA6-458B-BC08-F14019E7B068}" type="pres">
      <dgm:prSet presAssocID="{E067861A-0E73-4FE9-BA9C-3A4188E80E42}" presName="connTx" presStyleLbl="parChTrans1D3" presStyleIdx="3" presStyleCnt="4"/>
      <dgm:spPr/>
    </dgm:pt>
    <dgm:pt modelId="{40FCCA3F-CE56-4A05-9626-60A831BE011E}" type="pres">
      <dgm:prSet presAssocID="{1B8DFAE0-5604-49C3-8867-16D720488A19}" presName="root2" presStyleCnt="0"/>
      <dgm:spPr/>
    </dgm:pt>
    <dgm:pt modelId="{23EAE24E-31B1-4302-B929-B58ED62F549E}" type="pres">
      <dgm:prSet presAssocID="{1B8DFAE0-5604-49C3-8867-16D720488A19}" presName="LevelTwoTextNode" presStyleLbl="node3" presStyleIdx="3" presStyleCnt="4">
        <dgm:presLayoutVars>
          <dgm:chPref val="3"/>
        </dgm:presLayoutVars>
      </dgm:prSet>
      <dgm:spPr/>
    </dgm:pt>
    <dgm:pt modelId="{DA9FBBA5-83D8-483B-9BA9-26DD336E8C81}" type="pres">
      <dgm:prSet presAssocID="{1B8DFAE0-5604-49C3-8867-16D720488A19}" presName="level3hierChild" presStyleCnt="0"/>
      <dgm:spPr/>
    </dgm:pt>
  </dgm:ptLst>
  <dgm:cxnLst>
    <dgm:cxn modelId="{93CE5005-BA0D-49EE-8BFE-1734FFF24EBF}" type="presOf" srcId="{2DF903F6-0F62-4FB6-A67C-694FF7BADF56}" destId="{D737EFA5-9D6A-438D-B883-C530926349B4}" srcOrd="0" destOrd="0" presId="urn:microsoft.com/office/officeart/2005/8/layout/hierarchy2"/>
    <dgm:cxn modelId="{BA7FC912-5848-450F-946D-118BA96AFFED}" type="presOf" srcId="{664499BC-0F14-44D6-B3BF-8D8C541FC9FD}" destId="{3B083F07-4618-4CE3-B2F1-F5B5F613388B}" srcOrd="1" destOrd="0" presId="urn:microsoft.com/office/officeart/2005/8/layout/hierarchy2"/>
    <dgm:cxn modelId="{046DF520-F1DE-4F7B-8E1D-5AF235759AA4}" srcId="{240A7779-B5FA-4B89-9578-FA00AE4818C3}" destId="{D95D8C3B-EA24-4EB1-B3B4-349E9AD131E1}" srcOrd="1" destOrd="0" parTransId="{D1AB0804-2FB1-48DE-A5F0-B8F1D66041F8}" sibTransId="{592ACFDC-47F7-46C7-B8BC-06C422EC392C}"/>
    <dgm:cxn modelId="{71E99F2A-AE11-4ACF-8045-04A43E74D420}" type="presOf" srcId="{E067861A-0E73-4FE9-BA9C-3A4188E80E42}" destId="{93676581-BFA6-458B-BC08-F14019E7B068}" srcOrd="1" destOrd="0" presId="urn:microsoft.com/office/officeart/2005/8/layout/hierarchy2"/>
    <dgm:cxn modelId="{0E37A02A-60B2-4DB9-9031-1FBAFE578833}" type="presOf" srcId="{56635B1C-B784-44FE-B834-81FD1A5137FB}" destId="{D853EC8D-44B1-4391-BA4B-2FD51CA384AE}" srcOrd="1" destOrd="0" presId="urn:microsoft.com/office/officeart/2005/8/layout/hierarchy2"/>
    <dgm:cxn modelId="{89AFF52F-2A65-43D1-819A-149E3867F4C7}" type="presOf" srcId="{D1AB0804-2FB1-48DE-A5F0-B8F1D66041F8}" destId="{E9C6B33C-5B02-4E60-8110-1AA5FA344224}" srcOrd="1" destOrd="0" presId="urn:microsoft.com/office/officeart/2005/8/layout/hierarchy2"/>
    <dgm:cxn modelId="{28DA2D5E-6707-4D55-911F-794018BC6C10}" type="presOf" srcId="{1B8DFAE0-5604-49C3-8867-16D720488A19}" destId="{23EAE24E-31B1-4302-B929-B58ED62F549E}" srcOrd="0" destOrd="0" presId="urn:microsoft.com/office/officeart/2005/8/layout/hierarchy2"/>
    <dgm:cxn modelId="{30F8A048-C9D1-447B-8C97-5270006C6494}" type="presOf" srcId="{D95D8C3B-EA24-4EB1-B3B4-349E9AD131E1}" destId="{CFA6288F-0B32-43D2-A33A-1D76EAE983DA}" srcOrd="0" destOrd="0" presId="urn:microsoft.com/office/officeart/2005/8/layout/hierarchy2"/>
    <dgm:cxn modelId="{59A8C648-3BD7-4E63-9CD7-CDA1F57DACC0}" type="presOf" srcId="{74C3E8DC-74CD-47AF-B000-A98FFEAD57AE}" destId="{697F2994-8952-4D07-808B-EABDC5DDB431}" srcOrd="0" destOrd="0" presId="urn:microsoft.com/office/officeart/2005/8/layout/hierarchy2"/>
    <dgm:cxn modelId="{BCEF306A-340F-4775-9282-1789187BE200}" type="presOf" srcId="{74C3E8DC-74CD-47AF-B000-A98FFEAD57AE}" destId="{A0DB5B0B-BBA1-4342-82A9-071F56D9DE0C}" srcOrd="1" destOrd="0" presId="urn:microsoft.com/office/officeart/2005/8/layout/hierarchy2"/>
    <dgm:cxn modelId="{760F8583-9607-4DED-A597-A3F31E328E14}" type="presOf" srcId="{2A9F7C65-96AF-4ACE-9BC0-68FCC8B80DFB}" destId="{7DC1A1C9-EF2D-429D-8B08-B764A2639834}" srcOrd="0" destOrd="0" presId="urn:microsoft.com/office/officeart/2005/8/layout/hierarchy2"/>
    <dgm:cxn modelId="{08D02B8D-CFB1-4F7C-AFC4-ACB8DD0E8CE6}" type="presOf" srcId="{56635B1C-B784-44FE-B834-81FD1A5137FB}" destId="{B53CF769-DFCA-486A-AE53-57C872949B79}" srcOrd="0" destOrd="0" presId="urn:microsoft.com/office/officeart/2005/8/layout/hierarchy2"/>
    <dgm:cxn modelId="{09A1DF93-BABB-4A59-AED6-D4E0B6742066}" srcId="{240A7779-B5FA-4B89-9578-FA00AE4818C3}" destId="{2A9F7C65-96AF-4ACE-9BC0-68FCC8B80DFB}" srcOrd="0" destOrd="0" parTransId="{56635B1C-B784-44FE-B834-81FD1A5137FB}" sibTransId="{99C28AFB-49DD-4063-B924-9389F0932745}"/>
    <dgm:cxn modelId="{8DF10E97-C9EF-4E91-9754-45DA50003DDF}" srcId="{B4BD2F4D-4C5C-46FA-8C04-C5D3CD1E1D29}" destId="{240A7779-B5FA-4B89-9578-FA00AE4818C3}" srcOrd="0" destOrd="0" parTransId="{664499BC-0F14-44D6-B3BF-8D8C541FC9FD}" sibTransId="{5A62CABB-319D-46CE-9AAA-E5AA3AC4B9D5}"/>
    <dgm:cxn modelId="{859D5C97-2428-4E5D-A3F2-36CBAD06B229}" type="presOf" srcId="{B4BD2F4D-4C5C-46FA-8C04-C5D3CD1E1D29}" destId="{A8D78CC5-4C61-4972-8B5A-5D64729A530F}" srcOrd="0" destOrd="0" presId="urn:microsoft.com/office/officeart/2005/8/layout/hierarchy2"/>
    <dgm:cxn modelId="{CD4DCB98-7A09-4B09-A9AC-4BF8FF13BB70}" type="presOf" srcId="{E067861A-0E73-4FE9-BA9C-3A4188E80E42}" destId="{C0570914-C2E4-4CC7-B7F8-73660E5FE126}" srcOrd="0" destOrd="0" presId="urn:microsoft.com/office/officeart/2005/8/layout/hierarchy2"/>
    <dgm:cxn modelId="{F69EC59C-B97D-478F-A010-AAA5E5D4D080}" type="presOf" srcId="{664499BC-0F14-44D6-B3BF-8D8C541FC9FD}" destId="{5B4E33FC-5246-4299-AD49-6062F700D5F2}" srcOrd="0" destOrd="0" presId="urn:microsoft.com/office/officeart/2005/8/layout/hierarchy2"/>
    <dgm:cxn modelId="{A9023C9D-7426-468F-9CCF-FBD72A7C4CA7}" type="presOf" srcId="{2DF903F6-0F62-4FB6-A67C-694FF7BADF56}" destId="{271E97B6-D9C3-44A8-B421-FBE6CDE327FA}" srcOrd="1" destOrd="0" presId="urn:microsoft.com/office/officeart/2005/8/layout/hierarchy2"/>
    <dgm:cxn modelId="{A107CDA3-E8B0-41E1-8C9B-36CED86BDCD7}" type="presOf" srcId="{1E8F578E-7C7A-4689-BE37-0385B7C8552E}" destId="{61478A31-E656-44CD-8320-83DC457E198B}" srcOrd="0" destOrd="0" presId="urn:microsoft.com/office/officeart/2005/8/layout/hierarchy2"/>
    <dgm:cxn modelId="{F3D792AD-8584-4EE4-80EF-B30CD020767A}" srcId="{92F91C66-1929-4F26-BE0E-03E382F63AF9}" destId="{1B8DFAE0-5604-49C3-8867-16D720488A19}" srcOrd="1" destOrd="0" parTransId="{E067861A-0E73-4FE9-BA9C-3A4188E80E42}" sibTransId="{214C0C2D-00D0-4F15-8FD5-7F93215B29CD}"/>
    <dgm:cxn modelId="{FE802FB4-7A58-44A2-9241-36DDE261E1DC}" srcId="{92F91C66-1929-4F26-BE0E-03E382F63AF9}" destId="{1E8F578E-7C7A-4689-BE37-0385B7C8552E}" srcOrd="0" destOrd="0" parTransId="{2DF903F6-0F62-4FB6-A67C-694FF7BADF56}" sibTransId="{FE24F4CE-FAAD-492F-A1D2-6C8B3FBE0583}"/>
    <dgm:cxn modelId="{B3EE08B5-9C3D-4CA1-BD2F-AEC5844EF7B7}" type="presOf" srcId="{240A7779-B5FA-4B89-9578-FA00AE4818C3}" destId="{25849D66-BBBA-40A2-A773-74BC30F8DBB3}" srcOrd="0" destOrd="0" presId="urn:microsoft.com/office/officeart/2005/8/layout/hierarchy2"/>
    <dgm:cxn modelId="{942B88C7-D5E0-4D83-AA45-7D639AA52EC2}" type="presOf" srcId="{92F91C66-1929-4F26-BE0E-03E382F63AF9}" destId="{0CA9B2DA-F7ED-428C-9397-F1653863287F}" srcOrd="0" destOrd="0" presId="urn:microsoft.com/office/officeart/2005/8/layout/hierarchy2"/>
    <dgm:cxn modelId="{92A714C9-C287-418A-9500-DCE5CB2C00CF}" srcId="{4DA24B79-1C6C-431A-9019-800DA5169BFE}" destId="{B4BD2F4D-4C5C-46FA-8C04-C5D3CD1E1D29}" srcOrd="0" destOrd="0" parTransId="{09979FFD-57E4-4597-90D0-DF6067579E57}" sibTransId="{E3A02452-B8A0-401F-B4A8-6AFEA9D0FC4B}"/>
    <dgm:cxn modelId="{84F716CC-12A9-4229-8274-C5DBBDABE59D}" type="presOf" srcId="{4DA24B79-1C6C-431A-9019-800DA5169BFE}" destId="{EC1F1A2B-A7AE-4478-9A09-B8CA7777EF18}" srcOrd="0" destOrd="0" presId="urn:microsoft.com/office/officeart/2005/8/layout/hierarchy2"/>
    <dgm:cxn modelId="{0BA9E2ED-3BC1-4FAE-A52A-BCDE0AE874FF}" type="presOf" srcId="{D1AB0804-2FB1-48DE-A5F0-B8F1D66041F8}" destId="{2E82E654-7C73-44E9-9CE8-94DC1B75ED27}" srcOrd="0" destOrd="0" presId="urn:microsoft.com/office/officeart/2005/8/layout/hierarchy2"/>
    <dgm:cxn modelId="{FCFBA1F7-6BB9-4FE4-9E0E-6192AA8238B3}" srcId="{B4BD2F4D-4C5C-46FA-8C04-C5D3CD1E1D29}" destId="{92F91C66-1929-4F26-BE0E-03E382F63AF9}" srcOrd="1" destOrd="0" parTransId="{74C3E8DC-74CD-47AF-B000-A98FFEAD57AE}" sibTransId="{9A49A4B2-732B-455B-BEA3-6F75B339A5E5}"/>
    <dgm:cxn modelId="{E07C477D-0570-42C4-8197-D0C9BF785253}" type="presParOf" srcId="{EC1F1A2B-A7AE-4478-9A09-B8CA7777EF18}" destId="{2163005D-5D13-4147-BAA2-CD0800DB95A2}" srcOrd="0" destOrd="0" presId="urn:microsoft.com/office/officeart/2005/8/layout/hierarchy2"/>
    <dgm:cxn modelId="{676198A2-6389-4974-AF34-02DF42722A5B}" type="presParOf" srcId="{2163005D-5D13-4147-BAA2-CD0800DB95A2}" destId="{A8D78CC5-4C61-4972-8B5A-5D64729A530F}" srcOrd="0" destOrd="0" presId="urn:microsoft.com/office/officeart/2005/8/layout/hierarchy2"/>
    <dgm:cxn modelId="{C759470E-69E7-4B8F-9282-335273486CC4}" type="presParOf" srcId="{2163005D-5D13-4147-BAA2-CD0800DB95A2}" destId="{CDC1FF3A-F39A-47F8-80CE-7D7FA02B5206}" srcOrd="1" destOrd="0" presId="urn:microsoft.com/office/officeart/2005/8/layout/hierarchy2"/>
    <dgm:cxn modelId="{DDD16843-CF65-439E-8289-A23C3DDCDB21}" type="presParOf" srcId="{CDC1FF3A-F39A-47F8-80CE-7D7FA02B5206}" destId="{5B4E33FC-5246-4299-AD49-6062F700D5F2}" srcOrd="0" destOrd="0" presId="urn:microsoft.com/office/officeart/2005/8/layout/hierarchy2"/>
    <dgm:cxn modelId="{4B6B45A6-C916-410A-AD8C-F647694709EA}" type="presParOf" srcId="{5B4E33FC-5246-4299-AD49-6062F700D5F2}" destId="{3B083F07-4618-4CE3-B2F1-F5B5F613388B}" srcOrd="0" destOrd="0" presId="urn:microsoft.com/office/officeart/2005/8/layout/hierarchy2"/>
    <dgm:cxn modelId="{0BCA16CC-1465-4EC7-B57C-211E179C535C}" type="presParOf" srcId="{CDC1FF3A-F39A-47F8-80CE-7D7FA02B5206}" destId="{75C912D3-B08B-4A1B-9ECF-8893907DD80B}" srcOrd="1" destOrd="0" presId="urn:microsoft.com/office/officeart/2005/8/layout/hierarchy2"/>
    <dgm:cxn modelId="{AA2FCA7C-77AD-473C-86BE-0328318D70B4}" type="presParOf" srcId="{75C912D3-B08B-4A1B-9ECF-8893907DD80B}" destId="{25849D66-BBBA-40A2-A773-74BC30F8DBB3}" srcOrd="0" destOrd="0" presId="urn:microsoft.com/office/officeart/2005/8/layout/hierarchy2"/>
    <dgm:cxn modelId="{05A246A9-F845-412E-90E4-9B18ABBC9C3B}" type="presParOf" srcId="{75C912D3-B08B-4A1B-9ECF-8893907DD80B}" destId="{850D304F-1FEB-449E-BEAB-017329501686}" srcOrd="1" destOrd="0" presId="urn:microsoft.com/office/officeart/2005/8/layout/hierarchy2"/>
    <dgm:cxn modelId="{75CE13E4-ABF9-4E16-9E21-58187947BDFB}" type="presParOf" srcId="{850D304F-1FEB-449E-BEAB-017329501686}" destId="{B53CF769-DFCA-486A-AE53-57C872949B79}" srcOrd="0" destOrd="0" presId="urn:microsoft.com/office/officeart/2005/8/layout/hierarchy2"/>
    <dgm:cxn modelId="{06D566E3-0E64-47CC-868B-C1D3621AE9EF}" type="presParOf" srcId="{B53CF769-DFCA-486A-AE53-57C872949B79}" destId="{D853EC8D-44B1-4391-BA4B-2FD51CA384AE}" srcOrd="0" destOrd="0" presId="urn:microsoft.com/office/officeart/2005/8/layout/hierarchy2"/>
    <dgm:cxn modelId="{1AF0E97C-37D9-4499-804D-01E018D56805}" type="presParOf" srcId="{850D304F-1FEB-449E-BEAB-017329501686}" destId="{C6DA1624-842D-4658-B45D-FC8D58D073FA}" srcOrd="1" destOrd="0" presId="urn:microsoft.com/office/officeart/2005/8/layout/hierarchy2"/>
    <dgm:cxn modelId="{50E0D7C9-C34D-46BA-884E-9E3E163BCEDC}" type="presParOf" srcId="{C6DA1624-842D-4658-B45D-FC8D58D073FA}" destId="{7DC1A1C9-EF2D-429D-8B08-B764A2639834}" srcOrd="0" destOrd="0" presId="urn:microsoft.com/office/officeart/2005/8/layout/hierarchy2"/>
    <dgm:cxn modelId="{9CE061DC-7A06-4215-9363-1320F010C432}" type="presParOf" srcId="{C6DA1624-842D-4658-B45D-FC8D58D073FA}" destId="{F1A0B929-AA70-4336-A5B8-C982583F968B}" srcOrd="1" destOrd="0" presId="urn:microsoft.com/office/officeart/2005/8/layout/hierarchy2"/>
    <dgm:cxn modelId="{45D2515E-B8C6-4268-887D-5C2B46AD59FC}" type="presParOf" srcId="{850D304F-1FEB-449E-BEAB-017329501686}" destId="{2E82E654-7C73-44E9-9CE8-94DC1B75ED27}" srcOrd="2" destOrd="0" presId="urn:microsoft.com/office/officeart/2005/8/layout/hierarchy2"/>
    <dgm:cxn modelId="{6641BDFA-1ECA-4FD2-992F-2D605FDFC3D4}" type="presParOf" srcId="{2E82E654-7C73-44E9-9CE8-94DC1B75ED27}" destId="{E9C6B33C-5B02-4E60-8110-1AA5FA344224}" srcOrd="0" destOrd="0" presId="urn:microsoft.com/office/officeart/2005/8/layout/hierarchy2"/>
    <dgm:cxn modelId="{02560CB7-8D41-4AFD-91B9-90FBEDCED8B4}" type="presParOf" srcId="{850D304F-1FEB-449E-BEAB-017329501686}" destId="{81482142-7ED9-49E8-9024-BE11661538A8}" srcOrd="3" destOrd="0" presId="urn:microsoft.com/office/officeart/2005/8/layout/hierarchy2"/>
    <dgm:cxn modelId="{45B4A5FB-47A3-4435-B8F0-ABBFD791EFB4}" type="presParOf" srcId="{81482142-7ED9-49E8-9024-BE11661538A8}" destId="{CFA6288F-0B32-43D2-A33A-1D76EAE983DA}" srcOrd="0" destOrd="0" presId="urn:microsoft.com/office/officeart/2005/8/layout/hierarchy2"/>
    <dgm:cxn modelId="{3DD60782-9A43-417A-9A45-C57BDD6D1B25}" type="presParOf" srcId="{81482142-7ED9-49E8-9024-BE11661538A8}" destId="{DFDDEF9F-DA58-42B8-94DC-49C51A798B4E}" srcOrd="1" destOrd="0" presId="urn:microsoft.com/office/officeart/2005/8/layout/hierarchy2"/>
    <dgm:cxn modelId="{E4888DBB-7458-45DF-989D-F368331DF8C9}" type="presParOf" srcId="{CDC1FF3A-F39A-47F8-80CE-7D7FA02B5206}" destId="{697F2994-8952-4D07-808B-EABDC5DDB431}" srcOrd="2" destOrd="0" presId="urn:microsoft.com/office/officeart/2005/8/layout/hierarchy2"/>
    <dgm:cxn modelId="{98993F52-5451-4E7A-A797-EA0BCC409DE0}" type="presParOf" srcId="{697F2994-8952-4D07-808B-EABDC5DDB431}" destId="{A0DB5B0B-BBA1-4342-82A9-071F56D9DE0C}" srcOrd="0" destOrd="0" presId="urn:microsoft.com/office/officeart/2005/8/layout/hierarchy2"/>
    <dgm:cxn modelId="{7E9662A3-79F3-48F6-AB30-B971F66C9DED}" type="presParOf" srcId="{CDC1FF3A-F39A-47F8-80CE-7D7FA02B5206}" destId="{46C666C9-976E-41C0-BEED-4D876ABF36AF}" srcOrd="3" destOrd="0" presId="urn:microsoft.com/office/officeart/2005/8/layout/hierarchy2"/>
    <dgm:cxn modelId="{B1E19029-2642-49A9-BBF4-30F947A64897}" type="presParOf" srcId="{46C666C9-976E-41C0-BEED-4D876ABF36AF}" destId="{0CA9B2DA-F7ED-428C-9397-F1653863287F}" srcOrd="0" destOrd="0" presId="urn:microsoft.com/office/officeart/2005/8/layout/hierarchy2"/>
    <dgm:cxn modelId="{66B97DCD-D3EA-42BE-B81F-33FD9FFA5025}" type="presParOf" srcId="{46C666C9-976E-41C0-BEED-4D876ABF36AF}" destId="{016DC70B-52C7-4D76-88F7-B6555FA66D7C}" srcOrd="1" destOrd="0" presId="urn:microsoft.com/office/officeart/2005/8/layout/hierarchy2"/>
    <dgm:cxn modelId="{9539B8D9-FE36-49FD-A304-653A76440BAD}" type="presParOf" srcId="{016DC70B-52C7-4D76-88F7-B6555FA66D7C}" destId="{D737EFA5-9D6A-438D-B883-C530926349B4}" srcOrd="0" destOrd="0" presId="urn:microsoft.com/office/officeart/2005/8/layout/hierarchy2"/>
    <dgm:cxn modelId="{D544FF59-A0DC-4FBD-939E-6E4A025E403F}" type="presParOf" srcId="{D737EFA5-9D6A-438D-B883-C530926349B4}" destId="{271E97B6-D9C3-44A8-B421-FBE6CDE327FA}" srcOrd="0" destOrd="0" presId="urn:microsoft.com/office/officeart/2005/8/layout/hierarchy2"/>
    <dgm:cxn modelId="{C160638C-3477-47D7-AA10-24C366599D18}" type="presParOf" srcId="{016DC70B-52C7-4D76-88F7-B6555FA66D7C}" destId="{4222C5DD-FE89-4DAD-AAF5-C22E11DBAEB8}" srcOrd="1" destOrd="0" presId="urn:microsoft.com/office/officeart/2005/8/layout/hierarchy2"/>
    <dgm:cxn modelId="{AE7E6A7A-FBB1-42F3-B7F0-C0428C66ABD0}" type="presParOf" srcId="{4222C5DD-FE89-4DAD-AAF5-C22E11DBAEB8}" destId="{61478A31-E656-44CD-8320-83DC457E198B}" srcOrd="0" destOrd="0" presId="urn:microsoft.com/office/officeart/2005/8/layout/hierarchy2"/>
    <dgm:cxn modelId="{35BA37BD-03B4-4412-AA77-7A778453398D}" type="presParOf" srcId="{4222C5DD-FE89-4DAD-AAF5-C22E11DBAEB8}" destId="{5F733FD9-9838-4ECB-B586-7674FA7B2EE7}" srcOrd="1" destOrd="0" presId="urn:microsoft.com/office/officeart/2005/8/layout/hierarchy2"/>
    <dgm:cxn modelId="{28EBD766-A671-45CD-B5E6-0E991A0B998D}" type="presParOf" srcId="{016DC70B-52C7-4D76-88F7-B6555FA66D7C}" destId="{C0570914-C2E4-4CC7-B7F8-73660E5FE126}" srcOrd="2" destOrd="0" presId="urn:microsoft.com/office/officeart/2005/8/layout/hierarchy2"/>
    <dgm:cxn modelId="{795C7B05-0AD5-4A3C-AEEE-7F02F65D30F2}" type="presParOf" srcId="{C0570914-C2E4-4CC7-B7F8-73660E5FE126}" destId="{93676581-BFA6-458B-BC08-F14019E7B068}" srcOrd="0" destOrd="0" presId="urn:microsoft.com/office/officeart/2005/8/layout/hierarchy2"/>
    <dgm:cxn modelId="{D72788EF-3B5D-4709-AE56-ECB4BFCA0DB7}" type="presParOf" srcId="{016DC70B-52C7-4D76-88F7-B6555FA66D7C}" destId="{40FCCA3F-CE56-4A05-9626-60A831BE011E}" srcOrd="3" destOrd="0" presId="urn:microsoft.com/office/officeart/2005/8/layout/hierarchy2"/>
    <dgm:cxn modelId="{A8B54A70-14AF-4C6E-A61D-337E2EF2DE2A}" type="presParOf" srcId="{40FCCA3F-CE56-4A05-9626-60A831BE011E}" destId="{23EAE24E-31B1-4302-B929-B58ED62F549E}" srcOrd="0" destOrd="0" presId="urn:microsoft.com/office/officeart/2005/8/layout/hierarchy2"/>
    <dgm:cxn modelId="{2C45FFF9-3F80-4C54-BA07-C0B27C2A67A1}" type="presParOf" srcId="{40FCCA3F-CE56-4A05-9626-60A831BE011E}" destId="{DA9FBBA5-83D8-483B-9BA9-26DD336E8C81}" srcOrd="1" destOrd="0" presId="urn:microsoft.com/office/officeart/2005/8/layout/hierarchy2"/>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1A8BDC46-FD5A-4128-8C10-1E2E6A27F982}" type="doc">
      <dgm:prSet loTypeId="urn:microsoft.com/office/officeart/2008/layout/AscendingPictureAccentProcess" loCatId="process" qsTypeId="urn:microsoft.com/office/officeart/2005/8/quickstyle/simple1" qsCatId="simple" csTypeId="urn:microsoft.com/office/officeart/2005/8/colors/accent1_2" csCatId="accent1" phldr="1"/>
      <dgm:spPr/>
      <dgm:t>
        <a:bodyPr/>
        <a:lstStyle/>
        <a:p>
          <a:endParaRPr lang="en-US"/>
        </a:p>
      </dgm:t>
    </dgm:pt>
    <dgm:pt modelId="{58C081D2-C42A-40F0-9AB9-141FE6EB8E6D}">
      <dgm:prSet phldrT="[Text]"/>
      <dgm:spPr/>
      <dgm:t>
        <a:bodyPr/>
        <a:lstStyle/>
        <a:p>
          <a:r>
            <a:rPr lang="en-US"/>
            <a:t>Population</a:t>
          </a:r>
          <a:br>
            <a:rPr lang="en-US"/>
          </a:br>
          <a:r>
            <a:rPr lang="en-US"/>
            <a:t>(NY City)</a:t>
          </a:r>
        </a:p>
      </dgm:t>
    </dgm:pt>
    <dgm:pt modelId="{F5579A2B-EF0B-49E8-B4D3-EB82377E3D11}" type="parTrans" cxnId="{E58B8650-5013-44AF-872C-1C07FAB4FF62}">
      <dgm:prSet/>
      <dgm:spPr/>
      <dgm:t>
        <a:bodyPr/>
        <a:lstStyle/>
        <a:p>
          <a:endParaRPr lang="en-US"/>
        </a:p>
      </dgm:t>
    </dgm:pt>
    <dgm:pt modelId="{C367E215-201D-43A9-AFBC-4941392A028C}" type="sibTrans" cxnId="{E58B8650-5013-44AF-872C-1C07FAB4FF62}">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dgm:spPr>
      <dgm:t>
        <a:bodyPr/>
        <a:lstStyle/>
        <a:p>
          <a:endParaRPr lang="en-US"/>
        </a:p>
      </dgm:t>
      <dgm:extLst>
        <a:ext uri="{E40237B7-FDA0-4F09-8148-C483321AD2D9}">
          <dgm14:cNvPr xmlns:dgm14="http://schemas.microsoft.com/office/drawing/2010/diagram" id="0" name="" descr="Crowd of people on a street"/>
        </a:ext>
      </dgm:extLst>
    </dgm:pt>
    <dgm:pt modelId="{64AB3EA6-F121-4B10-B771-C0C3F2E7B724}">
      <dgm:prSet phldrT="[Text]"/>
      <dgm:spPr/>
      <dgm:t>
        <a:bodyPr/>
        <a:lstStyle/>
        <a:p>
          <a:r>
            <a:rPr lang="en-US"/>
            <a:t>Sampling Frame</a:t>
          </a:r>
          <a:br>
            <a:rPr lang="en-US"/>
          </a:br>
          <a:r>
            <a:rPr lang="en-US"/>
            <a:t>(Chamber List)</a:t>
          </a:r>
        </a:p>
      </dgm:t>
    </dgm:pt>
    <dgm:pt modelId="{8C7319C4-7C80-4EFC-84A9-5B2D7CDEA420}" type="parTrans" cxnId="{E9698B88-005F-444E-984E-EF25B170EA5E}">
      <dgm:prSet/>
      <dgm:spPr/>
      <dgm:t>
        <a:bodyPr/>
        <a:lstStyle/>
        <a:p>
          <a:endParaRPr lang="en-US"/>
        </a:p>
      </dgm:t>
    </dgm:pt>
    <dgm:pt modelId="{3181164D-10D5-48F9-80E4-8B5F48C8CD77}" type="sibTrans" cxnId="{E9698B88-005F-444E-984E-EF25B170EA5E}">
      <dgm:prSet/>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dgm:spPr>
      <dgm:t>
        <a:bodyPr/>
        <a:lstStyle/>
        <a:p>
          <a:endParaRPr lang="en-US"/>
        </a:p>
      </dgm:t>
      <dgm:extLst>
        <a:ext uri="{E40237B7-FDA0-4F09-8148-C483321AD2D9}">
          <dgm14:cNvPr xmlns:dgm14="http://schemas.microsoft.com/office/drawing/2010/diagram" id="0" name="" descr="Young traveler in busy city"/>
        </a:ext>
      </dgm:extLst>
    </dgm:pt>
    <dgm:pt modelId="{4E476CE6-A4A0-4632-BF22-9A88EF5EFB6A}">
      <dgm:prSet phldrT="[Text]"/>
      <dgm:spPr/>
      <dgm:t>
        <a:bodyPr/>
        <a:lstStyle/>
        <a:p>
          <a:r>
            <a:rPr lang="en-US"/>
            <a:t>Sample</a:t>
          </a:r>
          <a:br>
            <a:rPr lang="en-US"/>
          </a:br>
          <a:r>
            <a:rPr lang="en-US"/>
            <a:t>(Every 10th Name)</a:t>
          </a:r>
        </a:p>
      </dgm:t>
    </dgm:pt>
    <dgm:pt modelId="{C58A4EBA-4C6B-4B85-AC3B-54597BE77FBF}" type="parTrans" cxnId="{50C9EA21-5DF6-4EDE-BF07-B9F9113C3F4F}">
      <dgm:prSet/>
      <dgm:spPr/>
      <dgm:t>
        <a:bodyPr/>
        <a:lstStyle/>
        <a:p>
          <a:endParaRPr lang="en-US"/>
        </a:p>
      </dgm:t>
    </dgm:pt>
    <dgm:pt modelId="{F27CAB39-0D7D-45A6-ABFD-F8E44230D9CF}" type="sibTrans" cxnId="{50C9EA21-5DF6-4EDE-BF07-B9F9113C3F4F}">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t>
        <a:bodyPr/>
        <a:lstStyle/>
        <a:p>
          <a:endParaRPr lang="en-US"/>
        </a:p>
      </dgm:t>
      <dgm:extLst>
        <a:ext uri="{E40237B7-FDA0-4F09-8148-C483321AD2D9}">
          <dgm14:cNvPr xmlns:dgm14="http://schemas.microsoft.com/office/drawing/2010/diagram" id="0" name="" descr="Woman in a crowd"/>
        </a:ext>
      </dgm:extLst>
    </dgm:pt>
    <dgm:pt modelId="{0F117682-341A-4A77-A5FF-28EAF4AC54F1}" type="pres">
      <dgm:prSet presAssocID="{1A8BDC46-FD5A-4128-8C10-1E2E6A27F982}" presName="Name0" presStyleCnt="0">
        <dgm:presLayoutVars>
          <dgm:chMax val="7"/>
          <dgm:chPref val="7"/>
          <dgm:dir/>
        </dgm:presLayoutVars>
      </dgm:prSet>
      <dgm:spPr/>
    </dgm:pt>
    <dgm:pt modelId="{332B24E0-BB34-4FE8-BD69-68CD9E25E978}" type="pres">
      <dgm:prSet presAssocID="{1A8BDC46-FD5A-4128-8C10-1E2E6A27F982}" presName="dot1" presStyleLbl="alignNode1" presStyleIdx="0" presStyleCnt="12"/>
      <dgm:spPr/>
    </dgm:pt>
    <dgm:pt modelId="{29D5698B-6556-487B-B46E-95AC8B7B56ED}" type="pres">
      <dgm:prSet presAssocID="{1A8BDC46-FD5A-4128-8C10-1E2E6A27F982}" presName="dot2" presStyleLbl="alignNode1" presStyleIdx="1" presStyleCnt="12"/>
      <dgm:spPr/>
    </dgm:pt>
    <dgm:pt modelId="{96C861CD-10D9-44CC-927E-9CA8782378E3}" type="pres">
      <dgm:prSet presAssocID="{1A8BDC46-FD5A-4128-8C10-1E2E6A27F982}" presName="dot3" presStyleLbl="alignNode1" presStyleIdx="2" presStyleCnt="12"/>
      <dgm:spPr/>
    </dgm:pt>
    <dgm:pt modelId="{D21CE310-F367-4E5D-B115-A33A8644C0E5}" type="pres">
      <dgm:prSet presAssocID="{1A8BDC46-FD5A-4128-8C10-1E2E6A27F982}" presName="dot4" presStyleLbl="alignNode1" presStyleIdx="3" presStyleCnt="12"/>
      <dgm:spPr/>
    </dgm:pt>
    <dgm:pt modelId="{56A88C7B-9497-4CB8-8A04-9E2A3B368491}" type="pres">
      <dgm:prSet presAssocID="{1A8BDC46-FD5A-4128-8C10-1E2E6A27F982}" presName="dot5" presStyleLbl="alignNode1" presStyleIdx="4" presStyleCnt="12"/>
      <dgm:spPr/>
    </dgm:pt>
    <dgm:pt modelId="{C562B695-5D12-45C8-BE62-9251A3373C9F}" type="pres">
      <dgm:prSet presAssocID="{1A8BDC46-FD5A-4128-8C10-1E2E6A27F982}" presName="dotArrow1" presStyleLbl="alignNode1" presStyleIdx="5" presStyleCnt="12"/>
      <dgm:spPr/>
    </dgm:pt>
    <dgm:pt modelId="{98D97B0E-9E0A-4DE1-A5EF-05DE8A00BB9A}" type="pres">
      <dgm:prSet presAssocID="{1A8BDC46-FD5A-4128-8C10-1E2E6A27F982}" presName="dotArrow2" presStyleLbl="alignNode1" presStyleIdx="6" presStyleCnt="12"/>
      <dgm:spPr/>
    </dgm:pt>
    <dgm:pt modelId="{B3BDD20E-887B-4505-B9EA-D2241BCFB819}" type="pres">
      <dgm:prSet presAssocID="{1A8BDC46-FD5A-4128-8C10-1E2E6A27F982}" presName="dotArrow3" presStyleLbl="alignNode1" presStyleIdx="7" presStyleCnt="12"/>
      <dgm:spPr/>
    </dgm:pt>
    <dgm:pt modelId="{3A746190-B37F-4F08-85B5-763DD8B12FEC}" type="pres">
      <dgm:prSet presAssocID="{1A8BDC46-FD5A-4128-8C10-1E2E6A27F982}" presName="dotArrow4" presStyleLbl="alignNode1" presStyleIdx="8" presStyleCnt="12"/>
      <dgm:spPr/>
    </dgm:pt>
    <dgm:pt modelId="{90B3B0E1-D0EA-48DA-A18B-636A90A2FCCB}" type="pres">
      <dgm:prSet presAssocID="{1A8BDC46-FD5A-4128-8C10-1E2E6A27F982}" presName="dotArrow5" presStyleLbl="alignNode1" presStyleIdx="9" presStyleCnt="12"/>
      <dgm:spPr/>
    </dgm:pt>
    <dgm:pt modelId="{FF3EB655-7137-4147-9F6C-AF62E9703655}" type="pres">
      <dgm:prSet presAssocID="{1A8BDC46-FD5A-4128-8C10-1E2E6A27F982}" presName="dotArrow6" presStyleLbl="alignNode1" presStyleIdx="10" presStyleCnt="12"/>
      <dgm:spPr/>
    </dgm:pt>
    <dgm:pt modelId="{B0ED4C1F-3CBE-4029-B8A4-6519A0F3E229}" type="pres">
      <dgm:prSet presAssocID="{1A8BDC46-FD5A-4128-8C10-1E2E6A27F982}" presName="dotArrow7" presStyleLbl="alignNode1" presStyleIdx="11" presStyleCnt="12"/>
      <dgm:spPr/>
    </dgm:pt>
    <dgm:pt modelId="{30A00A2E-B5D3-4B4D-B87E-82F2E49FBE7D}" type="pres">
      <dgm:prSet presAssocID="{58C081D2-C42A-40F0-9AB9-141FE6EB8E6D}" presName="parTx1" presStyleLbl="node1" presStyleIdx="0" presStyleCnt="3"/>
      <dgm:spPr/>
    </dgm:pt>
    <dgm:pt modelId="{AE83E53D-19E6-466F-A4CB-785A356366DC}" type="pres">
      <dgm:prSet presAssocID="{C367E215-201D-43A9-AFBC-4941392A028C}" presName="picture1" presStyleCnt="0"/>
      <dgm:spPr/>
    </dgm:pt>
    <dgm:pt modelId="{89A9F24C-AEDA-484F-9991-16A55F0C0278}" type="pres">
      <dgm:prSet presAssocID="{C367E215-201D-43A9-AFBC-4941392A028C}" presName="imageRepeatNode" presStyleLbl="fgImgPlace1" presStyleIdx="0" presStyleCnt="3"/>
      <dgm:spPr/>
    </dgm:pt>
    <dgm:pt modelId="{346966ED-2FC8-4ACB-B768-ABF4B3D5CA2F}" type="pres">
      <dgm:prSet presAssocID="{64AB3EA6-F121-4B10-B771-C0C3F2E7B724}" presName="parTx2" presStyleLbl="node1" presStyleIdx="1" presStyleCnt="3"/>
      <dgm:spPr/>
    </dgm:pt>
    <dgm:pt modelId="{C163F53B-DD04-4D7F-92DE-0A28FE8F227A}" type="pres">
      <dgm:prSet presAssocID="{3181164D-10D5-48F9-80E4-8B5F48C8CD77}" presName="picture2" presStyleCnt="0"/>
      <dgm:spPr/>
    </dgm:pt>
    <dgm:pt modelId="{B7F57119-A65E-448F-9189-9A42476A324E}" type="pres">
      <dgm:prSet presAssocID="{3181164D-10D5-48F9-80E4-8B5F48C8CD77}" presName="imageRepeatNode" presStyleLbl="fgImgPlace1" presStyleIdx="1" presStyleCnt="3"/>
      <dgm:spPr/>
    </dgm:pt>
    <dgm:pt modelId="{AC9810F0-1472-42BF-AFBB-119DE81464E6}" type="pres">
      <dgm:prSet presAssocID="{4E476CE6-A4A0-4632-BF22-9A88EF5EFB6A}" presName="parTx3" presStyleLbl="node1" presStyleIdx="2" presStyleCnt="3"/>
      <dgm:spPr/>
    </dgm:pt>
    <dgm:pt modelId="{09699250-884A-4CAF-86C3-070F8C53AC70}" type="pres">
      <dgm:prSet presAssocID="{F27CAB39-0D7D-45A6-ABFD-F8E44230D9CF}" presName="picture3" presStyleCnt="0"/>
      <dgm:spPr/>
    </dgm:pt>
    <dgm:pt modelId="{BCB731B9-8246-4A80-B3E8-5C3C658BC6D6}" type="pres">
      <dgm:prSet presAssocID="{F27CAB39-0D7D-45A6-ABFD-F8E44230D9CF}" presName="imageRepeatNode" presStyleLbl="fgImgPlace1" presStyleIdx="2" presStyleCnt="3"/>
      <dgm:spPr/>
    </dgm:pt>
  </dgm:ptLst>
  <dgm:cxnLst>
    <dgm:cxn modelId="{E03B3A0F-7191-4AA7-9BBF-1C75B917497A}" type="presOf" srcId="{F27CAB39-0D7D-45A6-ABFD-F8E44230D9CF}" destId="{BCB731B9-8246-4A80-B3E8-5C3C658BC6D6}" srcOrd="0" destOrd="0" presId="urn:microsoft.com/office/officeart/2008/layout/AscendingPictureAccentProcess"/>
    <dgm:cxn modelId="{50C9EA21-5DF6-4EDE-BF07-B9F9113C3F4F}" srcId="{1A8BDC46-FD5A-4128-8C10-1E2E6A27F982}" destId="{4E476CE6-A4A0-4632-BF22-9A88EF5EFB6A}" srcOrd="2" destOrd="0" parTransId="{C58A4EBA-4C6B-4B85-AC3B-54597BE77FBF}" sibTransId="{F27CAB39-0D7D-45A6-ABFD-F8E44230D9CF}"/>
    <dgm:cxn modelId="{2A7BF336-1A17-4051-A6DC-2ACE5ED3D828}" type="presOf" srcId="{64AB3EA6-F121-4B10-B771-C0C3F2E7B724}" destId="{346966ED-2FC8-4ACB-B768-ABF4B3D5CA2F}" srcOrd="0" destOrd="0" presId="urn:microsoft.com/office/officeart/2008/layout/AscendingPictureAccentProcess"/>
    <dgm:cxn modelId="{4E235168-ECA5-4107-8C2E-69C25C0E6156}" type="presOf" srcId="{58C081D2-C42A-40F0-9AB9-141FE6EB8E6D}" destId="{30A00A2E-B5D3-4B4D-B87E-82F2E49FBE7D}" srcOrd="0" destOrd="0" presId="urn:microsoft.com/office/officeart/2008/layout/AscendingPictureAccentProcess"/>
    <dgm:cxn modelId="{E58B8650-5013-44AF-872C-1C07FAB4FF62}" srcId="{1A8BDC46-FD5A-4128-8C10-1E2E6A27F982}" destId="{58C081D2-C42A-40F0-9AB9-141FE6EB8E6D}" srcOrd="0" destOrd="0" parTransId="{F5579A2B-EF0B-49E8-B4D3-EB82377E3D11}" sibTransId="{C367E215-201D-43A9-AFBC-4941392A028C}"/>
    <dgm:cxn modelId="{53734655-B5EA-4B0E-BE27-294046ABA8B6}" type="presOf" srcId="{3181164D-10D5-48F9-80E4-8B5F48C8CD77}" destId="{B7F57119-A65E-448F-9189-9A42476A324E}" srcOrd="0" destOrd="0" presId="urn:microsoft.com/office/officeart/2008/layout/AscendingPictureAccentProcess"/>
    <dgm:cxn modelId="{E9698B88-005F-444E-984E-EF25B170EA5E}" srcId="{1A8BDC46-FD5A-4128-8C10-1E2E6A27F982}" destId="{64AB3EA6-F121-4B10-B771-C0C3F2E7B724}" srcOrd="1" destOrd="0" parTransId="{8C7319C4-7C80-4EFC-84A9-5B2D7CDEA420}" sibTransId="{3181164D-10D5-48F9-80E4-8B5F48C8CD77}"/>
    <dgm:cxn modelId="{C39ABF99-23BF-4BC0-A9A6-7118D974E31D}" type="presOf" srcId="{C367E215-201D-43A9-AFBC-4941392A028C}" destId="{89A9F24C-AEDA-484F-9991-16A55F0C0278}" srcOrd="0" destOrd="0" presId="urn:microsoft.com/office/officeart/2008/layout/AscendingPictureAccentProcess"/>
    <dgm:cxn modelId="{253A9BC6-CDDE-46E4-BBA1-D1CA24FDC97D}" type="presOf" srcId="{4E476CE6-A4A0-4632-BF22-9A88EF5EFB6A}" destId="{AC9810F0-1472-42BF-AFBB-119DE81464E6}" srcOrd="0" destOrd="0" presId="urn:microsoft.com/office/officeart/2008/layout/AscendingPictureAccentProcess"/>
    <dgm:cxn modelId="{489EC5FE-7A06-4BDF-B578-8D240C28397D}" type="presOf" srcId="{1A8BDC46-FD5A-4128-8C10-1E2E6A27F982}" destId="{0F117682-341A-4A77-A5FF-28EAF4AC54F1}" srcOrd="0" destOrd="0" presId="urn:microsoft.com/office/officeart/2008/layout/AscendingPictureAccentProcess"/>
    <dgm:cxn modelId="{78BF8EF8-AD74-4072-BEAD-6F80EEE911B2}" type="presParOf" srcId="{0F117682-341A-4A77-A5FF-28EAF4AC54F1}" destId="{332B24E0-BB34-4FE8-BD69-68CD9E25E978}" srcOrd="0" destOrd="0" presId="urn:microsoft.com/office/officeart/2008/layout/AscendingPictureAccentProcess"/>
    <dgm:cxn modelId="{005C68BC-E5AC-4A10-BB32-9D4DADD1416B}" type="presParOf" srcId="{0F117682-341A-4A77-A5FF-28EAF4AC54F1}" destId="{29D5698B-6556-487B-B46E-95AC8B7B56ED}" srcOrd="1" destOrd="0" presId="urn:microsoft.com/office/officeart/2008/layout/AscendingPictureAccentProcess"/>
    <dgm:cxn modelId="{810C69DE-959F-4371-8AA8-958E6F291C4B}" type="presParOf" srcId="{0F117682-341A-4A77-A5FF-28EAF4AC54F1}" destId="{96C861CD-10D9-44CC-927E-9CA8782378E3}" srcOrd="2" destOrd="0" presId="urn:microsoft.com/office/officeart/2008/layout/AscendingPictureAccentProcess"/>
    <dgm:cxn modelId="{75763151-A492-4360-9793-736BB9FE9DB3}" type="presParOf" srcId="{0F117682-341A-4A77-A5FF-28EAF4AC54F1}" destId="{D21CE310-F367-4E5D-B115-A33A8644C0E5}" srcOrd="3" destOrd="0" presId="urn:microsoft.com/office/officeart/2008/layout/AscendingPictureAccentProcess"/>
    <dgm:cxn modelId="{28C746FA-F68C-4CE8-B54A-FCC70455E01C}" type="presParOf" srcId="{0F117682-341A-4A77-A5FF-28EAF4AC54F1}" destId="{56A88C7B-9497-4CB8-8A04-9E2A3B368491}" srcOrd="4" destOrd="0" presId="urn:microsoft.com/office/officeart/2008/layout/AscendingPictureAccentProcess"/>
    <dgm:cxn modelId="{B2D2DA4D-5847-4FD6-B440-6126272AF2BD}" type="presParOf" srcId="{0F117682-341A-4A77-A5FF-28EAF4AC54F1}" destId="{C562B695-5D12-45C8-BE62-9251A3373C9F}" srcOrd="5" destOrd="0" presId="urn:microsoft.com/office/officeart/2008/layout/AscendingPictureAccentProcess"/>
    <dgm:cxn modelId="{A637C9E4-ADDD-4EBB-88CD-026751D4A243}" type="presParOf" srcId="{0F117682-341A-4A77-A5FF-28EAF4AC54F1}" destId="{98D97B0E-9E0A-4DE1-A5EF-05DE8A00BB9A}" srcOrd="6" destOrd="0" presId="urn:microsoft.com/office/officeart/2008/layout/AscendingPictureAccentProcess"/>
    <dgm:cxn modelId="{FC363B34-F114-4DFC-9B3F-F0858E5D268B}" type="presParOf" srcId="{0F117682-341A-4A77-A5FF-28EAF4AC54F1}" destId="{B3BDD20E-887B-4505-B9EA-D2241BCFB819}" srcOrd="7" destOrd="0" presId="urn:microsoft.com/office/officeart/2008/layout/AscendingPictureAccentProcess"/>
    <dgm:cxn modelId="{3E468FDF-36F3-4A27-A959-8345C251643B}" type="presParOf" srcId="{0F117682-341A-4A77-A5FF-28EAF4AC54F1}" destId="{3A746190-B37F-4F08-85B5-763DD8B12FEC}" srcOrd="8" destOrd="0" presId="urn:microsoft.com/office/officeart/2008/layout/AscendingPictureAccentProcess"/>
    <dgm:cxn modelId="{739D66C1-C613-4F33-B71C-192AEC458B0C}" type="presParOf" srcId="{0F117682-341A-4A77-A5FF-28EAF4AC54F1}" destId="{90B3B0E1-D0EA-48DA-A18B-636A90A2FCCB}" srcOrd="9" destOrd="0" presId="urn:microsoft.com/office/officeart/2008/layout/AscendingPictureAccentProcess"/>
    <dgm:cxn modelId="{939F046D-127D-4196-A012-A8FA1F4EC7A9}" type="presParOf" srcId="{0F117682-341A-4A77-A5FF-28EAF4AC54F1}" destId="{FF3EB655-7137-4147-9F6C-AF62E9703655}" srcOrd="10" destOrd="0" presId="urn:microsoft.com/office/officeart/2008/layout/AscendingPictureAccentProcess"/>
    <dgm:cxn modelId="{57D80872-CF32-4400-B0C3-E5168D5280C2}" type="presParOf" srcId="{0F117682-341A-4A77-A5FF-28EAF4AC54F1}" destId="{B0ED4C1F-3CBE-4029-B8A4-6519A0F3E229}" srcOrd="11" destOrd="0" presId="urn:microsoft.com/office/officeart/2008/layout/AscendingPictureAccentProcess"/>
    <dgm:cxn modelId="{2E5B11C4-4935-495E-B14A-5DF3B94AF40B}" type="presParOf" srcId="{0F117682-341A-4A77-A5FF-28EAF4AC54F1}" destId="{30A00A2E-B5D3-4B4D-B87E-82F2E49FBE7D}" srcOrd="12" destOrd="0" presId="urn:microsoft.com/office/officeart/2008/layout/AscendingPictureAccentProcess"/>
    <dgm:cxn modelId="{27FD5DE8-41FD-4ED8-B4B1-9E0F5DA20B72}" type="presParOf" srcId="{0F117682-341A-4A77-A5FF-28EAF4AC54F1}" destId="{AE83E53D-19E6-466F-A4CB-785A356366DC}" srcOrd="13" destOrd="0" presId="urn:microsoft.com/office/officeart/2008/layout/AscendingPictureAccentProcess"/>
    <dgm:cxn modelId="{4F02589E-CAAE-4736-984A-40B55E83F422}" type="presParOf" srcId="{AE83E53D-19E6-466F-A4CB-785A356366DC}" destId="{89A9F24C-AEDA-484F-9991-16A55F0C0278}" srcOrd="0" destOrd="0" presId="urn:microsoft.com/office/officeart/2008/layout/AscendingPictureAccentProcess"/>
    <dgm:cxn modelId="{23F12A20-C117-4C50-BA8E-6D351954846F}" type="presParOf" srcId="{0F117682-341A-4A77-A5FF-28EAF4AC54F1}" destId="{346966ED-2FC8-4ACB-B768-ABF4B3D5CA2F}" srcOrd="14" destOrd="0" presId="urn:microsoft.com/office/officeart/2008/layout/AscendingPictureAccentProcess"/>
    <dgm:cxn modelId="{EA4C0AFA-8F3E-4729-BCB2-F9CC24122EF8}" type="presParOf" srcId="{0F117682-341A-4A77-A5FF-28EAF4AC54F1}" destId="{C163F53B-DD04-4D7F-92DE-0A28FE8F227A}" srcOrd="15" destOrd="0" presId="urn:microsoft.com/office/officeart/2008/layout/AscendingPictureAccentProcess"/>
    <dgm:cxn modelId="{48956C4A-22F0-415B-A702-A936BCD988E3}" type="presParOf" srcId="{C163F53B-DD04-4D7F-92DE-0A28FE8F227A}" destId="{B7F57119-A65E-448F-9189-9A42476A324E}" srcOrd="0" destOrd="0" presId="urn:microsoft.com/office/officeart/2008/layout/AscendingPictureAccentProcess"/>
    <dgm:cxn modelId="{7AF9428A-FE24-4AD7-BE81-B169C00DD508}" type="presParOf" srcId="{0F117682-341A-4A77-A5FF-28EAF4AC54F1}" destId="{AC9810F0-1472-42BF-AFBB-119DE81464E6}" srcOrd="16" destOrd="0" presId="urn:microsoft.com/office/officeart/2008/layout/AscendingPictureAccentProcess"/>
    <dgm:cxn modelId="{5CD10A25-4627-4FE2-8C47-2E3C310F1D15}" type="presParOf" srcId="{0F117682-341A-4A77-A5FF-28EAF4AC54F1}" destId="{09699250-884A-4CAF-86C3-070F8C53AC70}" srcOrd="17" destOrd="0" presId="urn:microsoft.com/office/officeart/2008/layout/AscendingPictureAccentProcess"/>
    <dgm:cxn modelId="{4748EBA8-7B1F-4842-90D1-17854AC35689}" type="presParOf" srcId="{09699250-884A-4CAF-86C3-070F8C53AC70}" destId="{BCB731B9-8246-4A80-B3E8-5C3C658BC6D6}" srcOrd="0" destOrd="0" presId="urn:microsoft.com/office/officeart/2008/layout/AscendingPictureAccentProcess"/>
  </dgm:cxnLst>
  <dgm:bg/>
  <dgm:whole/>
  <dgm:extLst>
    <a:ext uri="http://schemas.microsoft.com/office/drawing/2008/diagram">
      <dsp:dataModelExt xmlns:dsp="http://schemas.microsoft.com/office/drawing/2008/diagram" relId="rId211"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E96832C9-B470-4705-8687-FB73BB2277E2}" type="doc">
      <dgm:prSet loTypeId="urn:microsoft.com/office/officeart/2009/3/layout/PlusandMinus" loCatId="relationship" qsTypeId="urn:microsoft.com/office/officeart/2005/8/quickstyle/simple1" qsCatId="simple" csTypeId="urn:microsoft.com/office/officeart/2005/8/colors/colorful5" csCatId="colorful" phldr="1"/>
      <dgm:spPr/>
      <dgm:t>
        <a:bodyPr/>
        <a:lstStyle/>
        <a:p>
          <a:endParaRPr lang="en-US"/>
        </a:p>
      </dgm:t>
    </dgm:pt>
    <dgm:pt modelId="{3539A548-50A7-4A61-99C4-2492925D966F}">
      <dgm:prSet phldrT="[Text]"/>
      <dgm:spPr/>
      <dgm:t>
        <a:bodyPr/>
        <a:lstStyle/>
        <a:p>
          <a:r>
            <a:rPr lang="en-US"/>
            <a:t>Strengths</a:t>
          </a:r>
        </a:p>
      </dgm:t>
    </dgm:pt>
    <dgm:pt modelId="{96946923-1F4F-43DE-925E-9420AFD85E54}" type="parTrans" cxnId="{CFD31BAF-B7BF-445B-AB51-A8B9D442CB1E}">
      <dgm:prSet/>
      <dgm:spPr/>
      <dgm:t>
        <a:bodyPr/>
        <a:lstStyle/>
        <a:p>
          <a:endParaRPr lang="en-US"/>
        </a:p>
      </dgm:t>
    </dgm:pt>
    <dgm:pt modelId="{C8D3ECD8-77DE-4437-A2C6-17A5976C7874}" type="sibTrans" cxnId="{CFD31BAF-B7BF-445B-AB51-A8B9D442CB1E}">
      <dgm:prSet/>
      <dgm:spPr/>
      <dgm:t>
        <a:bodyPr/>
        <a:lstStyle/>
        <a:p>
          <a:endParaRPr lang="en-US"/>
        </a:p>
      </dgm:t>
    </dgm:pt>
    <dgm:pt modelId="{705D9E7D-5CA0-4AC2-8F22-897C9FCB63B2}">
      <dgm:prSet phldrT="[Text]"/>
      <dgm:spPr/>
      <dgm:t>
        <a:bodyPr/>
        <a:lstStyle/>
        <a:p>
          <a:r>
            <a:rPr lang="en-US"/>
            <a:t>Weaknesses</a:t>
          </a:r>
        </a:p>
      </dgm:t>
    </dgm:pt>
    <dgm:pt modelId="{E0F48D29-1929-427B-97EA-2BA935779514}" type="parTrans" cxnId="{F56E3FBA-4669-4E41-ADBE-8638EEDEBFA0}">
      <dgm:prSet/>
      <dgm:spPr/>
      <dgm:t>
        <a:bodyPr/>
        <a:lstStyle/>
        <a:p>
          <a:endParaRPr lang="en-US"/>
        </a:p>
      </dgm:t>
    </dgm:pt>
    <dgm:pt modelId="{C9E2F2CB-1C65-4DC7-B439-14F1C85F2770}" type="sibTrans" cxnId="{F56E3FBA-4669-4E41-ADBE-8638EEDEBFA0}">
      <dgm:prSet/>
      <dgm:spPr/>
      <dgm:t>
        <a:bodyPr/>
        <a:lstStyle/>
        <a:p>
          <a:endParaRPr lang="en-US"/>
        </a:p>
      </dgm:t>
    </dgm:pt>
    <dgm:pt modelId="{2A569E17-2C1F-4A3A-89FD-7267FE3DB6F3}">
      <dgm:prSet phldrT="[Text]"/>
      <dgm:spPr/>
      <dgm:t>
        <a:bodyPr/>
        <a:lstStyle/>
        <a:p>
          <a:r>
            <a:rPr lang="en-US"/>
            <a:t>Measures unobserved data</a:t>
          </a:r>
        </a:p>
      </dgm:t>
    </dgm:pt>
    <dgm:pt modelId="{C984F747-8150-43B6-913D-E0E6940EEC93}" type="parTrans" cxnId="{968C5042-54A1-409E-B44F-CC9F85BC6342}">
      <dgm:prSet/>
      <dgm:spPr/>
      <dgm:t>
        <a:bodyPr/>
        <a:lstStyle/>
        <a:p>
          <a:endParaRPr lang="en-US"/>
        </a:p>
      </dgm:t>
    </dgm:pt>
    <dgm:pt modelId="{99DC0E2D-D3F0-4B24-BB7C-8407584593DE}" type="sibTrans" cxnId="{968C5042-54A1-409E-B44F-CC9F85BC6342}">
      <dgm:prSet/>
      <dgm:spPr/>
      <dgm:t>
        <a:bodyPr/>
        <a:lstStyle/>
        <a:p>
          <a:endParaRPr lang="en-US"/>
        </a:p>
      </dgm:t>
    </dgm:pt>
    <dgm:pt modelId="{7A9021E0-D5EC-4F4A-833E-43FFDE46EE25}">
      <dgm:prSet phldrT="[Text]"/>
      <dgm:spPr/>
      <dgm:t>
        <a:bodyPr/>
        <a:lstStyle/>
        <a:p>
          <a:r>
            <a:rPr lang="en-US"/>
            <a:t>Remote data collection</a:t>
          </a:r>
        </a:p>
      </dgm:t>
    </dgm:pt>
    <dgm:pt modelId="{03110B77-FBB8-40C3-A1DB-8F346D884631}" type="parTrans" cxnId="{B7A6F174-A205-4F3C-BD74-961C3D66AD9E}">
      <dgm:prSet/>
      <dgm:spPr/>
      <dgm:t>
        <a:bodyPr/>
        <a:lstStyle/>
        <a:p>
          <a:endParaRPr lang="en-US"/>
        </a:p>
      </dgm:t>
    </dgm:pt>
    <dgm:pt modelId="{D35FDFAB-16AD-4162-9DAE-A195BD1204B6}" type="sibTrans" cxnId="{B7A6F174-A205-4F3C-BD74-961C3D66AD9E}">
      <dgm:prSet/>
      <dgm:spPr/>
      <dgm:t>
        <a:bodyPr/>
        <a:lstStyle/>
        <a:p>
          <a:endParaRPr lang="en-US"/>
        </a:p>
      </dgm:t>
    </dgm:pt>
    <dgm:pt modelId="{07179F40-44A2-457E-A253-CE444A3E0E97}">
      <dgm:prSet phldrT="[Text]"/>
      <dgm:spPr/>
      <dgm:t>
        <a:bodyPr/>
        <a:lstStyle/>
        <a:p>
          <a:r>
            <a:rPr lang="en-US"/>
            <a:t>Results generalizable</a:t>
          </a:r>
        </a:p>
      </dgm:t>
    </dgm:pt>
    <dgm:pt modelId="{F9FBE2A2-F6DA-436B-A8D0-02E2FCDA67CE}" type="parTrans" cxnId="{5DABE0A4-6E2F-4D65-806F-E074F0D2132A}">
      <dgm:prSet/>
      <dgm:spPr/>
      <dgm:t>
        <a:bodyPr/>
        <a:lstStyle/>
        <a:p>
          <a:endParaRPr lang="en-US"/>
        </a:p>
      </dgm:t>
    </dgm:pt>
    <dgm:pt modelId="{B67B80B7-5D2C-4855-8D26-02500891D700}" type="sibTrans" cxnId="{5DABE0A4-6E2F-4D65-806F-E074F0D2132A}">
      <dgm:prSet/>
      <dgm:spPr/>
      <dgm:t>
        <a:bodyPr/>
        <a:lstStyle/>
        <a:p>
          <a:endParaRPr lang="en-US"/>
        </a:p>
      </dgm:t>
    </dgm:pt>
    <dgm:pt modelId="{9CF88BB9-53CB-403F-8E93-EEF44548B2DC}">
      <dgm:prSet phldrT="[Text]"/>
      <dgm:spPr/>
      <dgm:t>
        <a:bodyPr/>
        <a:lstStyle/>
        <a:p>
          <a:r>
            <a:rPr lang="en-US"/>
            <a:t>Can detect minor effects</a:t>
          </a:r>
        </a:p>
      </dgm:t>
    </dgm:pt>
    <dgm:pt modelId="{9514931B-5ED0-4E20-9F2A-B35282C10431}" type="parTrans" cxnId="{C98AF521-ED48-452D-B870-C6F9ED43C808}">
      <dgm:prSet/>
      <dgm:spPr/>
      <dgm:t>
        <a:bodyPr/>
        <a:lstStyle/>
        <a:p>
          <a:endParaRPr lang="en-US"/>
        </a:p>
      </dgm:t>
    </dgm:pt>
    <dgm:pt modelId="{52513CB2-6512-4500-AD36-C85B5DD2D3F6}" type="sibTrans" cxnId="{C98AF521-ED48-452D-B870-C6F9ED43C808}">
      <dgm:prSet/>
      <dgm:spPr/>
      <dgm:t>
        <a:bodyPr/>
        <a:lstStyle/>
        <a:p>
          <a:endParaRPr lang="en-US"/>
        </a:p>
      </dgm:t>
    </dgm:pt>
    <dgm:pt modelId="{E35D2A25-D649-42D3-A5A5-6730A793D2E0}">
      <dgm:prSet phldrT="[Text]"/>
      <dgm:spPr/>
      <dgm:t>
        <a:bodyPr/>
        <a:lstStyle/>
        <a:p>
          <a:r>
            <a:rPr lang="en-US"/>
            <a:t>Economical in time and cost</a:t>
          </a:r>
        </a:p>
      </dgm:t>
    </dgm:pt>
    <dgm:pt modelId="{2BC6D08D-65CF-418F-9988-B149BC999FD5}" type="parTrans" cxnId="{6E6EEAD4-D106-4D8B-A615-C258B38C6B7F}">
      <dgm:prSet/>
      <dgm:spPr/>
      <dgm:t>
        <a:bodyPr/>
        <a:lstStyle/>
        <a:p>
          <a:endParaRPr lang="en-US"/>
        </a:p>
      </dgm:t>
    </dgm:pt>
    <dgm:pt modelId="{D6A4D601-A8E2-4BDB-BC47-ED0CD9F44104}" type="sibTrans" cxnId="{6E6EEAD4-D106-4D8B-A615-C258B38C6B7F}">
      <dgm:prSet/>
      <dgm:spPr/>
      <dgm:t>
        <a:bodyPr/>
        <a:lstStyle/>
        <a:p>
          <a:endParaRPr lang="en-US"/>
        </a:p>
      </dgm:t>
    </dgm:pt>
    <dgm:pt modelId="{C10D8E87-DB41-44A1-AF8A-EEC784D6F52F}">
      <dgm:prSet phldrT="[Text]"/>
      <dgm:spPr/>
      <dgm:t>
        <a:bodyPr/>
        <a:lstStyle/>
        <a:p>
          <a:r>
            <a:rPr lang="en-US"/>
            <a:t>Subject to many biases</a:t>
          </a:r>
        </a:p>
      </dgm:t>
    </dgm:pt>
    <dgm:pt modelId="{9E19967A-7C93-4268-8CCC-79B1CA8CBA31}" type="parTrans" cxnId="{FF905EDD-AFFC-4FE5-8F38-828A185AC0A2}">
      <dgm:prSet/>
      <dgm:spPr/>
      <dgm:t>
        <a:bodyPr/>
        <a:lstStyle/>
        <a:p>
          <a:endParaRPr lang="en-US"/>
        </a:p>
      </dgm:t>
    </dgm:pt>
    <dgm:pt modelId="{62891657-2421-43C9-93E0-C09046D15498}" type="sibTrans" cxnId="{FF905EDD-AFFC-4FE5-8F38-828A185AC0A2}">
      <dgm:prSet/>
      <dgm:spPr/>
      <dgm:t>
        <a:bodyPr/>
        <a:lstStyle/>
        <a:p>
          <a:endParaRPr lang="en-US"/>
        </a:p>
      </dgm:t>
    </dgm:pt>
    <dgm:pt modelId="{8F99417C-199D-4247-BBF6-68B586E68CDE}">
      <dgm:prSet phldrT="[Text]"/>
      <dgm:spPr/>
      <dgm:t>
        <a:bodyPr/>
        <a:lstStyle/>
        <a:p>
          <a:r>
            <a:rPr lang="en-US"/>
            <a:t>Cannot change instrument during use</a:t>
          </a:r>
        </a:p>
      </dgm:t>
    </dgm:pt>
    <dgm:pt modelId="{4494AE7D-C712-4C78-AE76-F2AB976A5246}" type="parTrans" cxnId="{9E1561D5-E31C-4665-92BF-5F93826E0BBE}">
      <dgm:prSet/>
      <dgm:spPr/>
      <dgm:t>
        <a:bodyPr/>
        <a:lstStyle/>
        <a:p>
          <a:endParaRPr lang="en-US"/>
        </a:p>
      </dgm:t>
    </dgm:pt>
    <dgm:pt modelId="{D5E5D64A-6158-4205-9F7D-D5B15AE07311}" type="sibTrans" cxnId="{9E1561D5-E31C-4665-92BF-5F93826E0BBE}">
      <dgm:prSet/>
      <dgm:spPr/>
      <dgm:t>
        <a:bodyPr/>
        <a:lstStyle/>
        <a:p>
          <a:endParaRPr lang="en-US"/>
        </a:p>
      </dgm:t>
    </dgm:pt>
    <dgm:pt modelId="{31D38711-CD0E-44DF-AAD7-DEEBE1866F8B}">
      <dgm:prSet phldrT="[Text]"/>
      <dgm:spPr/>
      <dgm:t>
        <a:bodyPr/>
        <a:lstStyle/>
        <a:p>
          <a:r>
            <a:rPr lang="en-US"/>
            <a:t>Questions can be tricky to write</a:t>
          </a:r>
        </a:p>
      </dgm:t>
    </dgm:pt>
    <dgm:pt modelId="{E8386888-38E2-4567-B8D5-BD395512F10D}" type="parTrans" cxnId="{3B4328EB-CF2D-4240-BCE0-95C95882027D}">
      <dgm:prSet/>
      <dgm:spPr/>
      <dgm:t>
        <a:bodyPr/>
        <a:lstStyle/>
        <a:p>
          <a:endParaRPr lang="en-US"/>
        </a:p>
      </dgm:t>
    </dgm:pt>
    <dgm:pt modelId="{E8006F41-28B1-470D-9ABF-4332915E27BA}" type="sibTrans" cxnId="{3B4328EB-CF2D-4240-BCE0-95C95882027D}">
      <dgm:prSet/>
      <dgm:spPr/>
      <dgm:t>
        <a:bodyPr/>
        <a:lstStyle/>
        <a:p>
          <a:endParaRPr lang="en-US"/>
        </a:p>
      </dgm:t>
    </dgm:pt>
    <dgm:pt modelId="{63312519-2A1D-4A80-BC75-30B2851B2D7D}">
      <dgm:prSet phldrT="[Text]"/>
      <dgm:spPr/>
      <dgm:t>
        <a:bodyPr/>
        <a:lstStyle/>
        <a:p>
          <a:r>
            <a:rPr lang="en-US"/>
            <a:t>High reliability</a:t>
          </a:r>
        </a:p>
      </dgm:t>
    </dgm:pt>
    <dgm:pt modelId="{8B807C82-2FF6-4926-AA28-3044BA8465B7}" type="parTrans" cxnId="{6D693914-F2EC-4BB1-A71E-D31953B1C2AF}">
      <dgm:prSet/>
      <dgm:spPr/>
      <dgm:t>
        <a:bodyPr/>
        <a:lstStyle/>
        <a:p>
          <a:endParaRPr lang="en-US"/>
        </a:p>
      </dgm:t>
    </dgm:pt>
    <dgm:pt modelId="{25325C32-5BFE-4E4E-B400-ECD56DED92D2}" type="sibTrans" cxnId="{6D693914-F2EC-4BB1-A71E-D31953B1C2AF}">
      <dgm:prSet/>
      <dgm:spPr/>
      <dgm:t>
        <a:bodyPr/>
        <a:lstStyle/>
        <a:p>
          <a:endParaRPr lang="en-US"/>
        </a:p>
      </dgm:t>
    </dgm:pt>
    <dgm:pt modelId="{D35690AD-596A-4064-ADD8-62B760745742}" type="pres">
      <dgm:prSet presAssocID="{E96832C9-B470-4705-8687-FB73BB2277E2}" presName="Name0" presStyleCnt="0">
        <dgm:presLayoutVars>
          <dgm:chMax val="2"/>
          <dgm:chPref val="2"/>
          <dgm:dir/>
          <dgm:animOne/>
          <dgm:resizeHandles val="exact"/>
        </dgm:presLayoutVars>
      </dgm:prSet>
      <dgm:spPr/>
    </dgm:pt>
    <dgm:pt modelId="{B7EB96F7-E19D-49C5-8DF6-82029EF64141}" type="pres">
      <dgm:prSet presAssocID="{E96832C9-B470-4705-8687-FB73BB2277E2}" presName="Background" presStyleLbl="bgImgPlace1" presStyleIdx="0" presStyleCnt="1"/>
      <dgm:spPr/>
    </dgm:pt>
    <dgm:pt modelId="{647856E8-5707-4CE3-A3CD-E1187DBEC7FD}" type="pres">
      <dgm:prSet presAssocID="{E96832C9-B470-4705-8687-FB73BB2277E2}" presName="ParentText1" presStyleLbl="revTx" presStyleIdx="0" presStyleCnt="2">
        <dgm:presLayoutVars>
          <dgm:chMax val="0"/>
          <dgm:chPref val="0"/>
          <dgm:bulletEnabled val="1"/>
        </dgm:presLayoutVars>
      </dgm:prSet>
      <dgm:spPr/>
    </dgm:pt>
    <dgm:pt modelId="{CCF84AA9-C6D3-449E-9EAF-80D8DC564EE4}" type="pres">
      <dgm:prSet presAssocID="{E96832C9-B470-4705-8687-FB73BB2277E2}" presName="ParentText2" presStyleLbl="revTx" presStyleIdx="1" presStyleCnt="2">
        <dgm:presLayoutVars>
          <dgm:chMax val="0"/>
          <dgm:chPref val="0"/>
          <dgm:bulletEnabled val="1"/>
        </dgm:presLayoutVars>
      </dgm:prSet>
      <dgm:spPr/>
    </dgm:pt>
    <dgm:pt modelId="{DA19C505-17D6-4338-BDE2-55F8285A53FD}" type="pres">
      <dgm:prSet presAssocID="{E96832C9-B470-4705-8687-FB73BB2277E2}" presName="Plus" presStyleLbl="alignNode1" presStyleIdx="0" presStyleCnt="2"/>
      <dgm:spPr/>
    </dgm:pt>
    <dgm:pt modelId="{5412EF3E-FF17-4234-8467-915B5CC5E6EB}" type="pres">
      <dgm:prSet presAssocID="{E96832C9-B470-4705-8687-FB73BB2277E2}" presName="Minus" presStyleLbl="alignNode1" presStyleIdx="1" presStyleCnt="2"/>
      <dgm:spPr/>
    </dgm:pt>
    <dgm:pt modelId="{EA4C865D-65A1-412C-843B-0398898BE73F}" type="pres">
      <dgm:prSet presAssocID="{E96832C9-B470-4705-8687-FB73BB2277E2}" presName="Divider" presStyleLbl="parChTrans1D1" presStyleIdx="0" presStyleCnt="1"/>
      <dgm:spPr/>
    </dgm:pt>
  </dgm:ptLst>
  <dgm:cxnLst>
    <dgm:cxn modelId="{3E16B807-D6D6-4383-BA34-BC5933B075A6}" type="presOf" srcId="{63312519-2A1D-4A80-BC75-30B2851B2D7D}" destId="{647856E8-5707-4CE3-A3CD-E1187DBEC7FD}" srcOrd="0" destOrd="4" presId="urn:microsoft.com/office/officeart/2009/3/layout/PlusandMinus"/>
    <dgm:cxn modelId="{6D693914-F2EC-4BB1-A71E-D31953B1C2AF}" srcId="{3539A548-50A7-4A61-99C4-2492925D966F}" destId="{63312519-2A1D-4A80-BC75-30B2851B2D7D}" srcOrd="3" destOrd="0" parTransId="{8B807C82-2FF6-4926-AA28-3044BA8465B7}" sibTransId="{25325C32-5BFE-4E4E-B400-ECD56DED92D2}"/>
    <dgm:cxn modelId="{C98AF521-ED48-452D-B870-C6F9ED43C808}" srcId="{3539A548-50A7-4A61-99C4-2492925D966F}" destId="{9CF88BB9-53CB-403F-8E93-EEF44548B2DC}" srcOrd="4" destOrd="0" parTransId="{9514931B-5ED0-4E20-9F2A-B35282C10431}" sibTransId="{52513CB2-6512-4500-AD36-C85B5DD2D3F6}"/>
    <dgm:cxn modelId="{8974373F-AE55-4F0C-8DF4-76D0BD2D0347}" type="presOf" srcId="{07179F40-44A2-457E-A253-CE444A3E0E97}" destId="{647856E8-5707-4CE3-A3CD-E1187DBEC7FD}" srcOrd="0" destOrd="3" presId="urn:microsoft.com/office/officeart/2009/3/layout/PlusandMinus"/>
    <dgm:cxn modelId="{968C5042-54A1-409E-B44F-CC9F85BC6342}" srcId="{3539A548-50A7-4A61-99C4-2492925D966F}" destId="{2A569E17-2C1F-4A3A-89FD-7267FE3DB6F3}" srcOrd="0" destOrd="0" parTransId="{C984F747-8150-43B6-913D-E0E6940EEC93}" sibTransId="{99DC0E2D-D3F0-4B24-BB7C-8407584593DE}"/>
    <dgm:cxn modelId="{32A9566D-3326-454E-BFD3-9403312A82E6}" type="presOf" srcId="{8F99417C-199D-4247-BBF6-68B586E68CDE}" destId="{CCF84AA9-C6D3-449E-9EAF-80D8DC564EE4}" srcOrd="0" destOrd="2" presId="urn:microsoft.com/office/officeart/2009/3/layout/PlusandMinus"/>
    <dgm:cxn modelId="{57C0AF72-E3A9-4B1E-85FD-924B95F95BE1}" type="presOf" srcId="{705D9E7D-5CA0-4AC2-8F22-897C9FCB63B2}" destId="{CCF84AA9-C6D3-449E-9EAF-80D8DC564EE4}" srcOrd="0" destOrd="0" presId="urn:microsoft.com/office/officeart/2009/3/layout/PlusandMinus"/>
    <dgm:cxn modelId="{46532154-41F7-4983-8B79-E50A1FB7E86F}" type="presOf" srcId="{2A569E17-2C1F-4A3A-89FD-7267FE3DB6F3}" destId="{647856E8-5707-4CE3-A3CD-E1187DBEC7FD}" srcOrd="0" destOrd="1" presId="urn:microsoft.com/office/officeart/2009/3/layout/PlusandMinus"/>
    <dgm:cxn modelId="{B7A6F174-A205-4F3C-BD74-961C3D66AD9E}" srcId="{3539A548-50A7-4A61-99C4-2492925D966F}" destId="{7A9021E0-D5EC-4F4A-833E-43FFDE46EE25}" srcOrd="1" destOrd="0" parTransId="{03110B77-FBB8-40C3-A1DB-8F346D884631}" sibTransId="{D35FDFAB-16AD-4162-9DAE-A195BD1204B6}"/>
    <dgm:cxn modelId="{0917BB94-29B1-436E-B66B-770207F94974}" type="presOf" srcId="{3539A548-50A7-4A61-99C4-2492925D966F}" destId="{647856E8-5707-4CE3-A3CD-E1187DBEC7FD}" srcOrd="0" destOrd="0" presId="urn:microsoft.com/office/officeart/2009/3/layout/PlusandMinus"/>
    <dgm:cxn modelId="{4A18DF97-2E31-4651-BCF4-B75405C5B488}" type="presOf" srcId="{C10D8E87-DB41-44A1-AF8A-EEC784D6F52F}" destId="{CCF84AA9-C6D3-449E-9EAF-80D8DC564EE4}" srcOrd="0" destOrd="1" presId="urn:microsoft.com/office/officeart/2009/3/layout/PlusandMinus"/>
    <dgm:cxn modelId="{5DABE0A4-6E2F-4D65-806F-E074F0D2132A}" srcId="{3539A548-50A7-4A61-99C4-2492925D966F}" destId="{07179F40-44A2-457E-A253-CE444A3E0E97}" srcOrd="2" destOrd="0" parTransId="{F9FBE2A2-F6DA-436B-A8D0-02E2FCDA67CE}" sibTransId="{B67B80B7-5D2C-4855-8D26-02500891D700}"/>
    <dgm:cxn modelId="{D5FDE8A7-7E2A-44FA-B5FD-71434CD4F898}" type="presOf" srcId="{31D38711-CD0E-44DF-AAD7-DEEBE1866F8B}" destId="{CCF84AA9-C6D3-449E-9EAF-80D8DC564EE4}" srcOrd="0" destOrd="3" presId="urn:microsoft.com/office/officeart/2009/3/layout/PlusandMinus"/>
    <dgm:cxn modelId="{CFD31BAF-B7BF-445B-AB51-A8B9D442CB1E}" srcId="{E96832C9-B470-4705-8687-FB73BB2277E2}" destId="{3539A548-50A7-4A61-99C4-2492925D966F}" srcOrd="0" destOrd="0" parTransId="{96946923-1F4F-43DE-925E-9420AFD85E54}" sibTransId="{C8D3ECD8-77DE-4437-A2C6-17A5976C7874}"/>
    <dgm:cxn modelId="{F56E3FBA-4669-4E41-ADBE-8638EEDEBFA0}" srcId="{E96832C9-B470-4705-8687-FB73BB2277E2}" destId="{705D9E7D-5CA0-4AC2-8F22-897C9FCB63B2}" srcOrd="1" destOrd="0" parTransId="{E0F48D29-1929-427B-97EA-2BA935779514}" sibTransId="{C9E2F2CB-1C65-4DC7-B439-14F1C85F2770}"/>
    <dgm:cxn modelId="{0999DED3-06BA-478B-B941-E9A3E33E1A16}" type="presOf" srcId="{7A9021E0-D5EC-4F4A-833E-43FFDE46EE25}" destId="{647856E8-5707-4CE3-A3CD-E1187DBEC7FD}" srcOrd="0" destOrd="2" presId="urn:microsoft.com/office/officeart/2009/3/layout/PlusandMinus"/>
    <dgm:cxn modelId="{6E6EEAD4-D106-4D8B-A615-C258B38C6B7F}" srcId="{3539A548-50A7-4A61-99C4-2492925D966F}" destId="{E35D2A25-D649-42D3-A5A5-6730A793D2E0}" srcOrd="5" destOrd="0" parTransId="{2BC6D08D-65CF-418F-9988-B149BC999FD5}" sibTransId="{D6A4D601-A8E2-4BDB-BC47-ED0CD9F44104}"/>
    <dgm:cxn modelId="{9E1561D5-E31C-4665-92BF-5F93826E0BBE}" srcId="{705D9E7D-5CA0-4AC2-8F22-897C9FCB63B2}" destId="{8F99417C-199D-4247-BBF6-68B586E68CDE}" srcOrd="1" destOrd="0" parTransId="{4494AE7D-C712-4C78-AE76-F2AB976A5246}" sibTransId="{D5E5D64A-6158-4205-9F7D-D5B15AE07311}"/>
    <dgm:cxn modelId="{95D66FD5-E56F-46DC-B767-53B24CDDEC69}" type="presOf" srcId="{E96832C9-B470-4705-8687-FB73BB2277E2}" destId="{D35690AD-596A-4064-ADD8-62B760745742}" srcOrd="0" destOrd="0" presId="urn:microsoft.com/office/officeart/2009/3/layout/PlusandMinus"/>
    <dgm:cxn modelId="{FF905EDD-AFFC-4FE5-8F38-828A185AC0A2}" srcId="{705D9E7D-5CA0-4AC2-8F22-897C9FCB63B2}" destId="{C10D8E87-DB41-44A1-AF8A-EEC784D6F52F}" srcOrd="0" destOrd="0" parTransId="{9E19967A-7C93-4268-8CCC-79B1CA8CBA31}" sibTransId="{62891657-2421-43C9-93E0-C09046D15498}"/>
    <dgm:cxn modelId="{3B4328EB-CF2D-4240-BCE0-95C95882027D}" srcId="{705D9E7D-5CA0-4AC2-8F22-897C9FCB63B2}" destId="{31D38711-CD0E-44DF-AAD7-DEEBE1866F8B}" srcOrd="2" destOrd="0" parTransId="{E8386888-38E2-4567-B8D5-BD395512F10D}" sibTransId="{E8006F41-28B1-470D-9ABF-4332915E27BA}"/>
    <dgm:cxn modelId="{308739F9-9E4E-4B30-9297-1D7DED4D16EC}" type="presOf" srcId="{E35D2A25-D649-42D3-A5A5-6730A793D2E0}" destId="{647856E8-5707-4CE3-A3CD-E1187DBEC7FD}" srcOrd="0" destOrd="6" presId="urn:microsoft.com/office/officeart/2009/3/layout/PlusandMinus"/>
    <dgm:cxn modelId="{20B8B4FC-5D57-4145-B208-A1C7A8E730B6}" type="presOf" srcId="{9CF88BB9-53CB-403F-8E93-EEF44548B2DC}" destId="{647856E8-5707-4CE3-A3CD-E1187DBEC7FD}" srcOrd="0" destOrd="5" presId="urn:microsoft.com/office/officeart/2009/3/layout/PlusandMinus"/>
    <dgm:cxn modelId="{68881B66-D49F-4C4E-8A0A-D5E45CD415DE}" type="presParOf" srcId="{D35690AD-596A-4064-ADD8-62B760745742}" destId="{B7EB96F7-E19D-49C5-8DF6-82029EF64141}" srcOrd="0" destOrd="0" presId="urn:microsoft.com/office/officeart/2009/3/layout/PlusandMinus"/>
    <dgm:cxn modelId="{DD943828-F599-4CEC-93AE-1E50E26A0123}" type="presParOf" srcId="{D35690AD-596A-4064-ADD8-62B760745742}" destId="{647856E8-5707-4CE3-A3CD-E1187DBEC7FD}" srcOrd="1" destOrd="0" presId="urn:microsoft.com/office/officeart/2009/3/layout/PlusandMinus"/>
    <dgm:cxn modelId="{EFEABC28-F44C-4EB0-AFDE-1E7ED464F769}" type="presParOf" srcId="{D35690AD-596A-4064-ADD8-62B760745742}" destId="{CCF84AA9-C6D3-449E-9EAF-80D8DC564EE4}" srcOrd="2" destOrd="0" presId="urn:microsoft.com/office/officeart/2009/3/layout/PlusandMinus"/>
    <dgm:cxn modelId="{6B5C0754-10AE-4592-B529-FD82D4A2F9CD}" type="presParOf" srcId="{D35690AD-596A-4064-ADD8-62B760745742}" destId="{DA19C505-17D6-4338-BDE2-55F8285A53FD}" srcOrd="3" destOrd="0" presId="urn:microsoft.com/office/officeart/2009/3/layout/PlusandMinus"/>
    <dgm:cxn modelId="{72F9CE42-02DB-4A75-B9B6-5BD2361EE7D5}" type="presParOf" srcId="{D35690AD-596A-4064-ADD8-62B760745742}" destId="{5412EF3E-FF17-4234-8467-915B5CC5E6EB}" srcOrd="4" destOrd="0" presId="urn:microsoft.com/office/officeart/2009/3/layout/PlusandMinus"/>
    <dgm:cxn modelId="{05DB2B62-9D77-4BCB-8377-102EC858C4FE}" type="presParOf" srcId="{D35690AD-596A-4064-ADD8-62B760745742}" destId="{EA4C865D-65A1-412C-843B-0398898BE73F}" srcOrd="5" destOrd="0" presId="urn:microsoft.com/office/officeart/2009/3/layout/PlusandMinus"/>
  </dgm:cxnLst>
  <dgm:bg/>
  <dgm:whole/>
  <dgm:extLst>
    <a:ext uri="http://schemas.microsoft.com/office/drawing/2008/diagram">
      <dsp:dataModelExt xmlns:dsp="http://schemas.microsoft.com/office/drawing/2008/diagram" relId="rId230"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DF08FA32-B152-4BC2-A1EA-73311D0CA43C}" type="doc">
      <dgm:prSet loTypeId="urn:microsoft.com/office/officeart/2005/8/layout/hList2" loCatId="relationship" qsTypeId="urn:microsoft.com/office/officeart/2005/8/quickstyle/simple1" qsCatId="simple" csTypeId="urn:microsoft.com/office/officeart/2005/8/colors/accent1_2" csCatId="accent1" phldr="1"/>
      <dgm:spPr/>
      <dgm:t>
        <a:bodyPr/>
        <a:lstStyle/>
        <a:p>
          <a:endParaRPr lang="en-US"/>
        </a:p>
      </dgm:t>
    </dgm:pt>
    <dgm:pt modelId="{D5ABB81D-9C64-4E5F-BAA6-86AA9ADE7854}">
      <dgm:prSet phldrT="[Text]"/>
      <dgm:spPr/>
      <dgm:t>
        <a:bodyPr/>
        <a:lstStyle/>
        <a:p>
          <a:r>
            <a:rPr lang="en-US"/>
            <a:t>Time</a:t>
          </a:r>
        </a:p>
      </dgm:t>
    </dgm:pt>
    <dgm:pt modelId="{58EF3EEC-57C1-4945-B03A-66E96F47E0C7}" type="parTrans" cxnId="{C0F57D5F-C220-4AAC-BEE5-0BD1850E25CD}">
      <dgm:prSet/>
      <dgm:spPr/>
      <dgm:t>
        <a:bodyPr/>
        <a:lstStyle/>
        <a:p>
          <a:endParaRPr lang="en-US"/>
        </a:p>
      </dgm:t>
    </dgm:pt>
    <dgm:pt modelId="{448C3741-1AC4-44A1-B901-5F80103DF1E4}" type="sibTrans" cxnId="{C0F57D5F-C220-4AAC-BEE5-0BD1850E25CD}">
      <dgm:prSet/>
      <dgm:spPr/>
      <dgm:t>
        <a:bodyPr/>
        <a:lstStyle/>
        <a:p>
          <a:endParaRPr lang="en-US"/>
        </a:p>
      </dgm:t>
    </dgm:pt>
    <dgm:pt modelId="{19932E7A-AAA8-4D08-A1A4-25D062989D31}">
      <dgm:prSet phldrT="[Text]"/>
      <dgm:spPr/>
      <dgm:t>
        <a:bodyPr/>
        <a:lstStyle/>
        <a:p>
          <a:r>
            <a:rPr lang="en-US"/>
            <a:t>Administration</a:t>
          </a:r>
        </a:p>
      </dgm:t>
    </dgm:pt>
    <dgm:pt modelId="{97D1E5A8-DEE8-4204-8F4B-B707292F5A43}" type="parTrans" cxnId="{81E4B9B1-F066-4E0E-8C5A-B907D0039AA9}">
      <dgm:prSet/>
      <dgm:spPr/>
      <dgm:t>
        <a:bodyPr/>
        <a:lstStyle/>
        <a:p>
          <a:endParaRPr lang="en-US"/>
        </a:p>
      </dgm:t>
    </dgm:pt>
    <dgm:pt modelId="{E80181C0-E5C6-49BD-8ECA-5727C643BE0A}" type="sibTrans" cxnId="{81E4B9B1-F066-4E0E-8C5A-B907D0039AA9}">
      <dgm:prSet/>
      <dgm:spPr/>
      <dgm:t>
        <a:bodyPr/>
        <a:lstStyle/>
        <a:p>
          <a:endParaRPr lang="en-US"/>
        </a:p>
      </dgm:t>
    </dgm:pt>
    <dgm:pt modelId="{0965DFC0-BBBF-4665-A76D-8208C7F5AF85}">
      <dgm:prSet phldrT="[Text]"/>
      <dgm:spPr>
        <a:solidFill>
          <a:schemeClr val="bg2">
            <a:lumMod val="50000"/>
          </a:schemeClr>
        </a:solidFill>
      </dgm:spPr>
      <dgm:t>
        <a:bodyPr/>
        <a:lstStyle/>
        <a:p>
          <a:r>
            <a:rPr lang="en-US"/>
            <a:t>Cross-sectional</a:t>
          </a:r>
        </a:p>
      </dgm:t>
    </dgm:pt>
    <dgm:pt modelId="{4903BAB2-749B-42B8-99C0-2C4D86823707}" type="parTrans" cxnId="{893A714B-A0FE-40E7-AC99-3A8AB41B8ECC}">
      <dgm:prSet/>
      <dgm:spPr/>
      <dgm:t>
        <a:bodyPr/>
        <a:lstStyle/>
        <a:p>
          <a:endParaRPr lang="en-US"/>
        </a:p>
      </dgm:t>
    </dgm:pt>
    <dgm:pt modelId="{61F87D7E-8EB7-44F1-A13F-DC1B79A69FD8}" type="sibTrans" cxnId="{893A714B-A0FE-40E7-AC99-3A8AB41B8ECC}">
      <dgm:prSet/>
      <dgm:spPr/>
      <dgm:t>
        <a:bodyPr/>
        <a:lstStyle/>
        <a:p>
          <a:endParaRPr lang="en-US"/>
        </a:p>
      </dgm:t>
    </dgm:pt>
    <dgm:pt modelId="{6A73BDF0-1F5B-4E77-A0F0-B3E21C046382}">
      <dgm:prSet phldrT="[Text]"/>
      <dgm:spPr>
        <a:solidFill>
          <a:schemeClr val="bg2">
            <a:lumMod val="50000"/>
          </a:schemeClr>
        </a:solidFill>
      </dgm:spPr>
      <dgm:t>
        <a:bodyPr/>
        <a:lstStyle/>
        <a:p>
          <a:r>
            <a:rPr lang="en-US"/>
            <a:t>Longitudinal</a:t>
          </a:r>
        </a:p>
      </dgm:t>
    </dgm:pt>
    <dgm:pt modelId="{9A6998C7-D701-4A2E-84A8-AD6CB3BBBB48}" type="parTrans" cxnId="{DE65D076-85D8-4664-BA1A-9F665C541A8C}">
      <dgm:prSet/>
      <dgm:spPr/>
      <dgm:t>
        <a:bodyPr/>
        <a:lstStyle/>
        <a:p>
          <a:endParaRPr lang="en-US"/>
        </a:p>
      </dgm:t>
    </dgm:pt>
    <dgm:pt modelId="{2C70D727-2718-4A58-B66C-6DB7F3C13556}" type="sibTrans" cxnId="{DE65D076-85D8-4664-BA1A-9F665C541A8C}">
      <dgm:prSet/>
      <dgm:spPr/>
      <dgm:t>
        <a:bodyPr/>
        <a:lstStyle/>
        <a:p>
          <a:endParaRPr lang="en-US"/>
        </a:p>
      </dgm:t>
    </dgm:pt>
    <dgm:pt modelId="{3817723E-76CB-47B0-8284-1CFFB6782D4F}">
      <dgm:prSet phldrT="[Text]"/>
      <dgm:spPr>
        <a:solidFill>
          <a:schemeClr val="bg2">
            <a:lumMod val="50000"/>
          </a:schemeClr>
        </a:solidFill>
        <a:ln>
          <a:solidFill>
            <a:schemeClr val="tx1"/>
          </a:solidFill>
        </a:ln>
      </dgm:spPr>
      <dgm:t>
        <a:bodyPr/>
        <a:lstStyle/>
        <a:p>
          <a:r>
            <a:rPr lang="en-US"/>
            <a:t>Printed</a:t>
          </a:r>
        </a:p>
      </dgm:t>
    </dgm:pt>
    <dgm:pt modelId="{A53C3587-36DB-45C7-B749-8D67FB18B8F6}" type="parTrans" cxnId="{7DA6FF43-83D8-49BB-8AB5-BFCF0EF0E674}">
      <dgm:prSet/>
      <dgm:spPr/>
      <dgm:t>
        <a:bodyPr/>
        <a:lstStyle/>
        <a:p>
          <a:endParaRPr lang="en-US"/>
        </a:p>
      </dgm:t>
    </dgm:pt>
    <dgm:pt modelId="{86D8C6B3-7D8D-4E26-91A6-647F985CB4AA}" type="sibTrans" cxnId="{7DA6FF43-83D8-49BB-8AB5-BFCF0EF0E674}">
      <dgm:prSet/>
      <dgm:spPr/>
      <dgm:t>
        <a:bodyPr/>
        <a:lstStyle/>
        <a:p>
          <a:endParaRPr lang="en-US"/>
        </a:p>
      </dgm:t>
    </dgm:pt>
    <dgm:pt modelId="{4FB651C2-3CA5-4518-BD1E-9CA31AF94FE6}">
      <dgm:prSet phldrT="[Text]"/>
      <dgm:spPr>
        <a:solidFill>
          <a:schemeClr val="bg2">
            <a:lumMod val="50000"/>
          </a:schemeClr>
        </a:solidFill>
        <a:ln>
          <a:solidFill>
            <a:schemeClr val="tx1"/>
          </a:solidFill>
        </a:ln>
      </dgm:spPr>
      <dgm:t>
        <a:bodyPr/>
        <a:lstStyle/>
        <a:p>
          <a:r>
            <a:rPr lang="en-US"/>
            <a:t>Group</a:t>
          </a:r>
        </a:p>
      </dgm:t>
    </dgm:pt>
    <dgm:pt modelId="{2342A3FA-4373-4195-BD80-937B85CCB723}" type="parTrans" cxnId="{D51EE23D-35D0-44E7-833C-97C13AAE000D}">
      <dgm:prSet/>
      <dgm:spPr/>
      <dgm:t>
        <a:bodyPr/>
        <a:lstStyle/>
        <a:p>
          <a:endParaRPr lang="en-US"/>
        </a:p>
      </dgm:t>
    </dgm:pt>
    <dgm:pt modelId="{B2F980E1-1432-46D4-A835-C2EBDE0D112B}" type="sibTrans" cxnId="{D51EE23D-35D0-44E7-833C-97C13AAE000D}">
      <dgm:prSet/>
      <dgm:spPr/>
      <dgm:t>
        <a:bodyPr/>
        <a:lstStyle/>
        <a:p>
          <a:endParaRPr lang="en-US"/>
        </a:p>
      </dgm:t>
    </dgm:pt>
    <dgm:pt modelId="{4D1FFC86-790B-4BBB-8606-804F914A06DA}">
      <dgm:prSet phldrT="[Text]"/>
      <dgm:spPr>
        <a:solidFill>
          <a:schemeClr val="bg2">
            <a:lumMod val="50000"/>
          </a:schemeClr>
        </a:solidFill>
        <a:ln>
          <a:solidFill>
            <a:schemeClr val="tx1"/>
          </a:solidFill>
        </a:ln>
      </dgm:spPr>
      <dgm:t>
        <a:bodyPr/>
        <a:lstStyle/>
        <a:p>
          <a:r>
            <a:rPr lang="en-US"/>
            <a:t>Online</a:t>
          </a:r>
        </a:p>
      </dgm:t>
    </dgm:pt>
    <dgm:pt modelId="{4802B21F-C86F-4E47-812A-ACA01238CC7B}" type="parTrans" cxnId="{B608CF31-DC1A-4EDC-9C28-076AEAF7B7C7}">
      <dgm:prSet/>
      <dgm:spPr/>
      <dgm:t>
        <a:bodyPr/>
        <a:lstStyle/>
        <a:p>
          <a:endParaRPr lang="en-US"/>
        </a:p>
      </dgm:t>
    </dgm:pt>
    <dgm:pt modelId="{57303CB7-D3D2-479E-BBBF-2EC7CCDE4116}" type="sibTrans" cxnId="{B608CF31-DC1A-4EDC-9C28-076AEAF7B7C7}">
      <dgm:prSet/>
      <dgm:spPr/>
      <dgm:t>
        <a:bodyPr/>
        <a:lstStyle/>
        <a:p>
          <a:endParaRPr lang="en-US"/>
        </a:p>
      </dgm:t>
    </dgm:pt>
    <dgm:pt modelId="{8FB1E5C9-F171-4FC2-91B4-5BEB6770A03E}">
      <dgm:prSet phldrT="[Text]"/>
      <dgm:spPr>
        <a:solidFill>
          <a:schemeClr val="bg2">
            <a:lumMod val="50000"/>
          </a:schemeClr>
        </a:solidFill>
        <a:ln>
          <a:solidFill>
            <a:schemeClr val="tx1"/>
          </a:solidFill>
        </a:ln>
      </dgm:spPr>
      <dgm:t>
        <a:bodyPr/>
        <a:lstStyle/>
        <a:p>
          <a:r>
            <a:rPr lang="en-US"/>
            <a:t>Other</a:t>
          </a:r>
        </a:p>
      </dgm:t>
    </dgm:pt>
    <dgm:pt modelId="{9EF9A772-4FF9-4D47-8EE9-777497F08F12}" type="parTrans" cxnId="{44DA44A7-5C48-4209-8DBE-861B69EEBF0A}">
      <dgm:prSet/>
      <dgm:spPr/>
      <dgm:t>
        <a:bodyPr/>
        <a:lstStyle/>
        <a:p>
          <a:endParaRPr lang="en-US"/>
        </a:p>
      </dgm:t>
    </dgm:pt>
    <dgm:pt modelId="{C395E680-452B-4A98-A3D0-C06A3CCE5B4E}" type="sibTrans" cxnId="{44DA44A7-5C48-4209-8DBE-861B69EEBF0A}">
      <dgm:prSet/>
      <dgm:spPr/>
      <dgm:t>
        <a:bodyPr/>
        <a:lstStyle/>
        <a:p>
          <a:endParaRPr lang="en-US"/>
        </a:p>
      </dgm:t>
    </dgm:pt>
    <dgm:pt modelId="{3952E5E5-2002-4683-A112-24C68A9914D3}">
      <dgm:prSet phldrT="[Text]"/>
      <dgm:spPr>
        <a:solidFill>
          <a:schemeClr val="bg2">
            <a:lumMod val="50000"/>
          </a:schemeClr>
        </a:solidFill>
      </dgm:spPr>
      <dgm:t>
        <a:bodyPr/>
        <a:lstStyle/>
        <a:p>
          <a:r>
            <a:rPr lang="en-US"/>
            <a:t>Trend</a:t>
          </a:r>
        </a:p>
      </dgm:t>
    </dgm:pt>
    <dgm:pt modelId="{D6BF6C52-0B8D-4566-9B1A-749E43E13640}" type="parTrans" cxnId="{168EFAB9-D9CF-4272-8726-890D78AF3705}">
      <dgm:prSet/>
      <dgm:spPr/>
      <dgm:t>
        <a:bodyPr/>
        <a:lstStyle/>
        <a:p>
          <a:endParaRPr lang="en-US"/>
        </a:p>
      </dgm:t>
    </dgm:pt>
    <dgm:pt modelId="{EB08EBE6-307A-4573-96DF-3B3BF7BBA981}" type="sibTrans" cxnId="{168EFAB9-D9CF-4272-8726-890D78AF3705}">
      <dgm:prSet/>
      <dgm:spPr/>
      <dgm:t>
        <a:bodyPr/>
        <a:lstStyle/>
        <a:p>
          <a:endParaRPr lang="en-US"/>
        </a:p>
      </dgm:t>
    </dgm:pt>
    <dgm:pt modelId="{0BF81D7A-8A75-4396-9BBD-AAB009AD0B95}">
      <dgm:prSet phldrT="[Text]"/>
      <dgm:spPr>
        <a:solidFill>
          <a:schemeClr val="bg2">
            <a:lumMod val="50000"/>
          </a:schemeClr>
        </a:solidFill>
      </dgm:spPr>
      <dgm:t>
        <a:bodyPr/>
        <a:lstStyle/>
        <a:p>
          <a:r>
            <a:rPr lang="en-US"/>
            <a:t>Panel</a:t>
          </a:r>
        </a:p>
      </dgm:t>
    </dgm:pt>
    <dgm:pt modelId="{10664553-7DBC-4BBC-B695-D10AD2726D02}" type="parTrans" cxnId="{A4C67AB9-899A-49E1-AD76-5BD5B540EA10}">
      <dgm:prSet/>
      <dgm:spPr/>
      <dgm:t>
        <a:bodyPr/>
        <a:lstStyle/>
        <a:p>
          <a:endParaRPr lang="en-US"/>
        </a:p>
      </dgm:t>
    </dgm:pt>
    <dgm:pt modelId="{44D26ACC-5200-4F35-8DC7-5526D6CFEBCE}" type="sibTrans" cxnId="{A4C67AB9-899A-49E1-AD76-5BD5B540EA10}">
      <dgm:prSet/>
      <dgm:spPr/>
      <dgm:t>
        <a:bodyPr/>
        <a:lstStyle/>
        <a:p>
          <a:endParaRPr lang="en-US"/>
        </a:p>
      </dgm:t>
    </dgm:pt>
    <dgm:pt modelId="{6BEF0FBB-4B4B-49A3-AC2F-54EB31BA6CB1}">
      <dgm:prSet phldrT="[Text]"/>
      <dgm:spPr>
        <a:solidFill>
          <a:schemeClr val="bg2">
            <a:lumMod val="50000"/>
          </a:schemeClr>
        </a:solidFill>
      </dgm:spPr>
      <dgm:t>
        <a:bodyPr/>
        <a:lstStyle/>
        <a:p>
          <a:r>
            <a:rPr lang="en-US"/>
            <a:t>Cohort</a:t>
          </a:r>
        </a:p>
      </dgm:t>
    </dgm:pt>
    <dgm:pt modelId="{F22E07EF-7443-40F1-8F4F-2A4BF912E3BE}" type="parTrans" cxnId="{90479EFC-E947-4EF2-8346-6610AB94AB3F}">
      <dgm:prSet/>
      <dgm:spPr/>
      <dgm:t>
        <a:bodyPr/>
        <a:lstStyle/>
        <a:p>
          <a:endParaRPr lang="en-US"/>
        </a:p>
      </dgm:t>
    </dgm:pt>
    <dgm:pt modelId="{87D18D26-8DEC-458F-B348-161D6AD8DE9E}" type="sibTrans" cxnId="{90479EFC-E947-4EF2-8346-6610AB94AB3F}">
      <dgm:prSet/>
      <dgm:spPr/>
      <dgm:t>
        <a:bodyPr/>
        <a:lstStyle/>
        <a:p>
          <a:endParaRPr lang="en-US"/>
        </a:p>
      </dgm:t>
    </dgm:pt>
    <dgm:pt modelId="{0BAE5B7A-9C40-4613-9634-90A7A9903D06}">
      <dgm:prSet phldrT="[Text]"/>
      <dgm:spPr>
        <a:solidFill>
          <a:schemeClr val="bg2">
            <a:lumMod val="50000"/>
          </a:schemeClr>
        </a:solidFill>
      </dgm:spPr>
      <dgm:t>
        <a:bodyPr/>
        <a:lstStyle/>
        <a:p>
          <a:r>
            <a:rPr lang="en-US"/>
            <a:t>Retrospective</a:t>
          </a:r>
        </a:p>
      </dgm:t>
    </dgm:pt>
    <dgm:pt modelId="{50CEB70C-49C3-4EBF-AF0E-87277F4EE229}" type="parTrans" cxnId="{55070068-2E97-4675-824B-BAB9762077FF}">
      <dgm:prSet/>
      <dgm:spPr/>
      <dgm:t>
        <a:bodyPr/>
        <a:lstStyle/>
        <a:p>
          <a:endParaRPr lang="en-US"/>
        </a:p>
      </dgm:t>
    </dgm:pt>
    <dgm:pt modelId="{35CF7914-6B19-4803-9A80-F5D8EFFE2766}" type="sibTrans" cxnId="{55070068-2E97-4675-824B-BAB9762077FF}">
      <dgm:prSet/>
      <dgm:spPr/>
      <dgm:t>
        <a:bodyPr/>
        <a:lstStyle/>
        <a:p>
          <a:endParaRPr lang="en-US"/>
        </a:p>
      </dgm:t>
    </dgm:pt>
    <dgm:pt modelId="{BF862609-922D-489F-93D6-E1D721969737}" type="pres">
      <dgm:prSet presAssocID="{DF08FA32-B152-4BC2-A1EA-73311D0CA43C}" presName="linearFlow" presStyleCnt="0">
        <dgm:presLayoutVars>
          <dgm:dir/>
          <dgm:animLvl val="lvl"/>
          <dgm:resizeHandles/>
        </dgm:presLayoutVars>
      </dgm:prSet>
      <dgm:spPr/>
    </dgm:pt>
    <dgm:pt modelId="{CAC7C33B-9328-4C20-AD42-454243983977}" type="pres">
      <dgm:prSet presAssocID="{D5ABB81D-9C64-4E5F-BAA6-86AA9ADE7854}" presName="compositeNode" presStyleCnt="0">
        <dgm:presLayoutVars>
          <dgm:bulletEnabled val="1"/>
        </dgm:presLayoutVars>
      </dgm:prSet>
      <dgm:spPr/>
    </dgm:pt>
    <dgm:pt modelId="{DF4B69EB-F072-444C-B504-76A5614E56FE}" type="pres">
      <dgm:prSet presAssocID="{D5ABB81D-9C64-4E5F-BAA6-86AA9ADE7854}" presName="image" presStyleLbl="fgImgPlace1" presStyleIdx="0" presStyleCnt="2"/>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dgm:spPr>
      <dgm:extLst>
        <a:ext uri="{E40237B7-FDA0-4F09-8148-C483321AD2D9}">
          <dgm14:cNvPr xmlns:dgm14="http://schemas.microsoft.com/office/drawing/2010/diagram" id="0" name="" descr="Calendar flipping"/>
        </a:ext>
      </dgm:extLst>
    </dgm:pt>
    <dgm:pt modelId="{4D78E3CE-58FC-4AD8-82EF-33051E56B655}" type="pres">
      <dgm:prSet presAssocID="{D5ABB81D-9C64-4E5F-BAA6-86AA9ADE7854}" presName="childNode" presStyleLbl="node1" presStyleIdx="0" presStyleCnt="2">
        <dgm:presLayoutVars>
          <dgm:bulletEnabled val="1"/>
        </dgm:presLayoutVars>
      </dgm:prSet>
      <dgm:spPr/>
    </dgm:pt>
    <dgm:pt modelId="{1F4E6A84-FE1B-40C6-87D1-39BAF5B388B8}" type="pres">
      <dgm:prSet presAssocID="{D5ABB81D-9C64-4E5F-BAA6-86AA9ADE7854}" presName="parentNode" presStyleLbl="revTx" presStyleIdx="0" presStyleCnt="2">
        <dgm:presLayoutVars>
          <dgm:chMax val="0"/>
          <dgm:bulletEnabled val="1"/>
        </dgm:presLayoutVars>
      </dgm:prSet>
      <dgm:spPr/>
    </dgm:pt>
    <dgm:pt modelId="{7C3283A8-9A77-4D62-B04D-CC2A2EDFFFB2}" type="pres">
      <dgm:prSet presAssocID="{448C3741-1AC4-44A1-B901-5F80103DF1E4}" presName="sibTrans" presStyleCnt="0"/>
      <dgm:spPr/>
    </dgm:pt>
    <dgm:pt modelId="{C3A91A59-3693-4401-BFC3-E148D3697FC4}" type="pres">
      <dgm:prSet presAssocID="{19932E7A-AAA8-4D08-A1A4-25D062989D31}" presName="compositeNode" presStyleCnt="0">
        <dgm:presLayoutVars>
          <dgm:bulletEnabled val="1"/>
        </dgm:presLayoutVars>
      </dgm:prSet>
      <dgm:spPr/>
    </dgm:pt>
    <dgm:pt modelId="{0C9DABA0-886F-4A0E-9F56-C20E0ABF6525}" type="pres">
      <dgm:prSet presAssocID="{19932E7A-AAA8-4D08-A1A4-25D062989D31}" presName="image" presStyleLbl="fgImgPlace1" presStyleIdx="1" presStyleCnt="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4000" r="-24000"/>
          </a:stretch>
        </a:blipFill>
      </dgm:spPr>
      <dgm:extLst>
        <a:ext uri="{E40237B7-FDA0-4F09-8148-C483321AD2D9}">
          <dgm14:cNvPr xmlns:dgm14="http://schemas.microsoft.com/office/drawing/2010/diagram" id="0" name="" descr="A hand holding a pen and shading circles on a sheet"/>
        </a:ext>
      </dgm:extLst>
    </dgm:pt>
    <dgm:pt modelId="{36781C58-8B74-49DB-AD91-E6A623F34434}" type="pres">
      <dgm:prSet presAssocID="{19932E7A-AAA8-4D08-A1A4-25D062989D31}" presName="childNode" presStyleLbl="node1" presStyleIdx="1" presStyleCnt="2">
        <dgm:presLayoutVars>
          <dgm:bulletEnabled val="1"/>
        </dgm:presLayoutVars>
      </dgm:prSet>
      <dgm:spPr/>
    </dgm:pt>
    <dgm:pt modelId="{F7012B73-4E6D-4F4E-9AC5-4810F1E73C4B}" type="pres">
      <dgm:prSet presAssocID="{19932E7A-AAA8-4D08-A1A4-25D062989D31}" presName="parentNode" presStyleLbl="revTx" presStyleIdx="1" presStyleCnt="2">
        <dgm:presLayoutVars>
          <dgm:chMax val="0"/>
          <dgm:bulletEnabled val="1"/>
        </dgm:presLayoutVars>
      </dgm:prSet>
      <dgm:spPr/>
    </dgm:pt>
  </dgm:ptLst>
  <dgm:cxnLst>
    <dgm:cxn modelId="{1F71611A-97EA-4392-93DD-42BB48CF580C}" type="presOf" srcId="{3817723E-76CB-47B0-8284-1CFFB6782D4F}" destId="{36781C58-8B74-49DB-AD91-E6A623F34434}" srcOrd="0" destOrd="0" presId="urn:microsoft.com/office/officeart/2005/8/layout/hList2"/>
    <dgm:cxn modelId="{ACC1151E-9832-4E7D-9C84-994E54B72E24}" type="presOf" srcId="{8FB1E5C9-F171-4FC2-91B4-5BEB6770A03E}" destId="{36781C58-8B74-49DB-AD91-E6A623F34434}" srcOrd="0" destOrd="3" presId="urn:microsoft.com/office/officeart/2005/8/layout/hList2"/>
    <dgm:cxn modelId="{B608CF31-DC1A-4EDC-9C28-076AEAF7B7C7}" srcId="{19932E7A-AAA8-4D08-A1A4-25D062989D31}" destId="{4D1FFC86-790B-4BBB-8606-804F914A06DA}" srcOrd="2" destOrd="0" parTransId="{4802B21F-C86F-4E47-812A-ACA01238CC7B}" sibTransId="{57303CB7-D3D2-479E-BBBF-2EC7CCDE4116}"/>
    <dgm:cxn modelId="{D51EE23D-35D0-44E7-833C-97C13AAE000D}" srcId="{19932E7A-AAA8-4D08-A1A4-25D062989D31}" destId="{4FB651C2-3CA5-4518-BD1E-9CA31AF94FE6}" srcOrd="1" destOrd="0" parTransId="{2342A3FA-4373-4195-BD80-937B85CCB723}" sibTransId="{B2F980E1-1432-46D4-A835-C2EBDE0D112B}"/>
    <dgm:cxn modelId="{19B9373E-7D8A-4B48-9A6B-6A76FA7D8936}" type="presOf" srcId="{19932E7A-AAA8-4D08-A1A4-25D062989D31}" destId="{F7012B73-4E6D-4F4E-9AC5-4810F1E73C4B}" srcOrd="0" destOrd="0" presId="urn:microsoft.com/office/officeart/2005/8/layout/hList2"/>
    <dgm:cxn modelId="{C0F57D5F-C220-4AAC-BEE5-0BD1850E25CD}" srcId="{DF08FA32-B152-4BC2-A1EA-73311D0CA43C}" destId="{D5ABB81D-9C64-4E5F-BAA6-86AA9ADE7854}" srcOrd="0" destOrd="0" parTransId="{58EF3EEC-57C1-4945-B03A-66E96F47E0C7}" sibTransId="{448C3741-1AC4-44A1-B901-5F80103DF1E4}"/>
    <dgm:cxn modelId="{F6D16042-6373-459A-8FD5-E86300B2892F}" type="presOf" srcId="{4D1FFC86-790B-4BBB-8606-804F914A06DA}" destId="{36781C58-8B74-49DB-AD91-E6A623F34434}" srcOrd="0" destOrd="2" presId="urn:microsoft.com/office/officeart/2005/8/layout/hList2"/>
    <dgm:cxn modelId="{7DA6FF43-83D8-49BB-8AB5-BFCF0EF0E674}" srcId="{19932E7A-AAA8-4D08-A1A4-25D062989D31}" destId="{3817723E-76CB-47B0-8284-1CFFB6782D4F}" srcOrd="0" destOrd="0" parTransId="{A53C3587-36DB-45C7-B749-8D67FB18B8F6}" sibTransId="{86D8C6B3-7D8D-4E26-91A6-647F985CB4AA}"/>
    <dgm:cxn modelId="{55070068-2E97-4675-824B-BAB9762077FF}" srcId="{6A73BDF0-1F5B-4E77-A0F0-B3E21C046382}" destId="{0BAE5B7A-9C40-4613-9634-90A7A9903D06}" srcOrd="3" destOrd="0" parTransId="{50CEB70C-49C3-4EBF-AF0E-87277F4EE229}" sibTransId="{35CF7914-6B19-4803-9A80-F5D8EFFE2766}"/>
    <dgm:cxn modelId="{893A714B-A0FE-40E7-AC99-3A8AB41B8ECC}" srcId="{D5ABB81D-9C64-4E5F-BAA6-86AA9ADE7854}" destId="{0965DFC0-BBBF-4665-A76D-8208C7F5AF85}" srcOrd="0" destOrd="0" parTransId="{4903BAB2-749B-42B8-99C0-2C4D86823707}" sibTransId="{61F87D7E-8EB7-44F1-A13F-DC1B79A69FD8}"/>
    <dgm:cxn modelId="{DE65D076-85D8-4664-BA1A-9F665C541A8C}" srcId="{D5ABB81D-9C64-4E5F-BAA6-86AA9ADE7854}" destId="{6A73BDF0-1F5B-4E77-A0F0-B3E21C046382}" srcOrd="1" destOrd="0" parTransId="{9A6998C7-D701-4A2E-84A8-AD6CB3BBBB48}" sibTransId="{2C70D727-2718-4A58-B66C-6DB7F3C13556}"/>
    <dgm:cxn modelId="{CB8F8C58-ADC7-4E46-A7F7-8D98924723B0}" type="presOf" srcId="{0BF81D7A-8A75-4396-9BBD-AAB009AD0B95}" destId="{4D78E3CE-58FC-4AD8-82EF-33051E56B655}" srcOrd="0" destOrd="3" presId="urn:microsoft.com/office/officeart/2005/8/layout/hList2"/>
    <dgm:cxn modelId="{F413127C-B6DB-40E4-8231-B639E03332AA}" type="presOf" srcId="{0965DFC0-BBBF-4665-A76D-8208C7F5AF85}" destId="{4D78E3CE-58FC-4AD8-82EF-33051E56B655}" srcOrd="0" destOrd="0" presId="urn:microsoft.com/office/officeart/2005/8/layout/hList2"/>
    <dgm:cxn modelId="{F3391988-F528-4B13-9B49-BE01B57CB464}" type="presOf" srcId="{4FB651C2-3CA5-4518-BD1E-9CA31AF94FE6}" destId="{36781C58-8B74-49DB-AD91-E6A623F34434}" srcOrd="0" destOrd="1" presId="urn:microsoft.com/office/officeart/2005/8/layout/hList2"/>
    <dgm:cxn modelId="{52E6CF9A-3559-4DAA-B813-E14C2737403E}" type="presOf" srcId="{D5ABB81D-9C64-4E5F-BAA6-86AA9ADE7854}" destId="{1F4E6A84-FE1B-40C6-87D1-39BAF5B388B8}" srcOrd="0" destOrd="0" presId="urn:microsoft.com/office/officeart/2005/8/layout/hList2"/>
    <dgm:cxn modelId="{44DA44A7-5C48-4209-8DBE-861B69EEBF0A}" srcId="{19932E7A-AAA8-4D08-A1A4-25D062989D31}" destId="{8FB1E5C9-F171-4FC2-91B4-5BEB6770A03E}" srcOrd="3" destOrd="0" parTransId="{9EF9A772-4FF9-4D47-8EE9-777497F08F12}" sibTransId="{C395E680-452B-4A98-A3D0-C06A3CCE5B4E}"/>
    <dgm:cxn modelId="{50FC57A7-3D56-44EC-9DB1-965B1A421521}" type="presOf" srcId="{0BAE5B7A-9C40-4613-9634-90A7A9903D06}" destId="{4D78E3CE-58FC-4AD8-82EF-33051E56B655}" srcOrd="0" destOrd="5" presId="urn:microsoft.com/office/officeart/2005/8/layout/hList2"/>
    <dgm:cxn modelId="{954F4BAD-97FB-41D9-9264-CDCD794CFEE5}" type="presOf" srcId="{DF08FA32-B152-4BC2-A1EA-73311D0CA43C}" destId="{BF862609-922D-489F-93D6-E1D721969737}" srcOrd="0" destOrd="0" presId="urn:microsoft.com/office/officeart/2005/8/layout/hList2"/>
    <dgm:cxn modelId="{81E4B9B1-F066-4E0E-8C5A-B907D0039AA9}" srcId="{DF08FA32-B152-4BC2-A1EA-73311D0CA43C}" destId="{19932E7A-AAA8-4D08-A1A4-25D062989D31}" srcOrd="1" destOrd="0" parTransId="{97D1E5A8-DEE8-4204-8F4B-B707292F5A43}" sibTransId="{E80181C0-E5C6-49BD-8ECA-5727C643BE0A}"/>
    <dgm:cxn modelId="{A4C67AB9-899A-49E1-AD76-5BD5B540EA10}" srcId="{6A73BDF0-1F5B-4E77-A0F0-B3E21C046382}" destId="{0BF81D7A-8A75-4396-9BBD-AAB009AD0B95}" srcOrd="1" destOrd="0" parTransId="{10664553-7DBC-4BBC-B695-D10AD2726D02}" sibTransId="{44D26ACC-5200-4F35-8DC7-5526D6CFEBCE}"/>
    <dgm:cxn modelId="{168EFAB9-D9CF-4272-8726-890D78AF3705}" srcId="{6A73BDF0-1F5B-4E77-A0F0-B3E21C046382}" destId="{3952E5E5-2002-4683-A112-24C68A9914D3}" srcOrd="0" destOrd="0" parTransId="{D6BF6C52-0B8D-4566-9B1A-749E43E13640}" sibTransId="{EB08EBE6-307A-4573-96DF-3B3BF7BBA981}"/>
    <dgm:cxn modelId="{7DB02DCE-3E2B-4649-BA46-EB37DCE8E904}" type="presOf" srcId="{6A73BDF0-1F5B-4E77-A0F0-B3E21C046382}" destId="{4D78E3CE-58FC-4AD8-82EF-33051E56B655}" srcOrd="0" destOrd="1" presId="urn:microsoft.com/office/officeart/2005/8/layout/hList2"/>
    <dgm:cxn modelId="{953A8CCF-E055-4C8C-B4DB-20BADDE476B1}" type="presOf" srcId="{3952E5E5-2002-4683-A112-24C68A9914D3}" destId="{4D78E3CE-58FC-4AD8-82EF-33051E56B655}" srcOrd="0" destOrd="2" presId="urn:microsoft.com/office/officeart/2005/8/layout/hList2"/>
    <dgm:cxn modelId="{E6427BDA-5963-40A9-BAE1-558B6F88951F}" type="presOf" srcId="{6BEF0FBB-4B4B-49A3-AC2F-54EB31BA6CB1}" destId="{4D78E3CE-58FC-4AD8-82EF-33051E56B655}" srcOrd="0" destOrd="4" presId="urn:microsoft.com/office/officeart/2005/8/layout/hList2"/>
    <dgm:cxn modelId="{90479EFC-E947-4EF2-8346-6610AB94AB3F}" srcId="{6A73BDF0-1F5B-4E77-A0F0-B3E21C046382}" destId="{6BEF0FBB-4B4B-49A3-AC2F-54EB31BA6CB1}" srcOrd="2" destOrd="0" parTransId="{F22E07EF-7443-40F1-8F4F-2A4BF912E3BE}" sibTransId="{87D18D26-8DEC-458F-B348-161D6AD8DE9E}"/>
    <dgm:cxn modelId="{CBD8B38D-E5A1-4E56-8F80-D5A17C8CE903}" type="presParOf" srcId="{BF862609-922D-489F-93D6-E1D721969737}" destId="{CAC7C33B-9328-4C20-AD42-454243983977}" srcOrd="0" destOrd="0" presId="urn:microsoft.com/office/officeart/2005/8/layout/hList2"/>
    <dgm:cxn modelId="{7D4EDE1A-B2B9-41F8-92E1-129046A21916}" type="presParOf" srcId="{CAC7C33B-9328-4C20-AD42-454243983977}" destId="{DF4B69EB-F072-444C-B504-76A5614E56FE}" srcOrd="0" destOrd="0" presId="urn:microsoft.com/office/officeart/2005/8/layout/hList2"/>
    <dgm:cxn modelId="{D2D4AD66-5845-44DE-8FE1-052A0B935DF7}" type="presParOf" srcId="{CAC7C33B-9328-4C20-AD42-454243983977}" destId="{4D78E3CE-58FC-4AD8-82EF-33051E56B655}" srcOrd="1" destOrd="0" presId="urn:microsoft.com/office/officeart/2005/8/layout/hList2"/>
    <dgm:cxn modelId="{5E8FE228-8ECA-4C1F-B523-B31511FE92E2}" type="presParOf" srcId="{CAC7C33B-9328-4C20-AD42-454243983977}" destId="{1F4E6A84-FE1B-40C6-87D1-39BAF5B388B8}" srcOrd="2" destOrd="0" presId="urn:microsoft.com/office/officeart/2005/8/layout/hList2"/>
    <dgm:cxn modelId="{DB382F48-1A5D-4F0B-B43C-C0FBB3EF2CA9}" type="presParOf" srcId="{BF862609-922D-489F-93D6-E1D721969737}" destId="{7C3283A8-9A77-4D62-B04D-CC2A2EDFFFB2}" srcOrd="1" destOrd="0" presId="urn:microsoft.com/office/officeart/2005/8/layout/hList2"/>
    <dgm:cxn modelId="{45128987-4AFC-4628-AB03-AE400C202BD6}" type="presParOf" srcId="{BF862609-922D-489F-93D6-E1D721969737}" destId="{C3A91A59-3693-4401-BFC3-E148D3697FC4}" srcOrd="2" destOrd="0" presId="urn:microsoft.com/office/officeart/2005/8/layout/hList2"/>
    <dgm:cxn modelId="{D4ACA807-DE70-4969-BEF9-8C9F55BC0960}" type="presParOf" srcId="{C3A91A59-3693-4401-BFC3-E148D3697FC4}" destId="{0C9DABA0-886F-4A0E-9F56-C20E0ABF6525}" srcOrd="0" destOrd="0" presId="urn:microsoft.com/office/officeart/2005/8/layout/hList2"/>
    <dgm:cxn modelId="{1EA335ED-4CA9-4336-9A4B-459C45BD96E5}" type="presParOf" srcId="{C3A91A59-3693-4401-BFC3-E148D3697FC4}" destId="{36781C58-8B74-49DB-AD91-E6A623F34434}" srcOrd="1" destOrd="0" presId="urn:microsoft.com/office/officeart/2005/8/layout/hList2"/>
    <dgm:cxn modelId="{0F4F87D8-DA01-4B41-B8D1-78BA70103794}" type="presParOf" srcId="{C3A91A59-3693-4401-BFC3-E148D3697FC4}" destId="{F7012B73-4E6D-4F4E-9AC5-4810F1E73C4B}" srcOrd="2" destOrd="0" presId="urn:microsoft.com/office/officeart/2005/8/layout/hList2"/>
  </dgm:cxnLst>
  <dgm:bg>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t="100000"/>
      </a:path>
      <a:tileRect r="-100000" b="-100000"/>
    </a:gradFill>
  </dgm:bg>
  <dgm:whole>
    <a:ln>
      <a:solidFill>
        <a:schemeClr val="tx1"/>
      </a:solidFill>
    </a:ln>
  </dgm:whole>
  <dgm:extLst>
    <a:ext uri="http://schemas.microsoft.com/office/drawing/2008/diagram">
      <dsp:dataModelExt xmlns:dsp="http://schemas.microsoft.com/office/drawing/2008/diagram" relId="rId235"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99CDD4BB-9318-43EF-85F4-CAD98B4FB066}" type="doc">
      <dgm:prSet loTypeId="urn:microsoft.com/office/officeart/2005/8/layout/hProcess9" loCatId="process" qsTypeId="urn:microsoft.com/office/officeart/2005/8/quickstyle/simple1" qsCatId="simple" csTypeId="urn:microsoft.com/office/officeart/2005/8/colors/accent1_2" csCatId="accent1" phldr="1"/>
      <dgm:spPr/>
    </dgm:pt>
    <dgm:pt modelId="{B23B6943-26E8-42BA-914C-1CDFFEA52E26}">
      <dgm:prSet phldrT="[Text]"/>
      <dgm:spPr/>
      <dgm:t>
        <a:bodyPr/>
        <a:lstStyle/>
        <a:p>
          <a:r>
            <a:rPr lang="en-US"/>
            <a:t>Identify what is being sought</a:t>
          </a:r>
        </a:p>
      </dgm:t>
    </dgm:pt>
    <dgm:pt modelId="{6C3DB66C-5436-4347-933C-DFF619CC7D3D}" type="parTrans" cxnId="{EBDAC3AF-0C59-4147-86B7-89565D4A352A}">
      <dgm:prSet/>
      <dgm:spPr/>
      <dgm:t>
        <a:bodyPr/>
        <a:lstStyle/>
        <a:p>
          <a:endParaRPr lang="en-US"/>
        </a:p>
      </dgm:t>
    </dgm:pt>
    <dgm:pt modelId="{CE563DDD-209F-494E-BF07-99374544CFE7}" type="sibTrans" cxnId="{EBDAC3AF-0C59-4147-86B7-89565D4A352A}">
      <dgm:prSet/>
      <dgm:spPr/>
      <dgm:t>
        <a:bodyPr/>
        <a:lstStyle/>
        <a:p>
          <a:endParaRPr lang="en-US"/>
        </a:p>
      </dgm:t>
    </dgm:pt>
    <dgm:pt modelId="{F0D87847-135D-4091-9968-661A1B43F986}">
      <dgm:prSet phldrT="[Text]"/>
      <dgm:spPr/>
      <dgm:t>
        <a:bodyPr/>
        <a:lstStyle/>
        <a:p>
          <a:r>
            <a:rPr lang="en-US"/>
            <a:t>Draft the questions</a:t>
          </a:r>
        </a:p>
      </dgm:t>
    </dgm:pt>
    <dgm:pt modelId="{14DFEDF9-1490-4371-A893-5DE010ADD198}" type="parTrans" cxnId="{5C72CCB5-61C0-4CD9-AB08-9B26C5FDD42E}">
      <dgm:prSet/>
      <dgm:spPr/>
      <dgm:t>
        <a:bodyPr/>
        <a:lstStyle/>
        <a:p>
          <a:endParaRPr lang="en-US"/>
        </a:p>
      </dgm:t>
    </dgm:pt>
    <dgm:pt modelId="{92052771-358A-4402-9ABD-E78509DC06C6}" type="sibTrans" cxnId="{5C72CCB5-61C0-4CD9-AB08-9B26C5FDD42E}">
      <dgm:prSet/>
      <dgm:spPr/>
      <dgm:t>
        <a:bodyPr/>
        <a:lstStyle/>
        <a:p>
          <a:endParaRPr lang="en-US"/>
        </a:p>
      </dgm:t>
    </dgm:pt>
    <dgm:pt modelId="{1DA7FDFC-DFCB-40CA-BD8B-403E27826264}">
      <dgm:prSet phldrT="[Text]"/>
      <dgm:spPr/>
      <dgm:t>
        <a:bodyPr/>
        <a:lstStyle/>
        <a:p>
          <a:r>
            <a:rPr lang="en-US"/>
            <a:t>Include filter questions</a:t>
          </a:r>
        </a:p>
      </dgm:t>
    </dgm:pt>
    <dgm:pt modelId="{27B28550-5387-486D-941A-72DC92AF5873}" type="parTrans" cxnId="{8360D6B7-3229-4BEA-AFF6-81519A1378A0}">
      <dgm:prSet/>
      <dgm:spPr/>
      <dgm:t>
        <a:bodyPr/>
        <a:lstStyle/>
        <a:p>
          <a:endParaRPr lang="en-US"/>
        </a:p>
      </dgm:t>
    </dgm:pt>
    <dgm:pt modelId="{A2C14BBA-C89B-4063-8660-302AC5D33AA8}" type="sibTrans" cxnId="{8360D6B7-3229-4BEA-AFF6-81519A1378A0}">
      <dgm:prSet/>
      <dgm:spPr/>
      <dgm:t>
        <a:bodyPr/>
        <a:lstStyle/>
        <a:p>
          <a:endParaRPr lang="en-US"/>
        </a:p>
      </dgm:t>
    </dgm:pt>
    <dgm:pt modelId="{C8C69C15-767A-4750-9832-B48C3165F313}" type="pres">
      <dgm:prSet presAssocID="{99CDD4BB-9318-43EF-85F4-CAD98B4FB066}" presName="CompostProcess" presStyleCnt="0">
        <dgm:presLayoutVars>
          <dgm:dir/>
          <dgm:resizeHandles val="exact"/>
        </dgm:presLayoutVars>
      </dgm:prSet>
      <dgm:spPr/>
    </dgm:pt>
    <dgm:pt modelId="{9D1512BD-EB34-4352-A631-C9C7C705EAB9}" type="pres">
      <dgm:prSet presAssocID="{99CDD4BB-9318-43EF-85F4-CAD98B4FB066}" presName="arrow" presStyleLbl="bgShp" presStyleIdx="0" presStyleCnt="1"/>
      <dgm:spPr/>
    </dgm:pt>
    <dgm:pt modelId="{A41C8CB7-719F-4952-85A6-FC80014B0D3A}" type="pres">
      <dgm:prSet presAssocID="{99CDD4BB-9318-43EF-85F4-CAD98B4FB066}" presName="linearProcess" presStyleCnt="0"/>
      <dgm:spPr/>
    </dgm:pt>
    <dgm:pt modelId="{50A4BE51-C235-4A90-8786-2487A4FF7A99}" type="pres">
      <dgm:prSet presAssocID="{B23B6943-26E8-42BA-914C-1CDFFEA52E26}" presName="textNode" presStyleLbl="node1" presStyleIdx="0" presStyleCnt="3">
        <dgm:presLayoutVars>
          <dgm:bulletEnabled val="1"/>
        </dgm:presLayoutVars>
      </dgm:prSet>
      <dgm:spPr/>
    </dgm:pt>
    <dgm:pt modelId="{53D91780-A753-45C2-BEFB-5F1BC01F7052}" type="pres">
      <dgm:prSet presAssocID="{CE563DDD-209F-494E-BF07-99374544CFE7}" presName="sibTrans" presStyleCnt="0"/>
      <dgm:spPr/>
    </dgm:pt>
    <dgm:pt modelId="{64E8B787-EEDF-4BC0-8E63-395430C5A8E3}" type="pres">
      <dgm:prSet presAssocID="{F0D87847-135D-4091-9968-661A1B43F986}" presName="textNode" presStyleLbl="node1" presStyleIdx="1" presStyleCnt="3">
        <dgm:presLayoutVars>
          <dgm:bulletEnabled val="1"/>
        </dgm:presLayoutVars>
      </dgm:prSet>
      <dgm:spPr/>
    </dgm:pt>
    <dgm:pt modelId="{46C46656-9B7D-45BE-891A-31E8F2AAB616}" type="pres">
      <dgm:prSet presAssocID="{92052771-358A-4402-9ABD-E78509DC06C6}" presName="sibTrans" presStyleCnt="0"/>
      <dgm:spPr/>
    </dgm:pt>
    <dgm:pt modelId="{41B49137-0B24-4844-8A1A-ECCD8B6DF5B5}" type="pres">
      <dgm:prSet presAssocID="{1DA7FDFC-DFCB-40CA-BD8B-403E27826264}" presName="textNode" presStyleLbl="node1" presStyleIdx="2" presStyleCnt="3">
        <dgm:presLayoutVars>
          <dgm:bulletEnabled val="1"/>
        </dgm:presLayoutVars>
      </dgm:prSet>
      <dgm:spPr/>
    </dgm:pt>
  </dgm:ptLst>
  <dgm:cxnLst>
    <dgm:cxn modelId="{CC4E0A02-C4C7-4516-8CA0-2DE1BCEF2121}" type="presOf" srcId="{1DA7FDFC-DFCB-40CA-BD8B-403E27826264}" destId="{41B49137-0B24-4844-8A1A-ECCD8B6DF5B5}" srcOrd="0" destOrd="0" presId="urn:microsoft.com/office/officeart/2005/8/layout/hProcess9"/>
    <dgm:cxn modelId="{99298836-C0F7-4CC7-8B08-F71E07FA0691}" type="presOf" srcId="{B23B6943-26E8-42BA-914C-1CDFFEA52E26}" destId="{50A4BE51-C235-4A90-8786-2487A4FF7A99}" srcOrd="0" destOrd="0" presId="urn:microsoft.com/office/officeart/2005/8/layout/hProcess9"/>
    <dgm:cxn modelId="{59167A39-3880-4EE2-84F0-F76F691DDC20}" type="presOf" srcId="{99CDD4BB-9318-43EF-85F4-CAD98B4FB066}" destId="{C8C69C15-767A-4750-9832-B48C3165F313}" srcOrd="0" destOrd="0" presId="urn:microsoft.com/office/officeart/2005/8/layout/hProcess9"/>
    <dgm:cxn modelId="{EBDAC3AF-0C59-4147-86B7-89565D4A352A}" srcId="{99CDD4BB-9318-43EF-85F4-CAD98B4FB066}" destId="{B23B6943-26E8-42BA-914C-1CDFFEA52E26}" srcOrd="0" destOrd="0" parTransId="{6C3DB66C-5436-4347-933C-DFF619CC7D3D}" sibTransId="{CE563DDD-209F-494E-BF07-99374544CFE7}"/>
    <dgm:cxn modelId="{5C72CCB5-61C0-4CD9-AB08-9B26C5FDD42E}" srcId="{99CDD4BB-9318-43EF-85F4-CAD98B4FB066}" destId="{F0D87847-135D-4091-9968-661A1B43F986}" srcOrd="1" destOrd="0" parTransId="{14DFEDF9-1490-4371-A893-5DE010ADD198}" sibTransId="{92052771-358A-4402-9ABD-E78509DC06C6}"/>
    <dgm:cxn modelId="{8360D6B7-3229-4BEA-AFF6-81519A1378A0}" srcId="{99CDD4BB-9318-43EF-85F4-CAD98B4FB066}" destId="{1DA7FDFC-DFCB-40CA-BD8B-403E27826264}" srcOrd="2" destOrd="0" parTransId="{27B28550-5387-486D-941A-72DC92AF5873}" sibTransId="{A2C14BBA-C89B-4063-8660-302AC5D33AA8}"/>
    <dgm:cxn modelId="{E05F8FE1-72A8-4BB6-A421-684B6648CC01}" type="presOf" srcId="{F0D87847-135D-4091-9968-661A1B43F986}" destId="{64E8B787-EEDF-4BC0-8E63-395430C5A8E3}" srcOrd="0" destOrd="0" presId="urn:microsoft.com/office/officeart/2005/8/layout/hProcess9"/>
    <dgm:cxn modelId="{67ACCA0A-7AE3-4E39-B6F2-3EFED064B8B9}" type="presParOf" srcId="{C8C69C15-767A-4750-9832-B48C3165F313}" destId="{9D1512BD-EB34-4352-A631-C9C7C705EAB9}" srcOrd="0" destOrd="0" presId="urn:microsoft.com/office/officeart/2005/8/layout/hProcess9"/>
    <dgm:cxn modelId="{749D2047-9653-4768-9BC0-F8908ADDE2FB}" type="presParOf" srcId="{C8C69C15-767A-4750-9832-B48C3165F313}" destId="{A41C8CB7-719F-4952-85A6-FC80014B0D3A}" srcOrd="1" destOrd="0" presId="urn:microsoft.com/office/officeart/2005/8/layout/hProcess9"/>
    <dgm:cxn modelId="{BDC9FC85-B0CC-4AD8-9ECD-3C335579521A}" type="presParOf" srcId="{A41C8CB7-719F-4952-85A6-FC80014B0D3A}" destId="{50A4BE51-C235-4A90-8786-2487A4FF7A99}" srcOrd="0" destOrd="0" presId="urn:microsoft.com/office/officeart/2005/8/layout/hProcess9"/>
    <dgm:cxn modelId="{0812E778-733A-4588-A315-52302751E985}" type="presParOf" srcId="{A41C8CB7-719F-4952-85A6-FC80014B0D3A}" destId="{53D91780-A753-45C2-BEFB-5F1BC01F7052}" srcOrd="1" destOrd="0" presId="urn:microsoft.com/office/officeart/2005/8/layout/hProcess9"/>
    <dgm:cxn modelId="{962BFB8C-9606-49FA-A9DF-CC6518111B03}" type="presParOf" srcId="{A41C8CB7-719F-4952-85A6-FC80014B0D3A}" destId="{64E8B787-EEDF-4BC0-8E63-395430C5A8E3}" srcOrd="2" destOrd="0" presId="urn:microsoft.com/office/officeart/2005/8/layout/hProcess9"/>
    <dgm:cxn modelId="{71E25169-53AB-4ED7-B5E0-4A8E72F9357A}" type="presParOf" srcId="{A41C8CB7-719F-4952-85A6-FC80014B0D3A}" destId="{46C46656-9B7D-45BE-891A-31E8F2AAB616}" srcOrd="3" destOrd="0" presId="urn:microsoft.com/office/officeart/2005/8/layout/hProcess9"/>
    <dgm:cxn modelId="{166245E9-68E0-40DD-A766-5E199CFABC2B}" type="presParOf" srcId="{A41C8CB7-719F-4952-85A6-FC80014B0D3A}" destId="{41B49137-0B24-4844-8A1A-ECCD8B6DF5B5}" srcOrd="4" destOrd="0" presId="urn:microsoft.com/office/officeart/2005/8/layout/hProcess9"/>
  </dgm:cxnLst>
  <dgm:bg/>
  <dgm:whole/>
  <dgm:extLst>
    <a:ext uri="http://schemas.microsoft.com/office/drawing/2008/diagram">
      <dsp:dataModelExt xmlns:dsp="http://schemas.microsoft.com/office/drawing/2008/diagram" relId="rId2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9E57B54-EB3C-4AB5-B88F-3B86DB2C2EA9}"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n-US"/>
        </a:p>
      </dgm:t>
    </dgm:pt>
    <dgm:pt modelId="{BB563388-C3BC-494E-9077-5CF375F5D0C0}">
      <dgm:prSet phldrT="[Text]"/>
      <dgm:spPr/>
      <dgm:t>
        <a:bodyPr/>
        <a:lstStyle/>
        <a:p>
          <a:r>
            <a:rPr lang="en-US"/>
            <a:t>Replicability</a:t>
          </a:r>
        </a:p>
      </dgm:t>
    </dgm:pt>
    <dgm:pt modelId="{9DC03A54-F0C0-4B69-99F8-69C5E7E7E84B}" type="parTrans" cxnId="{E28A1708-544B-4D5A-A6E1-C935E89D6CF9}">
      <dgm:prSet/>
      <dgm:spPr/>
      <dgm:t>
        <a:bodyPr/>
        <a:lstStyle/>
        <a:p>
          <a:endParaRPr lang="en-US"/>
        </a:p>
      </dgm:t>
    </dgm:pt>
    <dgm:pt modelId="{ED1AAD0D-0662-4C72-A972-1868F723FB7A}" type="sibTrans" cxnId="{E28A1708-544B-4D5A-A6E1-C935E89D6CF9}">
      <dgm:prSet/>
      <dgm:spPr/>
      <dgm:t>
        <a:bodyPr/>
        <a:lstStyle/>
        <a:p>
          <a:endParaRPr lang="en-US"/>
        </a:p>
      </dgm:t>
    </dgm:pt>
    <dgm:pt modelId="{2EECF780-5490-4E7A-993A-4BD81FDA8224}">
      <dgm:prSet phldrT="[Text]"/>
      <dgm:spPr/>
      <dgm:t>
        <a:bodyPr/>
        <a:lstStyle/>
        <a:p>
          <a:r>
            <a:rPr lang="en-US"/>
            <a:t>Precision</a:t>
          </a:r>
        </a:p>
      </dgm:t>
    </dgm:pt>
    <dgm:pt modelId="{44F7BD44-7A9D-40BB-BE8C-833AAA8DC2BA}" type="parTrans" cxnId="{14452141-D903-4FE2-AE65-263649035A9C}">
      <dgm:prSet/>
      <dgm:spPr/>
      <dgm:t>
        <a:bodyPr/>
        <a:lstStyle/>
        <a:p>
          <a:endParaRPr lang="en-US"/>
        </a:p>
      </dgm:t>
    </dgm:pt>
    <dgm:pt modelId="{8E845DEB-B126-463D-AA04-0E1739A903EE}" type="sibTrans" cxnId="{14452141-D903-4FE2-AE65-263649035A9C}">
      <dgm:prSet/>
      <dgm:spPr/>
      <dgm:t>
        <a:bodyPr/>
        <a:lstStyle/>
        <a:p>
          <a:endParaRPr lang="en-US"/>
        </a:p>
      </dgm:t>
    </dgm:pt>
    <dgm:pt modelId="{86B83CFE-7E5F-460F-B361-7965A434A109}">
      <dgm:prSet phldrT="[Text]"/>
      <dgm:spPr/>
      <dgm:t>
        <a:bodyPr/>
        <a:lstStyle/>
        <a:p>
          <a:r>
            <a:rPr lang="en-US"/>
            <a:t>Falsifiability</a:t>
          </a:r>
        </a:p>
      </dgm:t>
    </dgm:pt>
    <dgm:pt modelId="{EF08AD61-23D2-4823-91AE-0FD1BFE4A9AB}" type="parTrans" cxnId="{C1AD9311-E086-49FC-8EE9-B6685999FDCB}">
      <dgm:prSet/>
      <dgm:spPr/>
      <dgm:t>
        <a:bodyPr/>
        <a:lstStyle/>
        <a:p>
          <a:endParaRPr lang="en-US"/>
        </a:p>
      </dgm:t>
    </dgm:pt>
    <dgm:pt modelId="{4FC4FBC6-9E26-4715-9B3A-555F7901F96C}" type="sibTrans" cxnId="{C1AD9311-E086-49FC-8EE9-B6685999FDCB}">
      <dgm:prSet/>
      <dgm:spPr/>
      <dgm:t>
        <a:bodyPr/>
        <a:lstStyle/>
        <a:p>
          <a:endParaRPr lang="en-US"/>
        </a:p>
      </dgm:t>
    </dgm:pt>
    <dgm:pt modelId="{78D04F09-4969-4513-A7CF-922FF914D682}">
      <dgm:prSet phldrT="[Text]"/>
      <dgm:spPr/>
      <dgm:t>
        <a:bodyPr/>
        <a:lstStyle/>
        <a:p>
          <a:r>
            <a:rPr lang="en-US"/>
            <a:t>Parsimony</a:t>
          </a:r>
        </a:p>
      </dgm:t>
    </dgm:pt>
    <dgm:pt modelId="{1A471B60-9B03-40E2-8BF1-D197618F4094}" type="parTrans" cxnId="{73B3E352-70BF-4608-B198-D32217709C92}">
      <dgm:prSet/>
      <dgm:spPr/>
      <dgm:t>
        <a:bodyPr/>
        <a:lstStyle/>
        <a:p>
          <a:endParaRPr lang="en-US"/>
        </a:p>
      </dgm:t>
    </dgm:pt>
    <dgm:pt modelId="{18489540-9EC8-4F3C-9B0C-863FEBE19269}" type="sibTrans" cxnId="{73B3E352-70BF-4608-B198-D32217709C92}">
      <dgm:prSet/>
      <dgm:spPr/>
      <dgm:t>
        <a:bodyPr/>
        <a:lstStyle/>
        <a:p>
          <a:endParaRPr lang="en-US"/>
        </a:p>
      </dgm:t>
    </dgm:pt>
    <dgm:pt modelId="{04D27E71-723C-4614-973C-A71EECDCAF95}" type="pres">
      <dgm:prSet presAssocID="{09E57B54-EB3C-4AB5-B88F-3B86DB2C2EA9}" presName="diagram" presStyleCnt="0">
        <dgm:presLayoutVars>
          <dgm:dir/>
          <dgm:resizeHandles val="exact"/>
        </dgm:presLayoutVars>
      </dgm:prSet>
      <dgm:spPr/>
    </dgm:pt>
    <dgm:pt modelId="{468F5977-B5CE-4332-A540-A8C93225CF83}" type="pres">
      <dgm:prSet presAssocID="{BB563388-C3BC-494E-9077-5CF375F5D0C0}" presName="node" presStyleLbl="node1" presStyleIdx="0" presStyleCnt="4">
        <dgm:presLayoutVars>
          <dgm:bulletEnabled val="1"/>
        </dgm:presLayoutVars>
      </dgm:prSet>
      <dgm:spPr/>
    </dgm:pt>
    <dgm:pt modelId="{C5F26D5D-2DCE-4E0F-90E8-45B187B2EED7}" type="pres">
      <dgm:prSet presAssocID="{ED1AAD0D-0662-4C72-A972-1868F723FB7A}" presName="sibTrans" presStyleCnt="0"/>
      <dgm:spPr/>
    </dgm:pt>
    <dgm:pt modelId="{385F382B-04CB-4A7B-BE86-AB2953EE89F4}" type="pres">
      <dgm:prSet presAssocID="{2EECF780-5490-4E7A-993A-4BD81FDA8224}" presName="node" presStyleLbl="node1" presStyleIdx="1" presStyleCnt="4">
        <dgm:presLayoutVars>
          <dgm:bulletEnabled val="1"/>
        </dgm:presLayoutVars>
      </dgm:prSet>
      <dgm:spPr/>
    </dgm:pt>
    <dgm:pt modelId="{A35F6C46-99A4-48FC-9279-54100F827276}" type="pres">
      <dgm:prSet presAssocID="{8E845DEB-B126-463D-AA04-0E1739A903EE}" presName="sibTrans" presStyleCnt="0"/>
      <dgm:spPr/>
    </dgm:pt>
    <dgm:pt modelId="{C0BE70A1-3406-4F21-8201-EB393155B2F4}" type="pres">
      <dgm:prSet presAssocID="{86B83CFE-7E5F-460F-B361-7965A434A109}" presName="node" presStyleLbl="node1" presStyleIdx="2" presStyleCnt="4">
        <dgm:presLayoutVars>
          <dgm:bulletEnabled val="1"/>
        </dgm:presLayoutVars>
      </dgm:prSet>
      <dgm:spPr/>
    </dgm:pt>
    <dgm:pt modelId="{47759886-5832-49AE-AA70-752F4F005A73}" type="pres">
      <dgm:prSet presAssocID="{4FC4FBC6-9E26-4715-9B3A-555F7901F96C}" presName="sibTrans" presStyleCnt="0"/>
      <dgm:spPr/>
    </dgm:pt>
    <dgm:pt modelId="{33E3B33F-7ECF-47DA-8B35-675F8F73E240}" type="pres">
      <dgm:prSet presAssocID="{78D04F09-4969-4513-A7CF-922FF914D682}" presName="node" presStyleLbl="node1" presStyleIdx="3" presStyleCnt="4">
        <dgm:presLayoutVars>
          <dgm:bulletEnabled val="1"/>
        </dgm:presLayoutVars>
      </dgm:prSet>
      <dgm:spPr/>
    </dgm:pt>
  </dgm:ptLst>
  <dgm:cxnLst>
    <dgm:cxn modelId="{E28A1708-544B-4D5A-A6E1-C935E89D6CF9}" srcId="{09E57B54-EB3C-4AB5-B88F-3B86DB2C2EA9}" destId="{BB563388-C3BC-494E-9077-5CF375F5D0C0}" srcOrd="0" destOrd="0" parTransId="{9DC03A54-F0C0-4B69-99F8-69C5E7E7E84B}" sibTransId="{ED1AAD0D-0662-4C72-A972-1868F723FB7A}"/>
    <dgm:cxn modelId="{C1AD9311-E086-49FC-8EE9-B6685999FDCB}" srcId="{09E57B54-EB3C-4AB5-B88F-3B86DB2C2EA9}" destId="{86B83CFE-7E5F-460F-B361-7965A434A109}" srcOrd="2" destOrd="0" parTransId="{EF08AD61-23D2-4823-91AE-0FD1BFE4A9AB}" sibTransId="{4FC4FBC6-9E26-4715-9B3A-555F7901F96C}"/>
    <dgm:cxn modelId="{0BC7341C-C7F2-4570-8392-0C7D5F0E6E34}" type="presOf" srcId="{2EECF780-5490-4E7A-993A-4BD81FDA8224}" destId="{385F382B-04CB-4A7B-BE86-AB2953EE89F4}" srcOrd="0" destOrd="0" presId="urn:microsoft.com/office/officeart/2005/8/layout/default"/>
    <dgm:cxn modelId="{9D087924-F862-42B4-95D9-21A294F55B45}" type="presOf" srcId="{BB563388-C3BC-494E-9077-5CF375F5D0C0}" destId="{468F5977-B5CE-4332-A540-A8C93225CF83}" srcOrd="0" destOrd="0" presId="urn:microsoft.com/office/officeart/2005/8/layout/default"/>
    <dgm:cxn modelId="{14452141-D903-4FE2-AE65-263649035A9C}" srcId="{09E57B54-EB3C-4AB5-B88F-3B86DB2C2EA9}" destId="{2EECF780-5490-4E7A-993A-4BD81FDA8224}" srcOrd="1" destOrd="0" parTransId="{44F7BD44-7A9D-40BB-BE8C-833AAA8DC2BA}" sibTransId="{8E845DEB-B126-463D-AA04-0E1739A903EE}"/>
    <dgm:cxn modelId="{73B3E352-70BF-4608-B198-D32217709C92}" srcId="{09E57B54-EB3C-4AB5-B88F-3B86DB2C2EA9}" destId="{78D04F09-4969-4513-A7CF-922FF914D682}" srcOrd="3" destOrd="0" parTransId="{1A471B60-9B03-40E2-8BF1-D197618F4094}" sibTransId="{18489540-9EC8-4F3C-9B0C-863FEBE19269}"/>
    <dgm:cxn modelId="{997B7A54-BFAF-40A4-91F5-4263BFDE2092}" type="presOf" srcId="{86B83CFE-7E5F-460F-B361-7965A434A109}" destId="{C0BE70A1-3406-4F21-8201-EB393155B2F4}" srcOrd="0" destOrd="0" presId="urn:microsoft.com/office/officeart/2005/8/layout/default"/>
    <dgm:cxn modelId="{0DD2F392-6A7D-4BA2-95AB-401D2F2A1E26}" type="presOf" srcId="{09E57B54-EB3C-4AB5-B88F-3B86DB2C2EA9}" destId="{04D27E71-723C-4614-973C-A71EECDCAF95}" srcOrd="0" destOrd="0" presId="urn:microsoft.com/office/officeart/2005/8/layout/default"/>
    <dgm:cxn modelId="{EFC450CB-46E4-44BE-ABCB-69186646DC8D}" type="presOf" srcId="{78D04F09-4969-4513-A7CF-922FF914D682}" destId="{33E3B33F-7ECF-47DA-8B35-675F8F73E240}" srcOrd="0" destOrd="0" presId="urn:microsoft.com/office/officeart/2005/8/layout/default"/>
    <dgm:cxn modelId="{90A95C30-D862-4CC7-9857-1F3EB27B833F}" type="presParOf" srcId="{04D27E71-723C-4614-973C-A71EECDCAF95}" destId="{468F5977-B5CE-4332-A540-A8C93225CF83}" srcOrd="0" destOrd="0" presId="urn:microsoft.com/office/officeart/2005/8/layout/default"/>
    <dgm:cxn modelId="{385647AE-5B72-4F6D-ABE1-D8649A573E18}" type="presParOf" srcId="{04D27E71-723C-4614-973C-A71EECDCAF95}" destId="{C5F26D5D-2DCE-4E0F-90E8-45B187B2EED7}" srcOrd="1" destOrd="0" presId="urn:microsoft.com/office/officeart/2005/8/layout/default"/>
    <dgm:cxn modelId="{C56D3EBA-E320-41F3-A657-68FA543E36BA}" type="presParOf" srcId="{04D27E71-723C-4614-973C-A71EECDCAF95}" destId="{385F382B-04CB-4A7B-BE86-AB2953EE89F4}" srcOrd="2" destOrd="0" presId="urn:microsoft.com/office/officeart/2005/8/layout/default"/>
    <dgm:cxn modelId="{EAC96050-71C4-4351-BA49-61B657E30658}" type="presParOf" srcId="{04D27E71-723C-4614-973C-A71EECDCAF95}" destId="{A35F6C46-99A4-48FC-9279-54100F827276}" srcOrd="3" destOrd="0" presId="urn:microsoft.com/office/officeart/2005/8/layout/default"/>
    <dgm:cxn modelId="{70708A55-63F0-43C1-9777-06B9F56E3060}" type="presParOf" srcId="{04D27E71-723C-4614-973C-A71EECDCAF95}" destId="{C0BE70A1-3406-4F21-8201-EB393155B2F4}" srcOrd="4" destOrd="0" presId="urn:microsoft.com/office/officeart/2005/8/layout/default"/>
    <dgm:cxn modelId="{32704E23-6D5F-415F-817D-2FF7C67A3FAB}" type="presParOf" srcId="{04D27E71-723C-4614-973C-A71EECDCAF95}" destId="{47759886-5832-49AE-AA70-752F4F005A73}" srcOrd="5" destOrd="0" presId="urn:microsoft.com/office/officeart/2005/8/layout/default"/>
    <dgm:cxn modelId="{54C987F3-2E61-4EA1-98C1-C32709D9F854}" type="presParOf" srcId="{04D27E71-723C-4614-973C-A71EECDCAF95}" destId="{33E3B33F-7ECF-47DA-8B35-675F8F73E240}" srcOrd="6" destOrd="0" presId="urn:microsoft.com/office/officeart/2005/8/layout/defaul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F5C3AE0-B9C0-4517-ABF4-5D328E7B8C93}" type="doc">
      <dgm:prSet loTypeId="urn:microsoft.com/office/officeart/2008/layout/HexagonCluster" loCatId="relationship" qsTypeId="urn:microsoft.com/office/officeart/2005/8/quickstyle/simple1" qsCatId="simple" csTypeId="urn:microsoft.com/office/officeart/2005/8/colors/colorful1" csCatId="colorful" phldr="1"/>
      <dgm:spPr/>
      <dgm:t>
        <a:bodyPr/>
        <a:lstStyle/>
        <a:p>
          <a:endParaRPr lang="en-US"/>
        </a:p>
      </dgm:t>
    </dgm:pt>
    <dgm:pt modelId="{838B76A2-B5D5-4E63-887C-2D266D1FA49E}">
      <dgm:prSet phldrT="[Text]"/>
      <dgm:spPr/>
      <dgm:t>
        <a:bodyPr/>
        <a:lstStyle/>
        <a:p>
          <a:r>
            <a:rPr lang="en-US"/>
            <a:t>Explanatory</a:t>
          </a:r>
        </a:p>
      </dgm:t>
    </dgm:pt>
    <dgm:pt modelId="{201CDC2C-A48F-47F3-BE95-DF4EC7B749AD}" type="parTrans" cxnId="{122E17E4-DD6F-4F0F-A765-3AAEC6DEB06C}">
      <dgm:prSet/>
      <dgm:spPr/>
      <dgm:t>
        <a:bodyPr/>
        <a:lstStyle/>
        <a:p>
          <a:endParaRPr lang="en-US"/>
        </a:p>
      </dgm:t>
    </dgm:pt>
    <dgm:pt modelId="{1606BA7A-4FFF-4FE9-A836-D213DBA0C30E}" type="sibTrans" cxnId="{122E17E4-DD6F-4F0F-A765-3AAEC6DEB06C}">
      <dgm:prSet/>
      <dgm:spPr>
        <a:blipFill>
          <a:blip xmlns:r="http://schemas.openxmlformats.org/officeDocument/2006/relationships" r:embed="rId1"/>
          <a:srcRect/>
          <a:stretch>
            <a:fillRect t="-8000" b="-8000"/>
          </a:stretch>
        </a:blipFill>
      </dgm:spPr>
      <dgm:t>
        <a:bodyPr/>
        <a:lstStyle/>
        <a:p>
          <a:endParaRPr lang="en-US"/>
        </a:p>
      </dgm:t>
    </dgm:pt>
    <dgm:pt modelId="{B0DEF4A7-B876-4236-B2A1-8CD8F49F9944}">
      <dgm:prSet phldrT="[Text]"/>
      <dgm:spPr/>
      <dgm:t>
        <a:bodyPr/>
        <a:lstStyle/>
        <a:p>
          <a:r>
            <a:rPr lang="en-US"/>
            <a:t>Descriptive</a:t>
          </a:r>
        </a:p>
      </dgm:t>
    </dgm:pt>
    <dgm:pt modelId="{36F29943-8340-49CA-A70C-D89D13ECEBEA}" type="parTrans" cxnId="{9475DA20-6517-475A-A736-BDE1A254BA02}">
      <dgm:prSet/>
      <dgm:spPr/>
      <dgm:t>
        <a:bodyPr/>
        <a:lstStyle/>
        <a:p>
          <a:endParaRPr lang="en-US"/>
        </a:p>
      </dgm:t>
    </dgm:pt>
    <dgm:pt modelId="{13B78AD9-20C4-41A2-B38B-4893CAE47EDD}" type="sibTrans" cxnId="{9475DA20-6517-475A-A736-BDE1A254BA02}">
      <dgm:prSet/>
      <dgm:spPr>
        <a:blipFill>
          <a:blip xmlns:r="http://schemas.openxmlformats.org/officeDocument/2006/relationships" r:embed="rId2"/>
          <a:srcRect/>
          <a:stretch>
            <a:fillRect t="-8000" b="-8000"/>
          </a:stretch>
        </a:blipFill>
      </dgm:spPr>
      <dgm:t>
        <a:bodyPr/>
        <a:lstStyle/>
        <a:p>
          <a:endParaRPr lang="en-US"/>
        </a:p>
      </dgm:t>
    </dgm:pt>
    <dgm:pt modelId="{E72DA304-8AC5-4637-8139-5008B5BE7C3D}">
      <dgm:prSet phldrT="[Text]"/>
      <dgm:spPr/>
      <dgm:t>
        <a:bodyPr/>
        <a:lstStyle/>
        <a:p>
          <a:r>
            <a:rPr lang="en-US"/>
            <a:t>Exploratory</a:t>
          </a:r>
        </a:p>
      </dgm:t>
    </dgm:pt>
    <dgm:pt modelId="{EFD7F0E9-EBE7-443D-9D40-8D21D316075D}" type="parTrans" cxnId="{44C80AE8-9F31-4978-8106-8AFB6DAA0200}">
      <dgm:prSet/>
      <dgm:spPr/>
      <dgm:t>
        <a:bodyPr/>
        <a:lstStyle/>
        <a:p>
          <a:endParaRPr lang="en-US"/>
        </a:p>
      </dgm:t>
    </dgm:pt>
    <dgm:pt modelId="{F0A159D2-B899-43FF-88FC-C91868C6C900}" type="sibTrans" cxnId="{44C80AE8-9F31-4978-8106-8AFB6DAA0200}">
      <dgm:prSet/>
      <dgm:spPr>
        <a:blipFill>
          <a:blip xmlns:r="http://schemas.openxmlformats.org/officeDocument/2006/relationships" r:embed="rId3"/>
          <a:srcRect/>
          <a:stretch>
            <a:fillRect t="-8000" b="-8000"/>
          </a:stretch>
        </a:blipFill>
      </dgm:spPr>
      <dgm:t>
        <a:bodyPr/>
        <a:lstStyle/>
        <a:p>
          <a:endParaRPr lang="en-US"/>
        </a:p>
      </dgm:t>
    </dgm:pt>
    <dgm:pt modelId="{0CE59BCE-8312-42E2-827F-F37AE1428138}" type="pres">
      <dgm:prSet presAssocID="{8F5C3AE0-B9C0-4517-ABF4-5D328E7B8C93}" presName="Name0" presStyleCnt="0">
        <dgm:presLayoutVars>
          <dgm:chMax val="21"/>
          <dgm:chPref val="21"/>
        </dgm:presLayoutVars>
      </dgm:prSet>
      <dgm:spPr/>
    </dgm:pt>
    <dgm:pt modelId="{9B3872C2-6A9A-4B73-8BEB-DFE657DCA2B0}" type="pres">
      <dgm:prSet presAssocID="{838B76A2-B5D5-4E63-887C-2D266D1FA49E}" presName="text1" presStyleCnt="0"/>
      <dgm:spPr/>
    </dgm:pt>
    <dgm:pt modelId="{E9503ED9-868D-40CA-930B-3BE6AB4695F3}" type="pres">
      <dgm:prSet presAssocID="{838B76A2-B5D5-4E63-887C-2D266D1FA49E}" presName="textRepeatNode" presStyleLbl="alignNode1" presStyleIdx="0" presStyleCnt="3">
        <dgm:presLayoutVars>
          <dgm:chMax val="0"/>
          <dgm:chPref val="0"/>
          <dgm:bulletEnabled val="1"/>
        </dgm:presLayoutVars>
      </dgm:prSet>
      <dgm:spPr/>
    </dgm:pt>
    <dgm:pt modelId="{FFFDEE78-4128-4BF4-91F9-5F09410F5CEE}" type="pres">
      <dgm:prSet presAssocID="{838B76A2-B5D5-4E63-887C-2D266D1FA49E}" presName="textaccent1" presStyleCnt="0"/>
      <dgm:spPr/>
    </dgm:pt>
    <dgm:pt modelId="{F0EC6EC8-1690-4B97-B1CD-49E0556BF51D}" type="pres">
      <dgm:prSet presAssocID="{838B76A2-B5D5-4E63-887C-2D266D1FA49E}" presName="accentRepeatNode" presStyleLbl="solidAlignAcc1" presStyleIdx="0" presStyleCnt="6"/>
      <dgm:spPr/>
    </dgm:pt>
    <dgm:pt modelId="{21EC7BA0-7E57-4C10-B952-A8DE39F40170}" type="pres">
      <dgm:prSet presAssocID="{1606BA7A-4FFF-4FE9-A836-D213DBA0C30E}" presName="image1" presStyleCnt="0"/>
      <dgm:spPr/>
    </dgm:pt>
    <dgm:pt modelId="{F87165F1-C756-4D0C-B669-E44ADBB3F5EB}" type="pres">
      <dgm:prSet presAssocID="{1606BA7A-4FFF-4FE9-A836-D213DBA0C30E}" presName="imageRepeatNode" presStyleLbl="alignAcc1" presStyleIdx="0" presStyleCnt="3"/>
      <dgm:spPr/>
    </dgm:pt>
    <dgm:pt modelId="{E6FDA99C-C482-4629-9C59-C883390AAFA3}" type="pres">
      <dgm:prSet presAssocID="{1606BA7A-4FFF-4FE9-A836-D213DBA0C30E}" presName="imageaccent1" presStyleCnt="0"/>
      <dgm:spPr/>
    </dgm:pt>
    <dgm:pt modelId="{2D165675-C960-42FB-ADAB-63F58FB342E7}" type="pres">
      <dgm:prSet presAssocID="{1606BA7A-4FFF-4FE9-A836-D213DBA0C30E}" presName="accentRepeatNode" presStyleLbl="solidAlignAcc1" presStyleIdx="1" presStyleCnt="6"/>
      <dgm:spPr/>
    </dgm:pt>
    <dgm:pt modelId="{B6D83730-8C2B-4AA0-BF0C-B0F81A8A0C8F}" type="pres">
      <dgm:prSet presAssocID="{B0DEF4A7-B876-4236-B2A1-8CD8F49F9944}" presName="text2" presStyleCnt="0"/>
      <dgm:spPr/>
    </dgm:pt>
    <dgm:pt modelId="{A1F1D6BA-D1A7-4AA6-BDA0-5E7AFD0F7DFE}" type="pres">
      <dgm:prSet presAssocID="{B0DEF4A7-B876-4236-B2A1-8CD8F49F9944}" presName="textRepeatNode" presStyleLbl="alignNode1" presStyleIdx="1" presStyleCnt="3">
        <dgm:presLayoutVars>
          <dgm:chMax val="0"/>
          <dgm:chPref val="0"/>
          <dgm:bulletEnabled val="1"/>
        </dgm:presLayoutVars>
      </dgm:prSet>
      <dgm:spPr/>
    </dgm:pt>
    <dgm:pt modelId="{0B6333E6-99E0-4DFF-87B3-F2017E8FDF6D}" type="pres">
      <dgm:prSet presAssocID="{B0DEF4A7-B876-4236-B2A1-8CD8F49F9944}" presName="textaccent2" presStyleCnt="0"/>
      <dgm:spPr/>
    </dgm:pt>
    <dgm:pt modelId="{C8CE781F-7837-4D96-86F0-6016A96E2175}" type="pres">
      <dgm:prSet presAssocID="{B0DEF4A7-B876-4236-B2A1-8CD8F49F9944}" presName="accentRepeatNode" presStyleLbl="solidAlignAcc1" presStyleIdx="2" presStyleCnt="6"/>
      <dgm:spPr/>
    </dgm:pt>
    <dgm:pt modelId="{C6675917-A305-428E-8A38-A31B134F219A}" type="pres">
      <dgm:prSet presAssocID="{13B78AD9-20C4-41A2-B38B-4893CAE47EDD}" presName="image2" presStyleCnt="0"/>
      <dgm:spPr/>
    </dgm:pt>
    <dgm:pt modelId="{9D95934B-33B5-4F00-BB42-89BF489F4678}" type="pres">
      <dgm:prSet presAssocID="{13B78AD9-20C4-41A2-B38B-4893CAE47EDD}" presName="imageRepeatNode" presStyleLbl="alignAcc1" presStyleIdx="1" presStyleCnt="3"/>
      <dgm:spPr/>
    </dgm:pt>
    <dgm:pt modelId="{E5AC07C7-919C-43AB-A146-A6C35464A5DA}" type="pres">
      <dgm:prSet presAssocID="{13B78AD9-20C4-41A2-B38B-4893CAE47EDD}" presName="imageaccent2" presStyleCnt="0"/>
      <dgm:spPr/>
    </dgm:pt>
    <dgm:pt modelId="{C2CC4417-45AC-40E9-9914-D7794CE772FE}" type="pres">
      <dgm:prSet presAssocID="{13B78AD9-20C4-41A2-B38B-4893CAE47EDD}" presName="accentRepeatNode" presStyleLbl="solidAlignAcc1" presStyleIdx="3" presStyleCnt="6"/>
      <dgm:spPr/>
    </dgm:pt>
    <dgm:pt modelId="{F08E9C14-2A97-43B9-A861-17A5D065FAD0}" type="pres">
      <dgm:prSet presAssocID="{E72DA304-8AC5-4637-8139-5008B5BE7C3D}" presName="text3" presStyleCnt="0"/>
      <dgm:spPr/>
    </dgm:pt>
    <dgm:pt modelId="{75A0ABAD-7CB8-4123-92C7-F5DC050DA631}" type="pres">
      <dgm:prSet presAssocID="{E72DA304-8AC5-4637-8139-5008B5BE7C3D}" presName="textRepeatNode" presStyleLbl="alignNode1" presStyleIdx="2" presStyleCnt="3">
        <dgm:presLayoutVars>
          <dgm:chMax val="0"/>
          <dgm:chPref val="0"/>
          <dgm:bulletEnabled val="1"/>
        </dgm:presLayoutVars>
      </dgm:prSet>
      <dgm:spPr/>
    </dgm:pt>
    <dgm:pt modelId="{B4BC4A8C-C35D-42C2-A564-9BCBEE10D874}" type="pres">
      <dgm:prSet presAssocID="{E72DA304-8AC5-4637-8139-5008B5BE7C3D}" presName="textaccent3" presStyleCnt="0"/>
      <dgm:spPr/>
    </dgm:pt>
    <dgm:pt modelId="{B2550EDF-B249-4205-AD91-8E6FA49EF8BC}" type="pres">
      <dgm:prSet presAssocID="{E72DA304-8AC5-4637-8139-5008B5BE7C3D}" presName="accentRepeatNode" presStyleLbl="solidAlignAcc1" presStyleIdx="4" presStyleCnt="6"/>
      <dgm:spPr/>
    </dgm:pt>
    <dgm:pt modelId="{EE5665F2-85EB-4318-A14F-99D9F9DCF0E5}" type="pres">
      <dgm:prSet presAssocID="{F0A159D2-B899-43FF-88FC-C91868C6C900}" presName="image3" presStyleCnt="0"/>
      <dgm:spPr/>
    </dgm:pt>
    <dgm:pt modelId="{998EEB00-6E2D-4439-9220-EB8A86E51A58}" type="pres">
      <dgm:prSet presAssocID="{F0A159D2-B899-43FF-88FC-C91868C6C900}" presName="imageRepeatNode" presStyleLbl="alignAcc1" presStyleIdx="2" presStyleCnt="3"/>
      <dgm:spPr/>
    </dgm:pt>
    <dgm:pt modelId="{36AA051D-2DC0-4163-BB08-791B20833E83}" type="pres">
      <dgm:prSet presAssocID="{F0A159D2-B899-43FF-88FC-C91868C6C900}" presName="imageaccent3" presStyleCnt="0"/>
      <dgm:spPr/>
    </dgm:pt>
    <dgm:pt modelId="{1084AB22-365E-432B-92BC-70F53658397E}" type="pres">
      <dgm:prSet presAssocID="{F0A159D2-B899-43FF-88FC-C91868C6C900}" presName="accentRepeatNode" presStyleLbl="solidAlignAcc1" presStyleIdx="5" presStyleCnt="6"/>
      <dgm:spPr/>
    </dgm:pt>
  </dgm:ptLst>
  <dgm:cxnLst>
    <dgm:cxn modelId="{9475DA20-6517-475A-A736-BDE1A254BA02}" srcId="{8F5C3AE0-B9C0-4517-ABF4-5D328E7B8C93}" destId="{B0DEF4A7-B876-4236-B2A1-8CD8F49F9944}" srcOrd="1" destOrd="0" parTransId="{36F29943-8340-49CA-A70C-D89D13ECEBEA}" sibTransId="{13B78AD9-20C4-41A2-B38B-4893CAE47EDD}"/>
    <dgm:cxn modelId="{20989322-DEC2-408C-BA37-CD162590D243}" type="presOf" srcId="{8F5C3AE0-B9C0-4517-ABF4-5D328E7B8C93}" destId="{0CE59BCE-8312-42E2-827F-F37AE1428138}" srcOrd="0" destOrd="0" presId="urn:microsoft.com/office/officeart/2008/layout/HexagonCluster"/>
    <dgm:cxn modelId="{5A54566B-00FF-46A3-9598-95BE091D585C}" type="presOf" srcId="{E72DA304-8AC5-4637-8139-5008B5BE7C3D}" destId="{75A0ABAD-7CB8-4123-92C7-F5DC050DA631}" srcOrd="0" destOrd="0" presId="urn:microsoft.com/office/officeart/2008/layout/HexagonCluster"/>
    <dgm:cxn modelId="{DA484B55-E26F-4D67-A44D-F7E5B96163C2}" type="presOf" srcId="{838B76A2-B5D5-4E63-887C-2D266D1FA49E}" destId="{E9503ED9-868D-40CA-930B-3BE6AB4695F3}" srcOrd="0" destOrd="0" presId="urn:microsoft.com/office/officeart/2008/layout/HexagonCluster"/>
    <dgm:cxn modelId="{006740A5-FF70-40F9-99C8-2EFF759078AB}" type="presOf" srcId="{13B78AD9-20C4-41A2-B38B-4893CAE47EDD}" destId="{9D95934B-33B5-4F00-BB42-89BF489F4678}" srcOrd="0" destOrd="0" presId="urn:microsoft.com/office/officeart/2008/layout/HexagonCluster"/>
    <dgm:cxn modelId="{2E60E1B4-316D-4296-BFAA-08F39AF050F1}" type="presOf" srcId="{1606BA7A-4FFF-4FE9-A836-D213DBA0C30E}" destId="{F87165F1-C756-4D0C-B669-E44ADBB3F5EB}" srcOrd="0" destOrd="0" presId="urn:microsoft.com/office/officeart/2008/layout/HexagonCluster"/>
    <dgm:cxn modelId="{BFDC06BF-CAEA-46D5-9FA4-F042DA5A6CF6}" type="presOf" srcId="{B0DEF4A7-B876-4236-B2A1-8CD8F49F9944}" destId="{A1F1D6BA-D1A7-4AA6-BDA0-5E7AFD0F7DFE}" srcOrd="0" destOrd="0" presId="urn:microsoft.com/office/officeart/2008/layout/HexagonCluster"/>
    <dgm:cxn modelId="{122E17E4-DD6F-4F0F-A765-3AAEC6DEB06C}" srcId="{8F5C3AE0-B9C0-4517-ABF4-5D328E7B8C93}" destId="{838B76A2-B5D5-4E63-887C-2D266D1FA49E}" srcOrd="0" destOrd="0" parTransId="{201CDC2C-A48F-47F3-BE95-DF4EC7B749AD}" sibTransId="{1606BA7A-4FFF-4FE9-A836-D213DBA0C30E}"/>
    <dgm:cxn modelId="{44C80AE8-9F31-4978-8106-8AFB6DAA0200}" srcId="{8F5C3AE0-B9C0-4517-ABF4-5D328E7B8C93}" destId="{E72DA304-8AC5-4637-8139-5008B5BE7C3D}" srcOrd="2" destOrd="0" parTransId="{EFD7F0E9-EBE7-443D-9D40-8D21D316075D}" sibTransId="{F0A159D2-B899-43FF-88FC-C91868C6C900}"/>
    <dgm:cxn modelId="{C9027FF6-766D-4432-B1E7-50AD93738468}" type="presOf" srcId="{F0A159D2-B899-43FF-88FC-C91868C6C900}" destId="{998EEB00-6E2D-4439-9220-EB8A86E51A58}" srcOrd="0" destOrd="0" presId="urn:microsoft.com/office/officeart/2008/layout/HexagonCluster"/>
    <dgm:cxn modelId="{1BC9D007-91FA-422F-A765-70AE4394885C}" type="presParOf" srcId="{0CE59BCE-8312-42E2-827F-F37AE1428138}" destId="{9B3872C2-6A9A-4B73-8BEB-DFE657DCA2B0}" srcOrd="0" destOrd="0" presId="urn:microsoft.com/office/officeart/2008/layout/HexagonCluster"/>
    <dgm:cxn modelId="{37575D82-5E54-4E6B-8CA8-D6C8980B787D}" type="presParOf" srcId="{9B3872C2-6A9A-4B73-8BEB-DFE657DCA2B0}" destId="{E9503ED9-868D-40CA-930B-3BE6AB4695F3}" srcOrd="0" destOrd="0" presId="urn:microsoft.com/office/officeart/2008/layout/HexagonCluster"/>
    <dgm:cxn modelId="{29190258-12D4-494E-92F5-B299AC0D9447}" type="presParOf" srcId="{0CE59BCE-8312-42E2-827F-F37AE1428138}" destId="{FFFDEE78-4128-4BF4-91F9-5F09410F5CEE}" srcOrd="1" destOrd="0" presId="urn:microsoft.com/office/officeart/2008/layout/HexagonCluster"/>
    <dgm:cxn modelId="{AC101A7D-A476-4EED-B3DA-9F95F8F7A22E}" type="presParOf" srcId="{FFFDEE78-4128-4BF4-91F9-5F09410F5CEE}" destId="{F0EC6EC8-1690-4B97-B1CD-49E0556BF51D}" srcOrd="0" destOrd="0" presId="urn:microsoft.com/office/officeart/2008/layout/HexagonCluster"/>
    <dgm:cxn modelId="{9DB67E4A-CA1D-4E7C-BC8B-BD055FEF5B41}" type="presParOf" srcId="{0CE59BCE-8312-42E2-827F-F37AE1428138}" destId="{21EC7BA0-7E57-4C10-B952-A8DE39F40170}" srcOrd="2" destOrd="0" presId="urn:microsoft.com/office/officeart/2008/layout/HexagonCluster"/>
    <dgm:cxn modelId="{7C97F99D-49AB-471D-8750-32E7AF5D9BB0}" type="presParOf" srcId="{21EC7BA0-7E57-4C10-B952-A8DE39F40170}" destId="{F87165F1-C756-4D0C-B669-E44ADBB3F5EB}" srcOrd="0" destOrd="0" presId="urn:microsoft.com/office/officeart/2008/layout/HexagonCluster"/>
    <dgm:cxn modelId="{3E9814DB-7C16-43CB-9552-B3DDC5C46514}" type="presParOf" srcId="{0CE59BCE-8312-42E2-827F-F37AE1428138}" destId="{E6FDA99C-C482-4629-9C59-C883390AAFA3}" srcOrd="3" destOrd="0" presId="urn:microsoft.com/office/officeart/2008/layout/HexagonCluster"/>
    <dgm:cxn modelId="{BFACF424-DA04-44CB-BB3B-D98DEDA6805A}" type="presParOf" srcId="{E6FDA99C-C482-4629-9C59-C883390AAFA3}" destId="{2D165675-C960-42FB-ADAB-63F58FB342E7}" srcOrd="0" destOrd="0" presId="urn:microsoft.com/office/officeart/2008/layout/HexagonCluster"/>
    <dgm:cxn modelId="{7A2013AE-E1B9-4E67-80C7-B7F61ECB1462}" type="presParOf" srcId="{0CE59BCE-8312-42E2-827F-F37AE1428138}" destId="{B6D83730-8C2B-4AA0-BF0C-B0F81A8A0C8F}" srcOrd="4" destOrd="0" presId="urn:microsoft.com/office/officeart/2008/layout/HexagonCluster"/>
    <dgm:cxn modelId="{097706F6-9816-4521-B162-D337426C9155}" type="presParOf" srcId="{B6D83730-8C2B-4AA0-BF0C-B0F81A8A0C8F}" destId="{A1F1D6BA-D1A7-4AA6-BDA0-5E7AFD0F7DFE}" srcOrd="0" destOrd="0" presId="urn:microsoft.com/office/officeart/2008/layout/HexagonCluster"/>
    <dgm:cxn modelId="{3BC11DE8-E938-4354-A4A5-705706238B11}" type="presParOf" srcId="{0CE59BCE-8312-42E2-827F-F37AE1428138}" destId="{0B6333E6-99E0-4DFF-87B3-F2017E8FDF6D}" srcOrd="5" destOrd="0" presId="urn:microsoft.com/office/officeart/2008/layout/HexagonCluster"/>
    <dgm:cxn modelId="{94B851D4-F30A-4B4E-A637-08E7B0E59B86}" type="presParOf" srcId="{0B6333E6-99E0-4DFF-87B3-F2017E8FDF6D}" destId="{C8CE781F-7837-4D96-86F0-6016A96E2175}" srcOrd="0" destOrd="0" presId="urn:microsoft.com/office/officeart/2008/layout/HexagonCluster"/>
    <dgm:cxn modelId="{894ED012-2D80-4815-895E-AF927369E7AB}" type="presParOf" srcId="{0CE59BCE-8312-42E2-827F-F37AE1428138}" destId="{C6675917-A305-428E-8A38-A31B134F219A}" srcOrd="6" destOrd="0" presId="urn:microsoft.com/office/officeart/2008/layout/HexagonCluster"/>
    <dgm:cxn modelId="{1905372A-E640-4BE4-A7B2-7F02DD2DBED1}" type="presParOf" srcId="{C6675917-A305-428E-8A38-A31B134F219A}" destId="{9D95934B-33B5-4F00-BB42-89BF489F4678}" srcOrd="0" destOrd="0" presId="urn:microsoft.com/office/officeart/2008/layout/HexagonCluster"/>
    <dgm:cxn modelId="{47A8D8DC-018C-4BCD-A423-FDE84C15AD67}" type="presParOf" srcId="{0CE59BCE-8312-42E2-827F-F37AE1428138}" destId="{E5AC07C7-919C-43AB-A146-A6C35464A5DA}" srcOrd="7" destOrd="0" presId="urn:microsoft.com/office/officeart/2008/layout/HexagonCluster"/>
    <dgm:cxn modelId="{E158E186-8A0B-4EBA-AA01-13245D0A0CEB}" type="presParOf" srcId="{E5AC07C7-919C-43AB-A146-A6C35464A5DA}" destId="{C2CC4417-45AC-40E9-9914-D7794CE772FE}" srcOrd="0" destOrd="0" presId="urn:microsoft.com/office/officeart/2008/layout/HexagonCluster"/>
    <dgm:cxn modelId="{82B3DAAD-6FCE-421F-B1C9-879607E6ADE5}" type="presParOf" srcId="{0CE59BCE-8312-42E2-827F-F37AE1428138}" destId="{F08E9C14-2A97-43B9-A861-17A5D065FAD0}" srcOrd="8" destOrd="0" presId="urn:microsoft.com/office/officeart/2008/layout/HexagonCluster"/>
    <dgm:cxn modelId="{F3559220-4066-462D-A27E-23500EA1A746}" type="presParOf" srcId="{F08E9C14-2A97-43B9-A861-17A5D065FAD0}" destId="{75A0ABAD-7CB8-4123-92C7-F5DC050DA631}" srcOrd="0" destOrd="0" presId="urn:microsoft.com/office/officeart/2008/layout/HexagonCluster"/>
    <dgm:cxn modelId="{93D36EE7-6213-4A63-AB96-271F725BA31B}" type="presParOf" srcId="{0CE59BCE-8312-42E2-827F-F37AE1428138}" destId="{B4BC4A8C-C35D-42C2-A564-9BCBEE10D874}" srcOrd="9" destOrd="0" presId="urn:microsoft.com/office/officeart/2008/layout/HexagonCluster"/>
    <dgm:cxn modelId="{92F2FF9B-C17E-4235-AB40-54FB36762596}" type="presParOf" srcId="{B4BC4A8C-C35D-42C2-A564-9BCBEE10D874}" destId="{B2550EDF-B249-4205-AD91-8E6FA49EF8BC}" srcOrd="0" destOrd="0" presId="urn:microsoft.com/office/officeart/2008/layout/HexagonCluster"/>
    <dgm:cxn modelId="{331DADE3-0905-4291-A190-E5ECF35780F5}" type="presParOf" srcId="{0CE59BCE-8312-42E2-827F-F37AE1428138}" destId="{EE5665F2-85EB-4318-A14F-99D9F9DCF0E5}" srcOrd="10" destOrd="0" presId="urn:microsoft.com/office/officeart/2008/layout/HexagonCluster"/>
    <dgm:cxn modelId="{9169484C-A439-4C38-89F4-3EE5697AEFAE}" type="presParOf" srcId="{EE5665F2-85EB-4318-A14F-99D9F9DCF0E5}" destId="{998EEB00-6E2D-4439-9220-EB8A86E51A58}" srcOrd="0" destOrd="0" presId="urn:microsoft.com/office/officeart/2008/layout/HexagonCluster"/>
    <dgm:cxn modelId="{F62BD68E-3A23-4878-8E53-9337F1AEA899}" type="presParOf" srcId="{0CE59BCE-8312-42E2-827F-F37AE1428138}" destId="{36AA051D-2DC0-4163-BB08-791B20833E83}" srcOrd="11" destOrd="0" presId="urn:microsoft.com/office/officeart/2008/layout/HexagonCluster"/>
    <dgm:cxn modelId="{04AFAE52-B8BF-49DA-AC83-964E01AFB87A}" type="presParOf" srcId="{36AA051D-2DC0-4163-BB08-791B20833E83}" destId="{1084AB22-365E-432B-92BC-70F53658397E}" srcOrd="0" destOrd="0" presId="urn:microsoft.com/office/officeart/2008/layout/HexagonCluster"/>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5DE58C1-3639-444E-8684-CD56D085C33A}" type="doc">
      <dgm:prSet loTypeId="urn:microsoft.com/office/officeart/2005/8/layout/matrix3" loCatId="matrix" qsTypeId="urn:microsoft.com/office/officeart/2005/8/quickstyle/simple4" qsCatId="simple" csTypeId="urn:microsoft.com/office/officeart/2005/8/colors/colorful5" csCatId="colorful" phldr="1"/>
      <dgm:spPr/>
      <dgm:t>
        <a:bodyPr/>
        <a:lstStyle/>
        <a:p>
          <a:endParaRPr lang="en-US"/>
        </a:p>
      </dgm:t>
    </dgm:pt>
    <dgm:pt modelId="{7E83E13B-CA29-41FF-BB19-A942AAD1F5F6}">
      <dgm:prSet phldrT="[Text]"/>
      <dgm:spPr/>
      <dgm:t>
        <a:bodyPr/>
        <a:lstStyle/>
        <a:p>
          <a:r>
            <a:rPr lang="en-US"/>
            <a:t>Radical Structure</a:t>
          </a:r>
        </a:p>
      </dgm:t>
    </dgm:pt>
    <dgm:pt modelId="{E90527C0-4BFD-4C1C-B74A-C3F5129904D3}" type="parTrans" cxnId="{23758661-99BD-4FAA-8960-7601BD8654C0}">
      <dgm:prSet/>
      <dgm:spPr/>
      <dgm:t>
        <a:bodyPr/>
        <a:lstStyle/>
        <a:p>
          <a:endParaRPr lang="en-US"/>
        </a:p>
      </dgm:t>
    </dgm:pt>
    <dgm:pt modelId="{CDBB5C0E-0395-4F92-ACB6-FF0FD071EF46}" type="sibTrans" cxnId="{23758661-99BD-4FAA-8960-7601BD8654C0}">
      <dgm:prSet/>
      <dgm:spPr/>
      <dgm:t>
        <a:bodyPr/>
        <a:lstStyle/>
        <a:p>
          <a:endParaRPr lang="en-US"/>
        </a:p>
      </dgm:t>
    </dgm:pt>
    <dgm:pt modelId="{A5E3F2E4-5043-44E1-8EDE-307B12712FDA}">
      <dgm:prSet phldrT="[Text]"/>
      <dgm:spPr/>
      <dgm:t>
        <a:bodyPr/>
        <a:lstStyle/>
        <a:p>
          <a:r>
            <a:rPr lang="en-US"/>
            <a:t>Radical Humanism</a:t>
          </a:r>
        </a:p>
      </dgm:t>
    </dgm:pt>
    <dgm:pt modelId="{949652AD-0568-42B7-B19E-F68E23B814A4}" type="parTrans" cxnId="{6F48EB82-60F0-4D98-BB12-978B4C8D1C03}">
      <dgm:prSet/>
      <dgm:spPr/>
      <dgm:t>
        <a:bodyPr/>
        <a:lstStyle/>
        <a:p>
          <a:endParaRPr lang="en-US"/>
        </a:p>
      </dgm:t>
    </dgm:pt>
    <dgm:pt modelId="{21451CFF-2DC5-4351-90DC-6BCFC71D06A9}" type="sibTrans" cxnId="{6F48EB82-60F0-4D98-BB12-978B4C8D1C03}">
      <dgm:prSet/>
      <dgm:spPr/>
      <dgm:t>
        <a:bodyPr/>
        <a:lstStyle/>
        <a:p>
          <a:endParaRPr lang="en-US"/>
        </a:p>
      </dgm:t>
    </dgm:pt>
    <dgm:pt modelId="{56812B1F-3B34-4A61-AD5F-AAEBB7993507}">
      <dgm:prSet phldrT="[Text]"/>
      <dgm:spPr/>
      <dgm:t>
        <a:bodyPr/>
        <a:lstStyle/>
        <a:p>
          <a:r>
            <a:rPr lang="en-US"/>
            <a:t>Functionalism</a:t>
          </a:r>
        </a:p>
      </dgm:t>
    </dgm:pt>
    <dgm:pt modelId="{07700C2C-F2F4-415D-B891-6A34F46F5961}" type="parTrans" cxnId="{9136BE68-143E-42D9-BC78-46284C9DC6A2}">
      <dgm:prSet/>
      <dgm:spPr/>
      <dgm:t>
        <a:bodyPr/>
        <a:lstStyle/>
        <a:p>
          <a:endParaRPr lang="en-US"/>
        </a:p>
      </dgm:t>
    </dgm:pt>
    <dgm:pt modelId="{4B3C1841-2529-45B0-888B-C9F282199F3D}" type="sibTrans" cxnId="{9136BE68-143E-42D9-BC78-46284C9DC6A2}">
      <dgm:prSet/>
      <dgm:spPr/>
      <dgm:t>
        <a:bodyPr/>
        <a:lstStyle/>
        <a:p>
          <a:endParaRPr lang="en-US"/>
        </a:p>
      </dgm:t>
    </dgm:pt>
    <dgm:pt modelId="{00E6CF20-7108-42F7-A2F1-1C9549083F7F}">
      <dgm:prSet phldrT="[Text]"/>
      <dgm:spPr/>
      <dgm:t>
        <a:bodyPr/>
        <a:lstStyle/>
        <a:p>
          <a:r>
            <a:rPr lang="en-US"/>
            <a:t>Interpretivism</a:t>
          </a:r>
        </a:p>
      </dgm:t>
    </dgm:pt>
    <dgm:pt modelId="{44DA2FA8-5CE0-4FCE-BB32-8279912D50D6}" type="parTrans" cxnId="{DD1481AC-AABB-4F69-9738-9A3B2105FC03}">
      <dgm:prSet/>
      <dgm:spPr/>
      <dgm:t>
        <a:bodyPr/>
        <a:lstStyle/>
        <a:p>
          <a:endParaRPr lang="en-US"/>
        </a:p>
      </dgm:t>
    </dgm:pt>
    <dgm:pt modelId="{2FF10136-82EA-4AB5-AFA1-DD2F4A637774}" type="sibTrans" cxnId="{DD1481AC-AABB-4F69-9738-9A3B2105FC03}">
      <dgm:prSet/>
      <dgm:spPr/>
      <dgm:t>
        <a:bodyPr/>
        <a:lstStyle/>
        <a:p>
          <a:endParaRPr lang="en-US"/>
        </a:p>
      </dgm:t>
    </dgm:pt>
    <dgm:pt modelId="{282DD807-DF2B-4271-B274-6C58A2CC0631}" type="pres">
      <dgm:prSet presAssocID="{55DE58C1-3639-444E-8684-CD56D085C33A}" presName="matrix" presStyleCnt="0">
        <dgm:presLayoutVars>
          <dgm:chMax val="1"/>
          <dgm:dir/>
          <dgm:resizeHandles val="exact"/>
        </dgm:presLayoutVars>
      </dgm:prSet>
      <dgm:spPr/>
    </dgm:pt>
    <dgm:pt modelId="{D43C957E-5964-4677-B96C-C84DFEE180E9}" type="pres">
      <dgm:prSet presAssocID="{55DE58C1-3639-444E-8684-CD56D085C33A}" presName="diamond" presStyleLbl="bgShp" presStyleIdx="0" presStyleCnt="1"/>
      <dgm:spPr/>
    </dgm:pt>
    <dgm:pt modelId="{3805B3BD-E083-4524-9E30-68FFF1E134C2}" type="pres">
      <dgm:prSet presAssocID="{55DE58C1-3639-444E-8684-CD56D085C33A}" presName="quad1" presStyleLbl="node1" presStyleIdx="0" presStyleCnt="4">
        <dgm:presLayoutVars>
          <dgm:chMax val="0"/>
          <dgm:chPref val="0"/>
          <dgm:bulletEnabled val="1"/>
        </dgm:presLayoutVars>
      </dgm:prSet>
      <dgm:spPr/>
    </dgm:pt>
    <dgm:pt modelId="{A2E8595E-31C7-4217-B85E-C0504A42707B}" type="pres">
      <dgm:prSet presAssocID="{55DE58C1-3639-444E-8684-CD56D085C33A}" presName="quad2" presStyleLbl="node1" presStyleIdx="1" presStyleCnt="4">
        <dgm:presLayoutVars>
          <dgm:chMax val="0"/>
          <dgm:chPref val="0"/>
          <dgm:bulletEnabled val="1"/>
        </dgm:presLayoutVars>
      </dgm:prSet>
      <dgm:spPr/>
    </dgm:pt>
    <dgm:pt modelId="{F2D79B20-909E-484F-A37F-D76C91D0F31F}" type="pres">
      <dgm:prSet presAssocID="{55DE58C1-3639-444E-8684-CD56D085C33A}" presName="quad3" presStyleLbl="node1" presStyleIdx="2" presStyleCnt="4">
        <dgm:presLayoutVars>
          <dgm:chMax val="0"/>
          <dgm:chPref val="0"/>
          <dgm:bulletEnabled val="1"/>
        </dgm:presLayoutVars>
      </dgm:prSet>
      <dgm:spPr/>
    </dgm:pt>
    <dgm:pt modelId="{DA0A9B93-0632-4446-8B1B-C3FECEFCF48F}" type="pres">
      <dgm:prSet presAssocID="{55DE58C1-3639-444E-8684-CD56D085C33A}" presName="quad4" presStyleLbl="node1" presStyleIdx="3" presStyleCnt="4">
        <dgm:presLayoutVars>
          <dgm:chMax val="0"/>
          <dgm:chPref val="0"/>
          <dgm:bulletEnabled val="1"/>
        </dgm:presLayoutVars>
      </dgm:prSet>
      <dgm:spPr/>
    </dgm:pt>
  </dgm:ptLst>
  <dgm:cxnLst>
    <dgm:cxn modelId="{7A484805-3640-496B-AFB7-C6015159D51E}" type="presOf" srcId="{56812B1F-3B34-4A61-AD5F-AAEBB7993507}" destId="{F2D79B20-909E-484F-A37F-D76C91D0F31F}" srcOrd="0" destOrd="0" presId="urn:microsoft.com/office/officeart/2005/8/layout/matrix3"/>
    <dgm:cxn modelId="{CC730B0F-9E79-4DB2-B0DB-7E57F0B0C8C6}" type="presOf" srcId="{55DE58C1-3639-444E-8684-CD56D085C33A}" destId="{282DD807-DF2B-4271-B274-6C58A2CC0631}" srcOrd="0" destOrd="0" presId="urn:microsoft.com/office/officeart/2005/8/layout/matrix3"/>
    <dgm:cxn modelId="{3C7CD318-B8A0-49BF-8E0F-A9669038A783}" type="presOf" srcId="{7E83E13B-CA29-41FF-BB19-A942AAD1F5F6}" destId="{3805B3BD-E083-4524-9E30-68FFF1E134C2}" srcOrd="0" destOrd="0" presId="urn:microsoft.com/office/officeart/2005/8/layout/matrix3"/>
    <dgm:cxn modelId="{15B2E239-33E5-4BC9-AB4E-8344BFCA9D0C}" type="presOf" srcId="{00E6CF20-7108-42F7-A2F1-1C9549083F7F}" destId="{DA0A9B93-0632-4446-8B1B-C3FECEFCF48F}" srcOrd="0" destOrd="0" presId="urn:microsoft.com/office/officeart/2005/8/layout/matrix3"/>
    <dgm:cxn modelId="{23758661-99BD-4FAA-8960-7601BD8654C0}" srcId="{55DE58C1-3639-444E-8684-CD56D085C33A}" destId="{7E83E13B-CA29-41FF-BB19-A942AAD1F5F6}" srcOrd="0" destOrd="0" parTransId="{E90527C0-4BFD-4C1C-B74A-C3F5129904D3}" sibTransId="{CDBB5C0E-0395-4F92-ACB6-FF0FD071EF46}"/>
    <dgm:cxn modelId="{9136BE68-143E-42D9-BC78-46284C9DC6A2}" srcId="{55DE58C1-3639-444E-8684-CD56D085C33A}" destId="{56812B1F-3B34-4A61-AD5F-AAEBB7993507}" srcOrd="2" destOrd="0" parTransId="{07700C2C-F2F4-415D-B891-6A34F46F5961}" sibTransId="{4B3C1841-2529-45B0-888B-C9F282199F3D}"/>
    <dgm:cxn modelId="{CD2C3379-7938-4C03-9EE9-3C85B4C31E0F}" type="presOf" srcId="{A5E3F2E4-5043-44E1-8EDE-307B12712FDA}" destId="{A2E8595E-31C7-4217-B85E-C0504A42707B}" srcOrd="0" destOrd="0" presId="urn:microsoft.com/office/officeart/2005/8/layout/matrix3"/>
    <dgm:cxn modelId="{6F48EB82-60F0-4D98-BB12-978B4C8D1C03}" srcId="{55DE58C1-3639-444E-8684-CD56D085C33A}" destId="{A5E3F2E4-5043-44E1-8EDE-307B12712FDA}" srcOrd="1" destOrd="0" parTransId="{949652AD-0568-42B7-B19E-F68E23B814A4}" sibTransId="{21451CFF-2DC5-4351-90DC-6BCFC71D06A9}"/>
    <dgm:cxn modelId="{DD1481AC-AABB-4F69-9738-9A3B2105FC03}" srcId="{55DE58C1-3639-444E-8684-CD56D085C33A}" destId="{00E6CF20-7108-42F7-A2F1-1C9549083F7F}" srcOrd="3" destOrd="0" parTransId="{44DA2FA8-5CE0-4FCE-BB32-8279912D50D6}" sibTransId="{2FF10136-82EA-4AB5-AFA1-DD2F4A637774}"/>
    <dgm:cxn modelId="{DCCDE1EC-3B65-4F85-81A5-F26973094854}" type="presParOf" srcId="{282DD807-DF2B-4271-B274-6C58A2CC0631}" destId="{D43C957E-5964-4677-B96C-C84DFEE180E9}" srcOrd="0" destOrd="0" presId="urn:microsoft.com/office/officeart/2005/8/layout/matrix3"/>
    <dgm:cxn modelId="{740FDB30-6728-43F5-BA81-8150B6CB76A5}" type="presParOf" srcId="{282DD807-DF2B-4271-B274-6C58A2CC0631}" destId="{3805B3BD-E083-4524-9E30-68FFF1E134C2}" srcOrd="1" destOrd="0" presId="urn:microsoft.com/office/officeart/2005/8/layout/matrix3"/>
    <dgm:cxn modelId="{1F5DEA7F-484C-4EE9-81AA-B430960D4244}" type="presParOf" srcId="{282DD807-DF2B-4271-B274-6C58A2CC0631}" destId="{A2E8595E-31C7-4217-B85E-C0504A42707B}" srcOrd="2" destOrd="0" presId="urn:microsoft.com/office/officeart/2005/8/layout/matrix3"/>
    <dgm:cxn modelId="{0F544726-E06F-4CB5-AF91-B3786AA98195}" type="presParOf" srcId="{282DD807-DF2B-4271-B274-6C58A2CC0631}" destId="{F2D79B20-909E-484F-A37F-D76C91D0F31F}" srcOrd="3" destOrd="0" presId="urn:microsoft.com/office/officeart/2005/8/layout/matrix3"/>
    <dgm:cxn modelId="{FFAF8283-B0AF-437E-8D93-D043F912FA92}" type="presParOf" srcId="{282DD807-DF2B-4271-B274-6C58A2CC0631}" destId="{DA0A9B93-0632-4446-8B1B-C3FECEFCF48F}" srcOrd="4" destOrd="0" presId="urn:microsoft.com/office/officeart/2005/8/layout/matrix3"/>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326DD91-6836-47F8-98BD-E6C917CD8193}" type="doc">
      <dgm:prSet loTypeId="urn:microsoft.com/office/officeart/2009/3/layout/StepUpProcess" loCatId="process" qsTypeId="urn:microsoft.com/office/officeart/2005/8/quickstyle/simple5" qsCatId="simple" csTypeId="urn:microsoft.com/office/officeart/2005/8/colors/colorful5" csCatId="colorful" phldr="1"/>
      <dgm:spPr/>
      <dgm:t>
        <a:bodyPr/>
        <a:lstStyle/>
        <a:p>
          <a:endParaRPr lang="en-US"/>
        </a:p>
      </dgm:t>
    </dgm:pt>
    <dgm:pt modelId="{3AB3B623-A016-41A0-BDE2-FBB74739BD5C}">
      <dgm:prSet phldrT="[Text]"/>
      <dgm:spPr/>
      <dgm:t>
        <a:bodyPr/>
        <a:lstStyle/>
        <a:p>
          <a:r>
            <a:rPr lang="en-US"/>
            <a:t>Constructs</a:t>
          </a:r>
        </a:p>
      </dgm:t>
    </dgm:pt>
    <dgm:pt modelId="{2F9AC207-6D96-42DD-B3FC-125EA2AC42AD}" type="parTrans" cxnId="{2A862CCB-0250-4037-8781-C2AAF3412FFF}">
      <dgm:prSet/>
      <dgm:spPr/>
      <dgm:t>
        <a:bodyPr/>
        <a:lstStyle/>
        <a:p>
          <a:endParaRPr lang="en-US"/>
        </a:p>
      </dgm:t>
    </dgm:pt>
    <dgm:pt modelId="{311AE9B8-9AEC-402D-9B18-C9E026016CFF}" type="sibTrans" cxnId="{2A862CCB-0250-4037-8781-C2AAF3412FFF}">
      <dgm:prSet/>
      <dgm:spPr/>
      <dgm:t>
        <a:bodyPr/>
        <a:lstStyle/>
        <a:p>
          <a:endParaRPr lang="en-US"/>
        </a:p>
      </dgm:t>
    </dgm:pt>
    <dgm:pt modelId="{92090F61-C1FD-4903-A4FC-AB08CF3CD2D7}">
      <dgm:prSet phldrT="[Text]"/>
      <dgm:spPr/>
      <dgm:t>
        <a:bodyPr/>
        <a:lstStyle/>
        <a:p>
          <a:r>
            <a:rPr lang="en-US"/>
            <a:t>Propositions</a:t>
          </a:r>
        </a:p>
      </dgm:t>
    </dgm:pt>
    <dgm:pt modelId="{67326258-C4EB-41C7-A6B2-F7DD21B50EF6}" type="parTrans" cxnId="{59EBDDFB-9C38-4674-BED1-AC97158010D7}">
      <dgm:prSet/>
      <dgm:spPr/>
      <dgm:t>
        <a:bodyPr/>
        <a:lstStyle/>
        <a:p>
          <a:endParaRPr lang="en-US"/>
        </a:p>
      </dgm:t>
    </dgm:pt>
    <dgm:pt modelId="{235B3FE9-296D-464E-84F6-79773B79BF3C}" type="sibTrans" cxnId="{59EBDDFB-9C38-4674-BED1-AC97158010D7}">
      <dgm:prSet/>
      <dgm:spPr/>
      <dgm:t>
        <a:bodyPr/>
        <a:lstStyle/>
        <a:p>
          <a:endParaRPr lang="en-US"/>
        </a:p>
      </dgm:t>
    </dgm:pt>
    <dgm:pt modelId="{9E9B7421-936F-4C8F-866D-8406B1DB7123}">
      <dgm:prSet phldrT="[Text]"/>
      <dgm:spPr/>
      <dgm:t>
        <a:bodyPr/>
        <a:lstStyle/>
        <a:p>
          <a:r>
            <a:rPr lang="en-US"/>
            <a:t>Logic</a:t>
          </a:r>
        </a:p>
      </dgm:t>
    </dgm:pt>
    <dgm:pt modelId="{9BE1B062-C4B4-4595-9924-2A39CDEA9444}" type="parTrans" cxnId="{1446C74C-EAB0-451F-99D4-AEB058F577B6}">
      <dgm:prSet/>
      <dgm:spPr/>
      <dgm:t>
        <a:bodyPr/>
        <a:lstStyle/>
        <a:p>
          <a:endParaRPr lang="en-US"/>
        </a:p>
      </dgm:t>
    </dgm:pt>
    <dgm:pt modelId="{A1B93593-80A2-4E52-8776-267E359BACA3}" type="sibTrans" cxnId="{1446C74C-EAB0-451F-99D4-AEB058F577B6}">
      <dgm:prSet/>
      <dgm:spPr/>
      <dgm:t>
        <a:bodyPr/>
        <a:lstStyle/>
        <a:p>
          <a:endParaRPr lang="en-US"/>
        </a:p>
      </dgm:t>
    </dgm:pt>
    <dgm:pt modelId="{8A622367-5E4F-417A-A4BB-020A7105202A}">
      <dgm:prSet phldrT="[Text]"/>
      <dgm:spPr/>
      <dgm:t>
        <a:bodyPr/>
        <a:lstStyle/>
        <a:p>
          <a:r>
            <a:rPr lang="en-US"/>
            <a:t>Assumptions</a:t>
          </a:r>
        </a:p>
      </dgm:t>
    </dgm:pt>
    <dgm:pt modelId="{CBCA0C55-5824-49DB-8848-22CC3F290845}" type="parTrans" cxnId="{0B571777-9F1F-4E10-835F-2A4928540F77}">
      <dgm:prSet/>
      <dgm:spPr/>
      <dgm:t>
        <a:bodyPr/>
        <a:lstStyle/>
        <a:p>
          <a:endParaRPr lang="en-US"/>
        </a:p>
      </dgm:t>
    </dgm:pt>
    <dgm:pt modelId="{ADDA6E9C-8326-4DBC-BB5A-F930B6544811}" type="sibTrans" cxnId="{0B571777-9F1F-4E10-835F-2A4928540F77}">
      <dgm:prSet/>
      <dgm:spPr/>
      <dgm:t>
        <a:bodyPr/>
        <a:lstStyle/>
        <a:p>
          <a:endParaRPr lang="en-US"/>
        </a:p>
      </dgm:t>
    </dgm:pt>
    <dgm:pt modelId="{5674F400-AFEE-4442-A866-A4D769A185D7}" type="pres">
      <dgm:prSet presAssocID="{F326DD91-6836-47F8-98BD-E6C917CD8193}" presName="rootnode" presStyleCnt="0">
        <dgm:presLayoutVars>
          <dgm:chMax/>
          <dgm:chPref/>
          <dgm:dir/>
          <dgm:animLvl val="lvl"/>
        </dgm:presLayoutVars>
      </dgm:prSet>
      <dgm:spPr/>
    </dgm:pt>
    <dgm:pt modelId="{CA26D892-4F0C-4C28-9EFA-6A74FA6686E5}" type="pres">
      <dgm:prSet presAssocID="{3AB3B623-A016-41A0-BDE2-FBB74739BD5C}" presName="composite" presStyleCnt="0"/>
      <dgm:spPr/>
    </dgm:pt>
    <dgm:pt modelId="{F2C56228-DCD4-4DD9-BE7F-3C4DD7CD33D4}" type="pres">
      <dgm:prSet presAssocID="{3AB3B623-A016-41A0-BDE2-FBB74739BD5C}" presName="LShape" presStyleLbl="alignNode1" presStyleIdx="0" presStyleCnt="7"/>
      <dgm:spPr/>
    </dgm:pt>
    <dgm:pt modelId="{C841F1A8-B88F-48D4-B3A7-E0EF8FD95B29}" type="pres">
      <dgm:prSet presAssocID="{3AB3B623-A016-41A0-BDE2-FBB74739BD5C}" presName="ParentText" presStyleLbl="revTx" presStyleIdx="0" presStyleCnt="4">
        <dgm:presLayoutVars>
          <dgm:chMax val="0"/>
          <dgm:chPref val="0"/>
          <dgm:bulletEnabled val="1"/>
        </dgm:presLayoutVars>
      </dgm:prSet>
      <dgm:spPr/>
    </dgm:pt>
    <dgm:pt modelId="{B80BB4A4-BCE6-4123-919F-ED2F0BAFEF90}" type="pres">
      <dgm:prSet presAssocID="{3AB3B623-A016-41A0-BDE2-FBB74739BD5C}" presName="Triangle" presStyleLbl="alignNode1" presStyleIdx="1" presStyleCnt="7"/>
      <dgm:spPr/>
    </dgm:pt>
    <dgm:pt modelId="{715B409A-5DA9-42D9-83AF-61CDC58C3B21}" type="pres">
      <dgm:prSet presAssocID="{311AE9B8-9AEC-402D-9B18-C9E026016CFF}" presName="sibTrans" presStyleCnt="0"/>
      <dgm:spPr/>
    </dgm:pt>
    <dgm:pt modelId="{B08D0A0B-9E12-4B30-A266-3C09EC9CD471}" type="pres">
      <dgm:prSet presAssocID="{311AE9B8-9AEC-402D-9B18-C9E026016CFF}" presName="space" presStyleCnt="0"/>
      <dgm:spPr/>
    </dgm:pt>
    <dgm:pt modelId="{C5EDB7EA-075C-4A33-85A3-68857111F1EC}" type="pres">
      <dgm:prSet presAssocID="{92090F61-C1FD-4903-A4FC-AB08CF3CD2D7}" presName="composite" presStyleCnt="0"/>
      <dgm:spPr/>
    </dgm:pt>
    <dgm:pt modelId="{3F0F92F9-2828-47D0-AA35-25AEE49C508C}" type="pres">
      <dgm:prSet presAssocID="{92090F61-C1FD-4903-A4FC-AB08CF3CD2D7}" presName="LShape" presStyleLbl="alignNode1" presStyleIdx="2" presStyleCnt="7"/>
      <dgm:spPr/>
    </dgm:pt>
    <dgm:pt modelId="{61B1479E-C322-447A-BB44-51DC0F0E25F9}" type="pres">
      <dgm:prSet presAssocID="{92090F61-C1FD-4903-A4FC-AB08CF3CD2D7}" presName="ParentText" presStyleLbl="revTx" presStyleIdx="1" presStyleCnt="4">
        <dgm:presLayoutVars>
          <dgm:chMax val="0"/>
          <dgm:chPref val="0"/>
          <dgm:bulletEnabled val="1"/>
        </dgm:presLayoutVars>
      </dgm:prSet>
      <dgm:spPr/>
    </dgm:pt>
    <dgm:pt modelId="{5BE68422-445C-497C-8CF0-1182FD4D1B69}" type="pres">
      <dgm:prSet presAssocID="{92090F61-C1FD-4903-A4FC-AB08CF3CD2D7}" presName="Triangle" presStyleLbl="alignNode1" presStyleIdx="3" presStyleCnt="7"/>
      <dgm:spPr/>
    </dgm:pt>
    <dgm:pt modelId="{80B77045-2AA2-4B66-B019-6739E4F613BE}" type="pres">
      <dgm:prSet presAssocID="{235B3FE9-296D-464E-84F6-79773B79BF3C}" presName="sibTrans" presStyleCnt="0"/>
      <dgm:spPr/>
    </dgm:pt>
    <dgm:pt modelId="{45401F62-D92A-4188-8DAB-8A0C7BE8957F}" type="pres">
      <dgm:prSet presAssocID="{235B3FE9-296D-464E-84F6-79773B79BF3C}" presName="space" presStyleCnt="0"/>
      <dgm:spPr/>
    </dgm:pt>
    <dgm:pt modelId="{0CD11F9B-6921-48E1-BE2E-8C3CE64F7715}" type="pres">
      <dgm:prSet presAssocID="{9E9B7421-936F-4C8F-866D-8406B1DB7123}" presName="composite" presStyleCnt="0"/>
      <dgm:spPr/>
    </dgm:pt>
    <dgm:pt modelId="{6F7058EA-3366-4E52-8D62-60E20E4E20DD}" type="pres">
      <dgm:prSet presAssocID="{9E9B7421-936F-4C8F-866D-8406B1DB7123}" presName="LShape" presStyleLbl="alignNode1" presStyleIdx="4" presStyleCnt="7"/>
      <dgm:spPr/>
    </dgm:pt>
    <dgm:pt modelId="{78F57E7C-9900-4623-AB1D-A982D721E839}" type="pres">
      <dgm:prSet presAssocID="{9E9B7421-936F-4C8F-866D-8406B1DB7123}" presName="ParentText" presStyleLbl="revTx" presStyleIdx="2" presStyleCnt="4">
        <dgm:presLayoutVars>
          <dgm:chMax val="0"/>
          <dgm:chPref val="0"/>
          <dgm:bulletEnabled val="1"/>
        </dgm:presLayoutVars>
      </dgm:prSet>
      <dgm:spPr/>
    </dgm:pt>
    <dgm:pt modelId="{0772F24F-7779-41E5-AD60-29C77729BEFF}" type="pres">
      <dgm:prSet presAssocID="{9E9B7421-936F-4C8F-866D-8406B1DB7123}" presName="Triangle" presStyleLbl="alignNode1" presStyleIdx="5" presStyleCnt="7"/>
      <dgm:spPr/>
    </dgm:pt>
    <dgm:pt modelId="{4C4C7FC9-1BE7-46A6-80DF-B8AA7777C851}" type="pres">
      <dgm:prSet presAssocID="{A1B93593-80A2-4E52-8776-267E359BACA3}" presName="sibTrans" presStyleCnt="0"/>
      <dgm:spPr/>
    </dgm:pt>
    <dgm:pt modelId="{793BA56F-776F-4FFC-A645-102CB833BABE}" type="pres">
      <dgm:prSet presAssocID="{A1B93593-80A2-4E52-8776-267E359BACA3}" presName="space" presStyleCnt="0"/>
      <dgm:spPr/>
    </dgm:pt>
    <dgm:pt modelId="{8428EE74-66B2-42E7-ABDE-DB089B81395A}" type="pres">
      <dgm:prSet presAssocID="{8A622367-5E4F-417A-A4BB-020A7105202A}" presName="composite" presStyleCnt="0"/>
      <dgm:spPr/>
    </dgm:pt>
    <dgm:pt modelId="{7C2B6AEC-4503-4C84-BD89-A849EBBB497A}" type="pres">
      <dgm:prSet presAssocID="{8A622367-5E4F-417A-A4BB-020A7105202A}" presName="LShape" presStyleLbl="alignNode1" presStyleIdx="6" presStyleCnt="7"/>
      <dgm:spPr/>
    </dgm:pt>
    <dgm:pt modelId="{555275B0-C06F-46F6-9870-482E64EC31FB}" type="pres">
      <dgm:prSet presAssocID="{8A622367-5E4F-417A-A4BB-020A7105202A}" presName="ParentText" presStyleLbl="revTx" presStyleIdx="3" presStyleCnt="4">
        <dgm:presLayoutVars>
          <dgm:chMax val="0"/>
          <dgm:chPref val="0"/>
          <dgm:bulletEnabled val="1"/>
        </dgm:presLayoutVars>
      </dgm:prSet>
      <dgm:spPr/>
    </dgm:pt>
  </dgm:ptLst>
  <dgm:cxnLst>
    <dgm:cxn modelId="{4A6D3038-9FE1-4BCE-BEBD-ABD818C8B8A8}" type="presOf" srcId="{8A622367-5E4F-417A-A4BB-020A7105202A}" destId="{555275B0-C06F-46F6-9870-482E64EC31FB}" srcOrd="0" destOrd="0" presId="urn:microsoft.com/office/officeart/2009/3/layout/StepUpProcess"/>
    <dgm:cxn modelId="{A7637C3F-91E1-4DCD-99C8-04548D994458}" type="presOf" srcId="{F326DD91-6836-47F8-98BD-E6C917CD8193}" destId="{5674F400-AFEE-4442-A866-A4D769A185D7}" srcOrd="0" destOrd="0" presId="urn:microsoft.com/office/officeart/2009/3/layout/StepUpProcess"/>
    <dgm:cxn modelId="{552AC767-799C-4070-88B8-2654D918ECE7}" type="presOf" srcId="{3AB3B623-A016-41A0-BDE2-FBB74739BD5C}" destId="{C841F1A8-B88F-48D4-B3A7-E0EF8FD95B29}" srcOrd="0" destOrd="0" presId="urn:microsoft.com/office/officeart/2009/3/layout/StepUpProcess"/>
    <dgm:cxn modelId="{1446C74C-EAB0-451F-99D4-AEB058F577B6}" srcId="{F326DD91-6836-47F8-98BD-E6C917CD8193}" destId="{9E9B7421-936F-4C8F-866D-8406B1DB7123}" srcOrd="2" destOrd="0" parTransId="{9BE1B062-C4B4-4595-9924-2A39CDEA9444}" sibTransId="{A1B93593-80A2-4E52-8776-267E359BACA3}"/>
    <dgm:cxn modelId="{0B571777-9F1F-4E10-835F-2A4928540F77}" srcId="{F326DD91-6836-47F8-98BD-E6C917CD8193}" destId="{8A622367-5E4F-417A-A4BB-020A7105202A}" srcOrd="3" destOrd="0" parTransId="{CBCA0C55-5824-49DB-8848-22CC3F290845}" sibTransId="{ADDA6E9C-8326-4DBC-BB5A-F930B6544811}"/>
    <dgm:cxn modelId="{82AE3EB4-7861-4BF3-8700-3F83D7B67A2F}" type="presOf" srcId="{92090F61-C1FD-4903-A4FC-AB08CF3CD2D7}" destId="{61B1479E-C322-447A-BB44-51DC0F0E25F9}" srcOrd="0" destOrd="0" presId="urn:microsoft.com/office/officeart/2009/3/layout/StepUpProcess"/>
    <dgm:cxn modelId="{2A862CCB-0250-4037-8781-C2AAF3412FFF}" srcId="{F326DD91-6836-47F8-98BD-E6C917CD8193}" destId="{3AB3B623-A016-41A0-BDE2-FBB74739BD5C}" srcOrd="0" destOrd="0" parTransId="{2F9AC207-6D96-42DD-B3FC-125EA2AC42AD}" sibTransId="{311AE9B8-9AEC-402D-9B18-C9E026016CFF}"/>
    <dgm:cxn modelId="{3BACDAF1-86D2-4ECE-8FC1-B75C77F2819E}" type="presOf" srcId="{9E9B7421-936F-4C8F-866D-8406B1DB7123}" destId="{78F57E7C-9900-4623-AB1D-A982D721E839}" srcOrd="0" destOrd="0" presId="urn:microsoft.com/office/officeart/2009/3/layout/StepUpProcess"/>
    <dgm:cxn modelId="{59EBDDFB-9C38-4674-BED1-AC97158010D7}" srcId="{F326DD91-6836-47F8-98BD-E6C917CD8193}" destId="{92090F61-C1FD-4903-A4FC-AB08CF3CD2D7}" srcOrd="1" destOrd="0" parTransId="{67326258-C4EB-41C7-A6B2-F7DD21B50EF6}" sibTransId="{235B3FE9-296D-464E-84F6-79773B79BF3C}"/>
    <dgm:cxn modelId="{F2F14657-7A6A-4E17-B1AF-D508D9E7C641}" type="presParOf" srcId="{5674F400-AFEE-4442-A866-A4D769A185D7}" destId="{CA26D892-4F0C-4C28-9EFA-6A74FA6686E5}" srcOrd="0" destOrd="0" presId="urn:microsoft.com/office/officeart/2009/3/layout/StepUpProcess"/>
    <dgm:cxn modelId="{3B122F70-1D7A-44B6-B7A3-35A2C1396AEF}" type="presParOf" srcId="{CA26D892-4F0C-4C28-9EFA-6A74FA6686E5}" destId="{F2C56228-DCD4-4DD9-BE7F-3C4DD7CD33D4}" srcOrd="0" destOrd="0" presId="urn:microsoft.com/office/officeart/2009/3/layout/StepUpProcess"/>
    <dgm:cxn modelId="{A6037D08-0DA4-4E0A-A133-77FCFF8EDE5D}" type="presParOf" srcId="{CA26D892-4F0C-4C28-9EFA-6A74FA6686E5}" destId="{C841F1A8-B88F-48D4-B3A7-E0EF8FD95B29}" srcOrd="1" destOrd="0" presId="urn:microsoft.com/office/officeart/2009/3/layout/StepUpProcess"/>
    <dgm:cxn modelId="{BF2BFEBC-8CE1-4F26-8E2E-E7F7B0046F84}" type="presParOf" srcId="{CA26D892-4F0C-4C28-9EFA-6A74FA6686E5}" destId="{B80BB4A4-BCE6-4123-919F-ED2F0BAFEF90}" srcOrd="2" destOrd="0" presId="urn:microsoft.com/office/officeart/2009/3/layout/StepUpProcess"/>
    <dgm:cxn modelId="{E940C186-BC5D-4951-A883-9F9C07BF7C01}" type="presParOf" srcId="{5674F400-AFEE-4442-A866-A4D769A185D7}" destId="{715B409A-5DA9-42D9-83AF-61CDC58C3B21}" srcOrd="1" destOrd="0" presId="urn:microsoft.com/office/officeart/2009/3/layout/StepUpProcess"/>
    <dgm:cxn modelId="{2175E1B1-1463-4EA8-96DB-D410F16BE7C1}" type="presParOf" srcId="{715B409A-5DA9-42D9-83AF-61CDC58C3B21}" destId="{B08D0A0B-9E12-4B30-A266-3C09EC9CD471}" srcOrd="0" destOrd="0" presId="urn:microsoft.com/office/officeart/2009/3/layout/StepUpProcess"/>
    <dgm:cxn modelId="{23A81EA8-F16F-43C1-AE8E-A6AF0E035176}" type="presParOf" srcId="{5674F400-AFEE-4442-A866-A4D769A185D7}" destId="{C5EDB7EA-075C-4A33-85A3-68857111F1EC}" srcOrd="2" destOrd="0" presId="urn:microsoft.com/office/officeart/2009/3/layout/StepUpProcess"/>
    <dgm:cxn modelId="{55DA5267-50B1-4376-836B-223F7A345DA5}" type="presParOf" srcId="{C5EDB7EA-075C-4A33-85A3-68857111F1EC}" destId="{3F0F92F9-2828-47D0-AA35-25AEE49C508C}" srcOrd="0" destOrd="0" presId="urn:microsoft.com/office/officeart/2009/3/layout/StepUpProcess"/>
    <dgm:cxn modelId="{F69C7FAD-8922-45DA-A4E0-B94F2219E50D}" type="presParOf" srcId="{C5EDB7EA-075C-4A33-85A3-68857111F1EC}" destId="{61B1479E-C322-447A-BB44-51DC0F0E25F9}" srcOrd="1" destOrd="0" presId="urn:microsoft.com/office/officeart/2009/3/layout/StepUpProcess"/>
    <dgm:cxn modelId="{A0613F16-EB2B-4C0D-9871-2FFA6DD5840E}" type="presParOf" srcId="{C5EDB7EA-075C-4A33-85A3-68857111F1EC}" destId="{5BE68422-445C-497C-8CF0-1182FD4D1B69}" srcOrd="2" destOrd="0" presId="urn:microsoft.com/office/officeart/2009/3/layout/StepUpProcess"/>
    <dgm:cxn modelId="{C958FCA5-6395-4B1B-B710-472ECDB4A7E7}" type="presParOf" srcId="{5674F400-AFEE-4442-A866-A4D769A185D7}" destId="{80B77045-2AA2-4B66-B019-6739E4F613BE}" srcOrd="3" destOrd="0" presId="urn:microsoft.com/office/officeart/2009/3/layout/StepUpProcess"/>
    <dgm:cxn modelId="{1798F0DD-1118-449A-92FD-2E486AD39E5B}" type="presParOf" srcId="{80B77045-2AA2-4B66-B019-6739E4F613BE}" destId="{45401F62-D92A-4188-8DAB-8A0C7BE8957F}" srcOrd="0" destOrd="0" presId="urn:microsoft.com/office/officeart/2009/3/layout/StepUpProcess"/>
    <dgm:cxn modelId="{623AA2C1-B7C7-4ABE-BE9E-BE54D7A5A3DB}" type="presParOf" srcId="{5674F400-AFEE-4442-A866-A4D769A185D7}" destId="{0CD11F9B-6921-48E1-BE2E-8C3CE64F7715}" srcOrd="4" destOrd="0" presId="urn:microsoft.com/office/officeart/2009/3/layout/StepUpProcess"/>
    <dgm:cxn modelId="{28FFE6ED-B902-4023-91DC-ACDDFC9CF90F}" type="presParOf" srcId="{0CD11F9B-6921-48E1-BE2E-8C3CE64F7715}" destId="{6F7058EA-3366-4E52-8D62-60E20E4E20DD}" srcOrd="0" destOrd="0" presId="urn:microsoft.com/office/officeart/2009/3/layout/StepUpProcess"/>
    <dgm:cxn modelId="{C3EA2B4A-805C-4339-8EF7-FCB6AD3FE464}" type="presParOf" srcId="{0CD11F9B-6921-48E1-BE2E-8C3CE64F7715}" destId="{78F57E7C-9900-4623-AB1D-A982D721E839}" srcOrd="1" destOrd="0" presId="urn:microsoft.com/office/officeart/2009/3/layout/StepUpProcess"/>
    <dgm:cxn modelId="{A5776B10-048D-4AED-AC84-855E61C3CC7C}" type="presParOf" srcId="{0CD11F9B-6921-48E1-BE2E-8C3CE64F7715}" destId="{0772F24F-7779-41E5-AD60-29C77729BEFF}" srcOrd="2" destOrd="0" presId="urn:microsoft.com/office/officeart/2009/3/layout/StepUpProcess"/>
    <dgm:cxn modelId="{91E9A610-6556-4A5B-A364-AB8C2EC01630}" type="presParOf" srcId="{5674F400-AFEE-4442-A866-A4D769A185D7}" destId="{4C4C7FC9-1BE7-46A6-80DF-B8AA7777C851}" srcOrd="5" destOrd="0" presId="urn:microsoft.com/office/officeart/2009/3/layout/StepUpProcess"/>
    <dgm:cxn modelId="{F3E68778-747B-4BD6-A587-C74A3692ECC1}" type="presParOf" srcId="{4C4C7FC9-1BE7-46A6-80DF-B8AA7777C851}" destId="{793BA56F-776F-4FFC-A645-102CB833BABE}" srcOrd="0" destOrd="0" presId="urn:microsoft.com/office/officeart/2009/3/layout/StepUpProcess"/>
    <dgm:cxn modelId="{831AACD8-639E-414F-9410-0E82069D37B4}" type="presParOf" srcId="{5674F400-AFEE-4442-A866-A4D769A185D7}" destId="{8428EE74-66B2-42E7-ABDE-DB089B81395A}" srcOrd="6" destOrd="0" presId="urn:microsoft.com/office/officeart/2009/3/layout/StepUpProcess"/>
    <dgm:cxn modelId="{A3AD3F61-3952-45A6-84FF-F5CA9BECBB07}" type="presParOf" srcId="{8428EE74-66B2-42E7-ABDE-DB089B81395A}" destId="{7C2B6AEC-4503-4C84-BD89-A849EBBB497A}" srcOrd="0" destOrd="0" presId="urn:microsoft.com/office/officeart/2009/3/layout/StepUpProcess"/>
    <dgm:cxn modelId="{F22E7C98-05E1-4FD7-9D5C-D691B8EEBF45}" type="presParOf" srcId="{8428EE74-66B2-42E7-ABDE-DB089B81395A}" destId="{555275B0-C06F-46F6-9870-482E64EC31FB}" srcOrd="1" destOrd="0" presId="urn:microsoft.com/office/officeart/2009/3/layout/StepUpProcess"/>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46AC940-E6A6-4A15-BE30-544FE2E43C86}" type="doc">
      <dgm:prSet loTypeId="urn:microsoft.com/office/officeart/2005/8/layout/matrix1" loCatId="matrix" qsTypeId="urn:microsoft.com/office/officeart/2005/8/quickstyle/simple5" qsCatId="simple" csTypeId="urn:microsoft.com/office/officeart/2005/8/colors/colorful5" csCatId="colorful" phldr="1"/>
      <dgm:spPr/>
      <dgm:t>
        <a:bodyPr/>
        <a:lstStyle/>
        <a:p>
          <a:endParaRPr lang="en-US"/>
        </a:p>
      </dgm:t>
    </dgm:pt>
    <dgm:pt modelId="{80850655-4D53-471E-A61F-ACD1C866F36B}">
      <dgm:prSet phldrT="[Text]"/>
      <dgm:spPr/>
      <dgm:t>
        <a:bodyPr/>
        <a:lstStyle/>
        <a:p>
          <a:pPr algn="ctr"/>
          <a:r>
            <a:rPr lang="en-US"/>
            <a:t>Theory</a:t>
          </a:r>
        </a:p>
      </dgm:t>
    </dgm:pt>
    <dgm:pt modelId="{E1961B6D-1571-44CF-AFEC-F4D6EBF01245}" type="parTrans" cxnId="{FC04C410-35D5-447F-BE93-56B32C51C1D3}">
      <dgm:prSet/>
      <dgm:spPr/>
      <dgm:t>
        <a:bodyPr/>
        <a:lstStyle/>
        <a:p>
          <a:pPr algn="ctr"/>
          <a:endParaRPr lang="en-US"/>
        </a:p>
      </dgm:t>
    </dgm:pt>
    <dgm:pt modelId="{B1613C40-F7F4-4F51-94DE-C4CDB6DBB3CB}" type="sibTrans" cxnId="{FC04C410-35D5-447F-BE93-56B32C51C1D3}">
      <dgm:prSet/>
      <dgm:spPr/>
      <dgm:t>
        <a:bodyPr/>
        <a:lstStyle/>
        <a:p>
          <a:pPr algn="ctr"/>
          <a:endParaRPr lang="en-US"/>
        </a:p>
      </dgm:t>
    </dgm:pt>
    <dgm:pt modelId="{44B170F2-4E4F-45A8-BD5A-F8315B707E8C}">
      <dgm:prSet phldrT="[Text]"/>
      <dgm:spPr/>
      <dgm:t>
        <a:bodyPr/>
        <a:lstStyle/>
        <a:p>
          <a:pPr algn="ctr"/>
          <a:r>
            <a:rPr lang="en-US" b="0"/>
            <a:t>Logical Consistency</a:t>
          </a:r>
        </a:p>
      </dgm:t>
    </dgm:pt>
    <dgm:pt modelId="{A4C4C1F8-335B-4897-B7F3-ADE535F8B53B}" type="parTrans" cxnId="{865EAE1E-5D33-42C1-B84A-E559C05B5F65}">
      <dgm:prSet/>
      <dgm:spPr/>
      <dgm:t>
        <a:bodyPr/>
        <a:lstStyle/>
        <a:p>
          <a:pPr algn="ctr"/>
          <a:endParaRPr lang="en-US"/>
        </a:p>
      </dgm:t>
    </dgm:pt>
    <dgm:pt modelId="{F4A1DF06-FE6B-44E2-8A81-DBC7BBC97D64}" type="sibTrans" cxnId="{865EAE1E-5D33-42C1-B84A-E559C05B5F65}">
      <dgm:prSet/>
      <dgm:spPr/>
      <dgm:t>
        <a:bodyPr/>
        <a:lstStyle/>
        <a:p>
          <a:pPr algn="ctr"/>
          <a:endParaRPr lang="en-US"/>
        </a:p>
      </dgm:t>
    </dgm:pt>
    <dgm:pt modelId="{B3ECB75B-32FC-4325-AA5A-087F2B0BB5D9}">
      <dgm:prSet phldrT="[Text]"/>
      <dgm:spPr/>
      <dgm:t>
        <a:bodyPr/>
        <a:lstStyle/>
        <a:p>
          <a:pPr algn="ctr"/>
          <a:r>
            <a:rPr lang="en-US" b="0"/>
            <a:t>Explanatory Power</a:t>
          </a:r>
        </a:p>
      </dgm:t>
    </dgm:pt>
    <dgm:pt modelId="{B7CBEED6-1B66-41DC-9E00-DE2E71926703}" type="parTrans" cxnId="{7D597DA3-16B6-4C3F-AD0F-88DAEBA1C8B4}">
      <dgm:prSet/>
      <dgm:spPr/>
      <dgm:t>
        <a:bodyPr/>
        <a:lstStyle/>
        <a:p>
          <a:pPr algn="ctr"/>
          <a:endParaRPr lang="en-US"/>
        </a:p>
      </dgm:t>
    </dgm:pt>
    <dgm:pt modelId="{A54599C6-DD7F-48A7-A332-1C32051BABF7}" type="sibTrans" cxnId="{7D597DA3-16B6-4C3F-AD0F-88DAEBA1C8B4}">
      <dgm:prSet/>
      <dgm:spPr/>
      <dgm:t>
        <a:bodyPr/>
        <a:lstStyle/>
        <a:p>
          <a:pPr algn="ctr"/>
          <a:endParaRPr lang="en-US"/>
        </a:p>
      </dgm:t>
    </dgm:pt>
    <dgm:pt modelId="{C4F4FCB7-DC14-43E3-9AA4-C83A7F05356B}">
      <dgm:prSet phldrT="[Text]"/>
      <dgm:spPr/>
      <dgm:t>
        <a:bodyPr/>
        <a:lstStyle/>
        <a:p>
          <a:pPr algn="ctr"/>
          <a:r>
            <a:rPr lang="en-US" b="0"/>
            <a:t>Falsifiability</a:t>
          </a:r>
        </a:p>
      </dgm:t>
    </dgm:pt>
    <dgm:pt modelId="{406874D2-72E8-450D-A5A7-5A711577357C}" type="parTrans" cxnId="{92C3690D-91C8-483E-A967-321E576F7946}">
      <dgm:prSet/>
      <dgm:spPr/>
      <dgm:t>
        <a:bodyPr/>
        <a:lstStyle/>
        <a:p>
          <a:pPr algn="ctr"/>
          <a:endParaRPr lang="en-US"/>
        </a:p>
      </dgm:t>
    </dgm:pt>
    <dgm:pt modelId="{5C31D795-874B-4F30-9182-4D2FF4F3D9C8}" type="sibTrans" cxnId="{92C3690D-91C8-483E-A967-321E576F7946}">
      <dgm:prSet/>
      <dgm:spPr/>
      <dgm:t>
        <a:bodyPr/>
        <a:lstStyle/>
        <a:p>
          <a:pPr algn="ctr"/>
          <a:endParaRPr lang="en-US"/>
        </a:p>
      </dgm:t>
    </dgm:pt>
    <dgm:pt modelId="{79D96EBF-683E-41C4-9361-6E9DF08C0E08}">
      <dgm:prSet phldrT="[Text]"/>
      <dgm:spPr/>
      <dgm:t>
        <a:bodyPr/>
        <a:lstStyle/>
        <a:p>
          <a:pPr algn="ctr"/>
          <a:r>
            <a:rPr lang="en-US" b="0"/>
            <a:t>Parsimony</a:t>
          </a:r>
        </a:p>
      </dgm:t>
    </dgm:pt>
    <dgm:pt modelId="{0555953E-BE57-4589-9C9A-6934CDC1C003}" type="parTrans" cxnId="{4CBA3C82-6F7D-42A0-AD78-CF480446EC0B}">
      <dgm:prSet/>
      <dgm:spPr/>
      <dgm:t>
        <a:bodyPr/>
        <a:lstStyle/>
        <a:p>
          <a:pPr algn="ctr"/>
          <a:endParaRPr lang="en-US"/>
        </a:p>
      </dgm:t>
    </dgm:pt>
    <dgm:pt modelId="{A4FD9239-C308-4652-A79D-30BF4A0988CF}" type="sibTrans" cxnId="{4CBA3C82-6F7D-42A0-AD78-CF480446EC0B}">
      <dgm:prSet/>
      <dgm:spPr/>
      <dgm:t>
        <a:bodyPr/>
        <a:lstStyle/>
        <a:p>
          <a:pPr algn="ctr"/>
          <a:endParaRPr lang="en-US"/>
        </a:p>
      </dgm:t>
    </dgm:pt>
    <dgm:pt modelId="{F82FE9F5-3ED4-4606-B4D8-1F3BDBAEC690}" type="pres">
      <dgm:prSet presAssocID="{946AC940-E6A6-4A15-BE30-544FE2E43C86}" presName="diagram" presStyleCnt="0">
        <dgm:presLayoutVars>
          <dgm:chMax val="1"/>
          <dgm:dir/>
          <dgm:animLvl val="ctr"/>
          <dgm:resizeHandles val="exact"/>
        </dgm:presLayoutVars>
      </dgm:prSet>
      <dgm:spPr/>
    </dgm:pt>
    <dgm:pt modelId="{05D172C2-7251-40C9-883E-0FECED7E11EA}" type="pres">
      <dgm:prSet presAssocID="{946AC940-E6A6-4A15-BE30-544FE2E43C86}" presName="matrix" presStyleCnt="0"/>
      <dgm:spPr/>
    </dgm:pt>
    <dgm:pt modelId="{A3005BC3-3B43-4AD0-A577-8ECBE7F9449F}" type="pres">
      <dgm:prSet presAssocID="{946AC940-E6A6-4A15-BE30-544FE2E43C86}" presName="tile1" presStyleLbl="node1" presStyleIdx="0" presStyleCnt="4"/>
      <dgm:spPr/>
    </dgm:pt>
    <dgm:pt modelId="{2652FB39-D8AB-4460-916D-B26AF73080FA}" type="pres">
      <dgm:prSet presAssocID="{946AC940-E6A6-4A15-BE30-544FE2E43C86}" presName="tile1text" presStyleLbl="node1" presStyleIdx="0" presStyleCnt="4">
        <dgm:presLayoutVars>
          <dgm:chMax val="0"/>
          <dgm:chPref val="0"/>
          <dgm:bulletEnabled val="1"/>
        </dgm:presLayoutVars>
      </dgm:prSet>
      <dgm:spPr/>
    </dgm:pt>
    <dgm:pt modelId="{4D7453A8-796C-4F0C-BE49-6231A01AD07E}" type="pres">
      <dgm:prSet presAssocID="{946AC940-E6A6-4A15-BE30-544FE2E43C86}" presName="tile2" presStyleLbl="node1" presStyleIdx="1" presStyleCnt="4"/>
      <dgm:spPr/>
    </dgm:pt>
    <dgm:pt modelId="{3F8E5B6C-FB17-4BAF-8D0F-FA4D040EFDB9}" type="pres">
      <dgm:prSet presAssocID="{946AC940-E6A6-4A15-BE30-544FE2E43C86}" presName="tile2text" presStyleLbl="node1" presStyleIdx="1" presStyleCnt="4">
        <dgm:presLayoutVars>
          <dgm:chMax val="0"/>
          <dgm:chPref val="0"/>
          <dgm:bulletEnabled val="1"/>
        </dgm:presLayoutVars>
      </dgm:prSet>
      <dgm:spPr/>
    </dgm:pt>
    <dgm:pt modelId="{31A5130D-1799-4D57-9F42-7958AC3CB7BF}" type="pres">
      <dgm:prSet presAssocID="{946AC940-E6A6-4A15-BE30-544FE2E43C86}" presName="tile3" presStyleLbl="node1" presStyleIdx="2" presStyleCnt="4"/>
      <dgm:spPr/>
    </dgm:pt>
    <dgm:pt modelId="{DA0DD106-202A-4F39-A292-22AF507D934B}" type="pres">
      <dgm:prSet presAssocID="{946AC940-E6A6-4A15-BE30-544FE2E43C86}" presName="tile3text" presStyleLbl="node1" presStyleIdx="2" presStyleCnt="4">
        <dgm:presLayoutVars>
          <dgm:chMax val="0"/>
          <dgm:chPref val="0"/>
          <dgm:bulletEnabled val="1"/>
        </dgm:presLayoutVars>
      </dgm:prSet>
      <dgm:spPr/>
    </dgm:pt>
    <dgm:pt modelId="{8C8B2C8F-09E8-4AF1-8780-1E724A48B6DA}" type="pres">
      <dgm:prSet presAssocID="{946AC940-E6A6-4A15-BE30-544FE2E43C86}" presName="tile4" presStyleLbl="node1" presStyleIdx="3" presStyleCnt="4"/>
      <dgm:spPr/>
    </dgm:pt>
    <dgm:pt modelId="{7DAD58A9-1F31-479E-8ACD-5F4B789260AD}" type="pres">
      <dgm:prSet presAssocID="{946AC940-E6A6-4A15-BE30-544FE2E43C86}" presName="tile4text" presStyleLbl="node1" presStyleIdx="3" presStyleCnt="4">
        <dgm:presLayoutVars>
          <dgm:chMax val="0"/>
          <dgm:chPref val="0"/>
          <dgm:bulletEnabled val="1"/>
        </dgm:presLayoutVars>
      </dgm:prSet>
      <dgm:spPr/>
    </dgm:pt>
    <dgm:pt modelId="{FF29618C-B607-4695-87DE-A86A7ACB5E02}" type="pres">
      <dgm:prSet presAssocID="{946AC940-E6A6-4A15-BE30-544FE2E43C86}" presName="centerTile" presStyleLbl="fgShp" presStyleIdx="0" presStyleCnt="1">
        <dgm:presLayoutVars>
          <dgm:chMax val="0"/>
          <dgm:chPref val="0"/>
        </dgm:presLayoutVars>
      </dgm:prSet>
      <dgm:spPr/>
    </dgm:pt>
  </dgm:ptLst>
  <dgm:cxnLst>
    <dgm:cxn modelId="{92C3690D-91C8-483E-A967-321E576F7946}" srcId="{80850655-4D53-471E-A61F-ACD1C866F36B}" destId="{C4F4FCB7-DC14-43E3-9AA4-C83A7F05356B}" srcOrd="2" destOrd="0" parTransId="{406874D2-72E8-450D-A5A7-5A711577357C}" sibTransId="{5C31D795-874B-4F30-9182-4D2FF4F3D9C8}"/>
    <dgm:cxn modelId="{FC04C410-35D5-447F-BE93-56B32C51C1D3}" srcId="{946AC940-E6A6-4A15-BE30-544FE2E43C86}" destId="{80850655-4D53-471E-A61F-ACD1C866F36B}" srcOrd="0" destOrd="0" parTransId="{E1961B6D-1571-44CF-AFEC-F4D6EBF01245}" sibTransId="{B1613C40-F7F4-4F51-94DE-C4CDB6DBB3CB}"/>
    <dgm:cxn modelId="{865EAE1E-5D33-42C1-B84A-E559C05B5F65}" srcId="{80850655-4D53-471E-A61F-ACD1C866F36B}" destId="{44B170F2-4E4F-45A8-BD5A-F8315B707E8C}" srcOrd="0" destOrd="0" parTransId="{A4C4C1F8-335B-4897-B7F3-ADE535F8B53B}" sibTransId="{F4A1DF06-FE6B-44E2-8A81-DBC7BBC97D64}"/>
    <dgm:cxn modelId="{FB29BC34-DA80-4B5F-9455-931FF2F4F127}" type="presOf" srcId="{44B170F2-4E4F-45A8-BD5A-F8315B707E8C}" destId="{2652FB39-D8AB-4460-916D-B26AF73080FA}" srcOrd="1" destOrd="0" presId="urn:microsoft.com/office/officeart/2005/8/layout/matrix1"/>
    <dgm:cxn modelId="{FFC5A14A-64B0-4760-AB6C-CAF84CA3600D}" type="presOf" srcId="{79D96EBF-683E-41C4-9361-6E9DF08C0E08}" destId="{8C8B2C8F-09E8-4AF1-8780-1E724A48B6DA}" srcOrd="0" destOrd="0" presId="urn:microsoft.com/office/officeart/2005/8/layout/matrix1"/>
    <dgm:cxn modelId="{21A38055-7AA5-42A3-88A2-4AEF95FE4A28}" type="presOf" srcId="{C4F4FCB7-DC14-43E3-9AA4-C83A7F05356B}" destId="{31A5130D-1799-4D57-9F42-7958AC3CB7BF}" srcOrd="0" destOrd="0" presId="urn:microsoft.com/office/officeart/2005/8/layout/matrix1"/>
    <dgm:cxn modelId="{D1434D59-EE1A-482A-B30B-7C30E46D595B}" type="presOf" srcId="{79D96EBF-683E-41C4-9361-6E9DF08C0E08}" destId="{7DAD58A9-1F31-479E-8ACD-5F4B789260AD}" srcOrd="1" destOrd="0" presId="urn:microsoft.com/office/officeart/2005/8/layout/matrix1"/>
    <dgm:cxn modelId="{4CBA3C82-6F7D-42A0-AD78-CF480446EC0B}" srcId="{80850655-4D53-471E-A61F-ACD1C866F36B}" destId="{79D96EBF-683E-41C4-9361-6E9DF08C0E08}" srcOrd="3" destOrd="0" parTransId="{0555953E-BE57-4589-9C9A-6934CDC1C003}" sibTransId="{A4FD9239-C308-4652-A79D-30BF4A0988CF}"/>
    <dgm:cxn modelId="{7D597DA3-16B6-4C3F-AD0F-88DAEBA1C8B4}" srcId="{80850655-4D53-471E-A61F-ACD1C866F36B}" destId="{B3ECB75B-32FC-4325-AA5A-087F2B0BB5D9}" srcOrd="1" destOrd="0" parTransId="{B7CBEED6-1B66-41DC-9E00-DE2E71926703}" sibTransId="{A54599C6-DD7F-48A7-A332-1C32051BABF7}"/>
    <dgm:cxn modelId="{7A46AFC6-E450-4DB5-936F-139C8C1E80F6}" type="presOf" srcId="{B3ECB75B-32FC-4325-AA5A-087F2B0BB5D9}" destId="{3F8E5B6C-FB17-4BAF-8D0F-FA4D040EFDB9}" srcOrd="1" destOrd="0" presId="urn:microsoft.com/office/officeart/2005/8/layout/matrix1"/>
    <dgm:cxn modelId="{3E6883C7-31BC-417F-94F4-EA39DCBB45BF}" type="presOf" srcId="{C4F4FCB7-DC14-43E3-9AA4-C83A7F05356B}" destId="{DA0DD106-202A-4F39-A292-22AF507D934B}" srcOrd="1" destOrd="0" presId="urn:microsoft.com/office/officeart/2005/8/layout/matrix1"/>
    <dgm:cxn modelId="{84D8F6DE-55CB-4836-B896-547B90F3C5AE}" type="presOf" srcId="{80850655-4D53-471E-A61F-ACD1C866F36B}" destId="{FF29618C-B607-4695-87DE-A86A7ACB5E02}" srcOrd="0" destOrd="0" presId="urn:microsoft.com/office/officeart/2005/8/layout/matrix1"/>
    <dgm:cxn modelId="{6E17C6EB-2B5F-4218-ABCE-29DC3D2C23B7}" type="presOf" srcId="{946AC940-E6A6-4A15-BE30-544FE2E43C86}" destId="{F82FE9F5-3ED4-4606-B4D8-1F3BDBAEC690}" srcOrd="0" destOrd="0" presId="urn:microsoft.com/office/officeart/2005/8/layout/matrix1"/>
    <dgm:cxn modelId="{F197A5EE-A3B8-45BD-A4E4-2674A232CB97}" type="presOf" srcId="{B3ECB75B-32FC-4325-AA5A-087F2B0BB5D9}" destId="{4D7453A8-796C-4F0C-BE49-6231A01AD07E}" srcOrd="0" destOrd="0" presId="urn:microsoft.com/office/officeart/2005/8/layout/matrix1"/>
    <dgm:cxn modelId="{FEC062F8-0390-4AF5-8985-CE241D2807BE}" type="presOf" srcId="{44B170F2-4E4F-45A8-BD5A-F8315B707E8C}" destId="{A3005BC3-3B43-4AD0-A577-8ECBE7F9449F}" srcOrd="0" destOrd="0" presId="urn:microsoft.com/office/officeart/2005/8/layout/matrix1"/>
    <dgm:cxn modelId="{60CE4C46-D261-4DD5-B721-BF1D0CB4F0EE}" type="presParOf" srcId="{F82FE9F5-3ED4-4606-B4D8-1F3BDBAEC690}" destId="{05D172C2-7251-40C9-883E-0FECED7E11EA}" srcOrd="0" destOrd="0" presId="urn:microsoft.com/office/officeart/2005/8/layout/matrix1"/>
    <dgm:cxn modelId="{9F271D88-C017-43C3-B500-EF72A17E55F7}" type="presParOf" srcId="{05D172C2-7251-40C9-883E-0FECED7E11EA}" destId="{A3005BC3-3B43-4AD0-A577-8ECBE7F9449F}" srcOrd="0" destOrd="0" presId="urn:microsoft.com/office/officeart/2005/8/layout/matrix1"/>
    <dgm:cxn modelId="{112F285E-CD0C-4872-BDAC-84A4D3F39587}" type="presParOf" srcId="{05D172C2-7251-40C9-883E-0FECED7E11EA}" destId="{2652FB39-D8AB-4460-916D-B26AF73080FA}" srcOrd="1" destOrd="0" presId="urn:microsoft.com/office/officeart/2005/8/layout/matrix1"/>
    <dgm:cxn modelId="{CE864162-1450-46A2-BEE1-A1215B06E58A}" type="presParOf" srcId="{05D172C2-7251-40C9-883E-0FECED7E11EA}" destId="{4D7453A8-796C-4F0C-BE49-6231A01AD07E}" srcOrd="2" destOrd="0" presId="urn:microsoft.com/office/officeart/2005/8/layout/matrix1"/>
    <dgm:cxn modelId="{7DF6CA98-73CD-4155-9C81-A41DB7112D3B}" type="presParOf" srcId="{05D172C2-7251-40C9-883E-0FECED7E11EA}" destId="{3F8E5B6C-FB17-4BAF-8D0F-FA4D040EFDB9}" srcOrd="3" destOrd="0" presId="urn:microsoft.com/office/officeart/2005/8/layout/matrix1"/>
    <dgm:cxn modelId="{2986639E-CAFF-4117-9A63-0F59D890E6EB}" type="presParOf" srcId="{05D172C2-7251-40C9-883E-0FECED7E11EA}" destId="{31A5130D-1799-4D57-9F42-7958AC3CB7BF}" srcOrd="4" destOrd="0" presId="urn:microsoft.com/office/officeart/2005/8/layout/matrix1"/>
    <dgm:cxn modelId="{D1C03535-25CA-43AC-B35A-939406B6F627}" type="presParOf" srcId="{05D172C2-7251-40C9-883E-0FECED7E11EA}" destId="{DA0DD106-202A-4F39-A292-22AF507D934B}" srcOrd="5" destOrd="0" presId="urn:microsoft.com/office/officeart/2005/8/layout/matrix1"/>
    <dgm:cxn modelId="{05C1FFCB-FF2E-47DD-8728-1FC472FF8A5C}" type="presParOf" srcId="{05D172C2-7251-40C9-883E-0FECED7E11EA}" destId="{8C8B2C8F-09E8-4AF1-8780-1E724A48B6DA}" srcOrd="6" destOrd="0" presId="urn:microsoft.com/office/officeart/2005/8/layout/matrix1"/>
    <dgm:cxn modelId="{B92BB8D3-1A68-438B-A86D-FE31937BBA96}" type="presParOf" srcId="{05D172C2-7251-40C9-883E-0FECED7E11EA}" destId="{7DAD58A9-1F31-479E-8ACD-5F4B789260AD}" srcOrd="7" destOrd="0" presId="urn:microsoft.com/office/officeart/2005/8/layout/matrix1"/>
    <dgm:cxn modelId="{6E7EC63A-C122-4ED5-9538-2FFD64834BBA}" type="presParOf" srcId="{F82FE9F5-3ED4-4606-B4D8-1F3BDBAEC690}" destId="{FF29618C-B607-4695-87DE-A86A7ACB5E02}" srcOrd="1" destOrd="0" presId="urn:microsoft.com/office/officeart/2005/8/layout/matrix1"/>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5ED1C21-FDC5-480E-8BDA-FC4FF35A19A7}" type="doc">
      <dgm:prSet loTypeId="urn:microsoft.com/office/officeart/2005/8/layout/process1" loCatId="process" qsTypeId="urn:microsoft.com/office/officeart/2005/8/quickstyle/simple1" qsCatId="simple" csTypeId="urn:microsoft.com/office/officeart/2005/8/colors/accent2_1" csCatId="accent2" phldr="1"/>
      <dgm:spPr/>
    </dgm:pt>
    <dgm:pt modelId="{588C03C6-86A1-4B1F-B075-9AF923223C47}">
      <dgm:prSet phldrT="[Text]"/>
      <dgm:spPr/>
      <dgm:t>
        <a:bodyPr/>
        <a:lstStyle/>
        <a:p>
          <a:r>
            <a:rPr lang="en-US"/>
            <a:t>Theory</a:t>
          </a:r>
        </a:p>
      </dgm:t>
    </dgm:pt>
    <dgm:pt modelId="{61532582-1A9F-4470-918E-5DD4AEE98AF0}" type="parTrans" cxnId="{50F7B74C-0A85-4F04-8F95-D8FE83BF7E58}">
      <dgm:prSet/>
      <dgm:spPr/>
      <dgm:t>
        <a:bodyPr/>
        <a:lstStyle/>
        <a:p>
          <a:endParaRPr lang="en-US"/>
        </a:p>
      </dgm:t>
    </dgm:pt>
    <dgm:pt modelId="{5713E410-2872-47CE-938A-11E17715AB9B}" type="sibTrans" cxnId="{50F7B74C-0A85-4F04-8F95-D8FE83BF7E58}">
      <dgm:prSet/>
      <dgm:spPr/>
      <dgm:t>
        <a:bodyPr/>
        <a:lstStyle/>
        <a:p>
          <a:endParaRPr lang="en-US"/>
        </a:p>
      </dgm:t>
    </dgm:pt>
    <dgm:pt modelId="{05AAA9CC-F412-4E15-B195-0A891440D634}">
      <dgm:prSet phldrT="[Text]"/>
      <dgm:spPr/>
      <dgm:t>
        <a:bodyPr/>
        <a:lstStyle/>
        <a:p>
          <a:r>
            <a:rPr lang="en-US"/>
            <a:t>Hypothesis</a:t>
          </a:r>
        </a:p>
      </dgm:t>
    </dgm:pt>
    <dgm:pt modelId="{B4C9816F-5CCE-4B66-84E0-E8EF10971C64}" type="parTrans" cxnId="{EF933690-2429-47A8-8042-CF2F9F42D12B}">
      <dgm:prSet/>
      <dgm:spPr/>
      <dgm:t>
        <a:bodyPr/>
        <a:lstStyle/>
        <a:p>
          <a:endParaRPr lang="en-US"/>
        </a:p>
      </dgm:t>
    </dgm:pt>
    <dgm:pt modelId="{CB916AAB-0C15-4D22-B885-E62203606D0B}" type="sibTrans" cxnId="{EF933690-2429-47A8-8042-CF2F9F42D12B}">
      <dgm:prSet/>
      <dgm:spPr/>
      <dgm:t>
        <a:bodyPr/>
        <a:lstStyle/>
        <a:p>
          <a:endParaRPr lang="en-US"/>
        </a:p>
      </dgm:t>
    </dgm:pt>
    <dgm:pt modelId="{BEA497A7-1E71-459A-A57C-E54EA794C1DF}">
      <dgm:prSet phldrT="[Text]"/>
      <dgm:spPr/>
      <dgm:t>
        <a:bodyPr/>
        <a:lstStyle/>
        <a:p>
          <a:r>
            <a:rPr lang="en-US"/>
            <a:t>Patterns</a:t>
          </a:r>
        </a:p>
      </dgm:t>
    </dgm:pt>
    <dgm:pt modelId="{D54CB712-86C5-427C-B745-9F46F5F81A20}" type="parTrans" cxnId="{DC5508BA-5704-4A9C-9E48-12B76E4BF981}">
      <dgm:prSet/>
      <dgm:spPr/>
      <dgm:t>
        <a:bodyPr/>
        <a:lstStyle/>
        <a:p>
          <a:endParaRPr lang="en-US"/>
        </a:p>
      </dgm:t>
    </dgm:pt>
    <dgm:pt modelId="{AA493648-6CFD-4F6E-B58D-D0F28A59973B}" type="sibTrans" cxnId="{DC5508BA-5704-4A9C-9E48-12B76E4BF981}">
      <dgm:prSet/>
      <dgm:spPr/>
      <dgm:t>
        <a:bodyPr/>
        <a:lstStyle/>
        <a:p>
          <a:endParaRPr lang="en-US"/>
        </a:p>
      </dgm:t>
    </dgm:pt>
    <dgm:pt modelId="{536CAB78-71C9-4477-A3DF-73682B77F024}">
      <dgm:prSet phldrT="[Text]"/>
      <dgm:spPr/>
      <dgm:t>
        <a:bodyPr/>
        <a:lstStyle/>
        <a:p>
          <a:r>
            <a:rPr lang="en-US"/>
            <a:t>Observations</a:t>
          </a:r>
        </a:p>
      </dgm:t>
    </dgm:pt>
    <dgm:pt modelId="{877FC28C-10FB-420E-AE3B-96E15116CB4A}" type="parTrans" cxnId="{2E0ADA81-E45D-4448-8887-BAF396D12D66}">
      <dgm:prSet/>
      <dgm:spPr/>
      <dgm:t>
        <a:bodyPr/>
        <a:lstStyle/>
        <a:p>
          <a:endParaRPr lang="en-US"/>
        </a:p>
      </dgm:t>
    </dgm:pt>
    <dgm:pt modelId="{EBECA35C-B8E6-4A08-ACDA-59EC4E575AA1}" type="sibTrans" cxnId="{2E0ADA81-E45D-4448-8887-BAF396D12D66}">
      <dgm:prSet/>
      <dgm:spPr/>
      <dgm:t>
        <a:bodyPr/>
        <a:lstStyle/>
        <a:p>
          <a:endParaRPr lang="en-US"/>
        </a:p>
      </dgm:t>
    </dgm:pt>
    <dgm:pt modelId="{18C16FEB-E2F8-4E42-848C-99C65372617D}" type="pres">
      <dgm:prSet presAssocID="{85ED1C21-FDC5-480E-8BDA-FC4FF35A19A7}" presName="Name0" presStyleCnt="0">
        <dgm:presLayoutVars>
          <dgm:dir/>
          <dgm:resizeHandles val="exact"/>
        </dgm:presLayoutVars>
      </dgm:prSet>
      <dgm:spPr/>
    </dgm:pt>
    <dgm:pt modelId="{E23535A8-998A-4B11-8128-E1CFE05E1DEC}" type="pres">
      <dgm:prSet presAssocID="{588C03C6-86A1-4B1F-B075-9AF923223C47}" presName="node" presStyleLbl="node1" presStyleIdx="0" presStyleCnt="4">
        <dgm:presLayoutVars>
          <dgm:bulletEnabled val="1"/>
        </dgm:presLayoutVars>
      </dgm:prSet>
      <dgm:spPr/>
    </dgm:pt>
    <dgm:pt modelId="{4FF7A2B4-1534-4939-82B7-3C55CDE176A5}" type="pres">
      <dgm:prSet presAssocID="{5713E410-2872-47CE-938A-11E17715AB9B}" presName="sibTrans" presStyleLbl="sibTrans2D1" presStyleIdx="0" presStyleCnt="3"/>
      <dgm:spPr/>
    </dgm:pt>
    <dgm:pt modelId="{A75A3D98-0ED5-4697-B75E-772813BFE30C}" type="pres">
      <dgm:prSet presAssocID="{5713E410-2872-47CE-938A-11E17715AB9B}" presName="connectorText" presStyleLbl="sibTrans2D1" presStyleIdx="0" presStyleCnt="3"/>
      <dgm:spPr/>
    </dgm:pt>
    <dgm:pt modelId="{AAB6D061-B93D-49F3-9375-01CAD420FBFE}" type="pres">
      <dgm:prSet presAssocID="{05AAA9CC-F412-4E15-B195-0A891440D634}" presName="node" presStyleLbl="node1" presStyleIdx="1" presStyleCnt="4">
        <dgm:presLayoutVars>
          <dgm:bulletEnabled val="1"/>
        </dgm:presLayoutVars>
      </dgm:prSet>
      <dgm:spPr/>
    </dgm:pt>
    <dgm:pt modelId="{266C193F-4919-4E10-ACF9-DA63EA5184C6}" type="pres">
      <dgm:prSet presAssocID="{CB916AAB-0C15-4D22-B885-E62203606D0B}" presName="sibTrans" presStyleLbl="sibTrans2D1" presStyleIdx="1" presStyleCnt="3"/>
      <dgm:spPr/>
    </dgm:pt>
    <dgm:pt modelId="{C320EF71-F844-490B-9890-508432F000A0}" type="pres">
      <dgm:prSet presAssocID="{CB916AAB-0C15-4D22-B885-E62203606D0B}" presName="connectorText" presStyleLbl="sibTrans2D1" presStyleIdx="1" presStyleCnt="3"/>
      <dgm:spPr/>
    </dgm:pt>
    <dgm:pt modelId="{622716C2-C1B6-4D09-94BC-76920D602B80}" type="pres">
      <dgm:prSet presAssocID="{BEA497A7-1E71-459A-A57C-E54EA794C1DF}" presName="node" presStyleLbl="node1" presStyleIdx="2" presStyleCnt="4">
        <dgm:presLayoutVars>
          <dgm:bulletEnabled val="1"/>
        </dgm:presLayoutVars>
      </dgm:prSet>
      <dgm:spPr/>
    </dgm:pt>
    <dgm:pt modelId="{DCDFC8EE-3380-4226-8133-319BBC916B11}" type="pres">
      <dgm:prSet presAssocID="{AA493648-6CFD-4F6E-B58D-D0F28A59973B}" presName="sibTrans" presStyleLbl="sibTrans2D1" presStyleIdx="2" presStyleCnt="3"/>
      <dgm:spPr/>
    </dgm:pt>
    <dgm:pt modelId="{14353E8C-2AEA-4449-BDE4-A5860092A014}" type="pres">
      <dgm:prSet presAssocID="{AA493648-6CFD-4F6E-B58D-D0F28A59973B}" presName="connectorText" presStyleLbl="sibTrans2D1" presStyleIdx="2" presStyleCnt="3"/>
      <dgm:spPr/>
    </dgm:pt>
    <dgm:pt modelId="{A8E97905-CAFD-4F32-A12D-8D83D993DB49}" type="pres">
      <dgm:prSet presAssocID="{536CAB78-71C9-4477-A3DF-73682B77F024}" presName="node" presStyleLbl="node1" presStyleIdx="3" presStyleCnt="4">
        <dgm:presLayoutVars>
          <dgm:bulletEnabled val="1"/>
        </dgm:presLayoutVars>
      </dgm:prSet>
      <dgm:spPr/>
    </dgm:pt>
  </dgm:ptLst>
  <dgm:cxnLst>
    <dgm:cxn modelId="{D02BAD03-73C2-4D8E-A196-89518369AE85}" type="presOf" srcId="{05AAA9CC-F412-4E15-B195-0A891440D634}" destId="{AAB6D061-B93D-49F3-9375-01CAD420FBFE}" srcOrd="0" destOrd="0" presId="urn:microsoft.com/office/officeart/2005/8/layout/process1"/>
    <dgm:cxn modelId="{B5C2E906-C790-4B25-A3AA-ED2EF6CC775C}" type="presOf" srcId="{CB916AAB-0C15-4D22-B885-E62203606D0B}" destId="{266C193F-4919-4E10-ACF9-DA63EA5184C6}" srcOrd="0" destOrd="0" presId="urn:microsoft.com/office/officeart/2005/8/layout/process1"/>
    <dgm:cxn modelId="{C6A26049-CB28-4216-996C-E0A06E73F9C2}" type="presOf" srcId="{CB916AAB-0C15-4D22-B885-E62203606D0B}" destId="{C320EF71-F844-490B-9890-508432F000A0}" srcOrd="1" destOrd="0" presId="urn:microsoft.com/office/officeart/2005/8/layout/process1"/>
    <dgm:cxn modelId="{50F7B74C-0A85-4F04-8F95-D8FE83BF7E58}" srcId="{85ED1C21-FDC5-480E-8BDA-FC4FF35A19A7}" destId="{588C03C6-86A1-4B1F-B075-9AF923223C47}" srcOrd="0" destOrd="0" parTransId="{61532582-1A9F-4470-918E-5DD4AEE98AF0}" sibTransId="{5713E410-2872-47CE-938A-11E17715AB9B}"/>
    <dgm:cxn modelId="{2573B653-2F18-4726-882B-D875633BACD5}" type="presOf" srcId="{588C03C6-86A1-4B1F-B075-9AF923223C47}" destId="{E23535A8-998A-4B11-8128-E1CFE05E1DEC}" srcOrd="0" destOrd="0" presId="urn:microsoft.com/office/officeart/2005/8/layout/process1"/>
    <dgm:cxn modelId="{2E0ADA81-E45D-4448-8887-BAF396D12D66}" srcId="{85ED1C21-FDC5-480E-8BDA-FC4FF35A19A7}" destId="{536CAB78-71C9-4477-A3DF-73682B77F024}" srcOrd="3" destOrd="0" parTransId="{877FC28C-10FB-420E-AE3B-96E15116CB4A}" sibTransId="{EBECA35C-B8E6-4A08-ACDA-59EC4E575AA1}"/>
    <dgm:cxn modelId="{71A6D78A-7AC1-4CCC-92CA-26F057DAE3D1}" type="presOf" srcId="{536CAB78-71C9-4477-A3DF-73682B77F024}" destId="{A8E97905-CAFD-4F32-A12D-8D83D993DB49}" srcOrd="0" destOrd="0" presId="urn:microsoft.com/office/officeart/2005/8/layout/process1"/>
    <dgm:cxn modelId="{EF933690-2429-47A8-8042-CF2F9F42D12B}" srcId="{85ED1C21-FDC5-480E-8BDA-FC4FF35A19A7}" destId="{05AAA9CC-F412-4E15-B195-0A891440D634}" srcOrd="1" destOrd="0" parTransId="{B4C9816F-5CCE-4B66-84E0-E8EF10971C64}" sibTransId="{CB916AAB-0C15-4D22-B885-E62203606D0B}"/>
    <dgm:cxn modelId="{9F22859E-02F5-4E4B-942A-DDF755781634}" type="presOf" srcId="{AA493648-6CFD-4F6E-B58D-D0F28A59973B}" destId="{DCDFC8EE-3380-4226-8133-319BBC916B11}" srcOrd="0" destOrd="0" presId="urn:microsoft.com/office/officeart/2005/8/layout/process1"/>
    <dgm:cxn modelId="{15F4BEAF-FC0F-4279-BBC8-AE7D1C9F6EDD}" type="presOf" srcId="{BEA497A7-1E71-459A-A57C-E54EA794C1DF}" destId="{622716C2-C1B6-4D09-94BC-76920D602B80}" srcOrd="0" destOrd="0" presId="urn:microsoft.com/office/officeart/2005/8/layout/process1"/>
    <dgm:cxn modelId="{7C785BB5-4F5D-40A2-877F-34CFCF8B3923}" type="presOf" srcId="{5713E410-2872-47CE-938A-11E17715AB9B}" destId="{A75A3D98-0ED5-4697-B75E-772813BFE30C}" srcOrd="1" destOrd="0" presId="urn:microsoft.com/office/officeart/2005/8/layout/process1"/>
    <dgm:cxn modelId="{DC5508BA-5704-4A9C-9E48-12B76E4BF981}" srcId="{85ED1C21-FDC5-480E-8BDA-FC4FF35A19A7}" destId="{BEA497A7-1E71-459A-A57C-E54EA794C1DF}" srcOrd="2" destOrd="0" parTransId="{D54CB712-86C5-427C-B745-9F46F5F81A20}" sibTransId="{AA493648-6CFD-4F6E-B58D-D0F28A59973B}"/>
    <dgm:cxn modelId="{A305DDCC-43A4-4BC2-8418-9FF2EB8F3F91}" type="presOf" srcId="{85ED1C21-FDC5-480E-8BDA-FC4FF35A19A7}" destId="{18C16FEB-E2F8-4E42-848C-99C65372617D}" srcOrd="0" destOrd="0" presId="urn:microsoft.com/office/officeart/2005/8/layout/process1"/>
    <dgm:cxn modelId="{AFC46ED7-10F9-41C9-A69B-45A9177849AB}" type="presOf" srcId="{5713E410-2872-47CE-938A-11E17715AB9B}" destId="{4FF7A2B4-1534-4939-82B7-3C55CDE176A5}" srcOrd="0" destOrd="0" presId="urn:microsoft.com/office/officeart/2005/8/layout/process1"/>
    <dgm:cxn modelId="{62D7A3FF-58AF-4F2D-9089-068AFAC982EF}" type="presOf" srcId="{AA493648-6CFD-4F6E-B58D-D0F28A59973B}" destId="{14353E8C-2AEA-4449-BDE4-A5860092A014}" srcOrd="1" destOrd="0" presId="urn:microsoft.com/office/officeart/2005/8/layout/process1"/>
    <dgm:cxn modelId="{761A077D-F8D0-4A83-A1E9-FC89D1E9F268}" type="presParOf" srcId="{18C16FEB-E2F8-4E42-848C-99C65372617D}" destId="{E23535A8-998A-4B11-8128-E1CFE05E1DEC}" srcOrd="0" destOrd="0" presId="urn:microsoft.com/office/officeart/2005/8/layout/process1"/>
    <dgm:cxn modelId="{B702C30A-CC86-40C8-A853-B8D2C38C209C}" type="presParOf" srcId="{18C16FEB-E2F8-4E42-848C-99C65372617D}" destId="{4FF7A2B4-1534-4939-82B7-3C55CDE176A5}" srcOrd="1" destOrd="0" presId="urn:microsoft.com/office/officeart/2005/8/layout/process1"/>
    <dgm:cxn modelId="{5E6BA3CC-1696-4688-B288-CA422BCFAB2D}" type="presParOf" srcId="{4FF7A2B4-1534-4939-82B7-3C55CDE176A5}" destId="{A75A3D98-0ED5-4697-B75E-772813BFE30C}" srcOrd="0" destOrd="0" presId="urn:microsoft.com/office/officeart/2005/8/layout/process1"/>
    <dgm:cxn modelId="{D7C96CD2-F528-477E-AB5E-D2F5755B6980}" type="presParOf" srcId="{18C16FEB-E2F8-4E42-848C-99C65372617D}" destId="{AAB6D061-B93D-49F3-9375-01CAD420FBFE}" srcOrd="2" destOrd="0" presId="urn:microsoft.com/office/officeart/2005/8/layout/process1"/>
    <dgm:cxn modelId="{EC9855BC-C9FA-4D70-9D1E-EF3AC3C47F43}" type="presParOf" srcId="{18C16FEB-E2F8-4E42-848C-99C65372617D}" destId="{266C193F-4919-4E10-ACF9-DA63EA5184C6}" srcOrd="3" destOrd="0" presId="urn:microsoft.com/office/officeart/2005/8/layout/process1"/>
    <dgm:cxn modelId="{7340C354-74C8-42C7-8A32-3FFA8FE8B5A3}" type="presParOf" srcId="{266C193F-4919-4E10-ACF9-DA63EA5184C6}" destId="{C320EF71-F844-490B-9890-508432F000A0}" srcOrd="0" destOrd="0" presId="urn:microsoft.com/office/officeart/2005/8/layout/process1"/>
    <dgm:cxn modelId="{FDDA9D67-2252-4678-BA4A-AD1FD30B2EFD}" type="presParOf" srcId="{18C16FEB-E2F8-4E42-848C-99C65372617D}" destId="{622716C2-C1B6-4D09-94BC-76920D602B80}" srcOrd="4" destOrd="0" presId="urn:microsoft.com/office/officeart/2005/8/layout/process1"/>
    <dgm:cxn modelId="{3E461FCB-0ADF-43D9-80C5-EE84693FCF74}" type="presParOf" srcId="{18C16FEB-E2F8-4E42-848C-99C65372617D}" destId="{DCDFC8EE-3380-4226-8133-319BBC916B11}" srcOrd="5" destOrd="0" presId="urn:microsoft.com/office/officeart/2005/8/layout/process1"/>
    <dgm:cxn modelId="{35A06F50-C42D-44DB-B146-C6DC6754E97A}" type="presParOf" srcId="{DCDFC8EE-3380-4226-8133-319BBC916B11}" destId="{14353E8C-2AEA-4449-BDE4-A5860092A014}" srcOrd="0" destOrd="0" presId="urn:microsoft.com/office/officeart/2005/8/layout/process1"/>
    <dgm:cxn modelId="{633445EF-CEDA-45D0-A64B-703EB77D8030}" type="presParOf" srcId="{18C16FEB-E2F8-4E42-848C-99C65372617D}" destId="{A8E97905-CAFD-4F32-A12D-8D83D993DB49}" srcOrd="6" destOrd="0" presId="urn:microsoft.com/office/officeart/2005/8/layout/process1"/>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5ED1C21-FDC5-480E-8BDA-FC4FF35A19A7}" type="doc">
      <dgm:prSet loTypeId="urn:microsoft.com/office/officeart/2005/8/layout/process1" loCatId="process" qsTypeId="urn:microsoft.com/office/officeart/2005/8/quickstyle/simple1" qsCatId="simple" csTypeId="urn:microsoft.com/office/officeart/2005/8/colors/accent5_1" csCatId="accent5" phldr="1"/>
      <dgm:spPr/>
    </dgm:pt>
    <dgm:pt modelId="{588C03C6-86A1-4B1F-B075-9AF923223C47}">
      <dgm:prSet phldrT="[Text]"/>
      <dgm:spPr/>
      <dgm:t>
        <a:bodyPr/>
        <a:lstStyle/>
        <a:p>
          <a:r>
            <a:rPr lang="en-US"/>
            <a:t>Confirmation</a:t>
          </a:r>
        </a:p>
      </dgm:t>
    </dgm:pt>
    <dgm:pt modelId="{61532582-1A9F-4470-918E-5DD4AEE98AF0}" type="parTrans" cxnId="{50F7B74C-0A85-4F04-8F95-D8FE83BF7E58}">
      <dgm:prSet/>
      <dgm:spPr/>
      <dgm:t>
        <a:bodyPr/>
        <a:lstStyle/>
        <a:p>
          <a:endParaRPr lang="en-US"/>
        </a:p>
      </dgm:t>
    </dgm:pt>
    <dgm:pt modelId="{5713E410-2872-47CE-938A-11E17715AB9B}" type="sibTrans" cxnId="{50F7B74C-0A85-4F04-8F95-D8FE83BF7E58}">
      <dgm:prSet/>
      <dgm:spPr/>
      <dgm:t>
        <a:bodyPr/>
        <a:lstStyle/>
        <a:p>
          <a:endParaRPr lang="en-US"/>
        </a:p>
      </dgm:t>
    </dgm:pt>
    <dgm:pt modelId="{05AAA9CC-F412-4E15-B195-0A891440D634}">
      <dgm:prSet phldrT="[Text]"/>
      <dgm:spPr/>
      <dgm:t>
        <a:bodyPr/>
        <a:lstStyle/>
        <a:p>
          <a:r>
            <a:rPr lang="en-US"/>
            <a:t>Observations</a:t>
          </a:r>
        </a:p>
      </dgm:t>
    </dgm:pt>
    <dgm:pt modelId="{B4C9816F-5CCE-4B66-84E0-E8EF10971C64}" type="parTrans" cxnId="{EF933690-2429-47A8-8042-CF2F9F42D12B}">
      <dgm:prSet/>
      <dgm:spPr/>
      <dgm:t>
        <a:bodyPr/>
        <a:lstStyle/>
        <a:p>
          <a:endParaRPr lang="en-US"/>
        </a:p>
      </dgm:t>
    </dgm:pt>
    <dgm:pt modelId="{CB916AAB-0C15-4D22-B885-E62203606D0B}" type="sibTrans" cxnId="{EF933690-2429-47A8-8042-CF2F9F42D12B}">
      <dgm:prSet/>
      <dgm:spPr/>
      <dgm:t>
        <a:bodyPr/>
        <a:lstStyle/>
        <a:p>
          <a:endParaRPr lang="en-US"/>
        </a:p>
      </dgm:t>
    </dgm:pt>
    <dgm:pt modelId="{BEA497A7-1E71-459A-A57C-E54EA794C1DF}">
      <dgm:prSet phldrT="[Text]"/>
      <dgm:spPr/>
      <dgm:t>
        <a:bodyPr/>
        <a:lstStyle/>
        <a:p>
          <a:r>
            <a:rPr lang="en-US"/>
            <a:t>Hypothesis</a:t>
          </a:r>
        </a:p>
      </dgm:t>
    </dgm:pt>
    <dgm:pt modelId="{D54CB712-86C5-427C-B745-9F46F5F81A20}" type="parTrans" cxnId="{DC5508BA-5704-4A9C-9E48-12B76E4BF981}">
      <dgm:prSet/>
      <dgm:spPr/>
      <dgm:t>
        <a:bodyPr/>
        <a:lstStyle/>
        <a:p>
          <a:endParaRPr lang="en-US"/>
        </a:p>
      </dgm:t>
    </dgm:pt>
    <dgm:pt modelId="{AA493648-6CFD-4F6E-B58D-D0F28A59973B}" type="sibTrans" cxnId="{DC5508BA-5704-4A9C-9E48-12B76E4BF981}">
      <dgm:prSet/>
      <dgm:spPr/>
      <dgm:t>
        <a:bodyPr/>
        <a:lstStyle/>
        <a:p>
          <a:endParaRPr lang="en-US"/>
        </a:p>
      </dgm:t>
    </dgm:pt>
    <dgm:pt modelId="{536CAB78-71C9-4477-A3DF-73682B77F024}">
      <dgm:prSet phldrT="[Text]"/>
      <dgm:spPr/>
      <dgm:t>
        <a:bodyPr/>
        <a:lstStyle/>
        <a:p>
          <a:r>
            <a:rPr lang="en-US"/>
            <a:t>Theory</a:t>
          </a:r>
        </a:p>
      </dgm:t>
    </dgm:pt>
    <dgm:pt modelId="{877FC28C-10FB-420E-AE3B-96E15116CB4A}" type="parTrans" cxnId="{2E0ADA81-E45D-4448-8887-BAF396D12D66}">
      <dgm:prSet/>
      <dgm:spPr/>
      <dgm:t>
        <a:bodyPr/>
        <a:lstStyle/>
        <a:p>
          <a:endParaRPr lang="en-US"/>
        </a:p>
      </dgm:t>
    </dgm:pt>
    <dgm:pt modelId="{EBECA35C-B8E6-4A08-ACDA-59EC4E575AA1}" type="sibTrans" cxnId="{2E0ADA81-E45D-4448-8887-BAF396D12D66}">
      <dgm:prSet/>
      <dgm:spPr/>
      <dgm:t>
        <a:bodyPr/>
        <a:lstStyle/>
        <a:p>
          <a:endParaRPr lang="en-US"/>
        </a:p>
      </dgm:t>
    </dgm:pt>
    <dgm:pt modelId="{3316DA54-1A77-4156-AA35-94B1ADCB6964}" type="pres">
      <dgm:prSet presAssocID="{85ED1C21-FDC5-480E-8BDA-FC4FF35A19A7}" presName="Name0" presStyleCnt="0">
        <dgm:presLayoutVars>
          <dgm:dir/>
          <dgm:resizeHandles val="exact"/>
        </dgm:presLayoutVars>
      </dgm:prSet>
      <dgm:spPr/>
    </dgm:pt>
    <dgm:pt modelId="{F9FAF84B-E84F-4E3F-8938-E68544D608B9}" type="pres">
      <dgm:prSet presAssocID="{588C03C6-86A1-4B1F-B075-9AF923223C47}" presName="node" presStyleLbl="node1" presStyleIdx="0" presStyleCnt="4">
        <dgm:presLayoutVars>
          <dgm:bulletEnabled val="1"/>
        </dgm:presLayoutVars>
      </dgm:prSet>
      <dgm:spPr/>
    </dgm:pt>
    <dgm:pt modelId="{B74EA64A-9E18-4B97-8D0E-99A283DEDF4C}" type="pres">
      <dgm:prSet presAssocID="{5713E410-2872-47CE-938A-11E17715AB9B}" presName="sibTrans" presStyleLbl="sibTrans2D1" presStyleIdx="0" presStyleCnt="3"/>
      <dgm:spPr/>
    </dgm:pt>
    <dgm:pt modelId="{D1015A00-B765-463B-8C0F-7C7EE4612432}" type="pres">
      <dgm:prSet presAssocID="{5713E410-2872-47CE-938A-11E17715AB9B}" presName="connectorText" presStyleLbl="sibTrans2D1" presStyleIdx="0" presStyleCnt="3"/>
      <dgm:spPr/>
    </dgm:pt>
    <dgm:pt modelId="{004E589F-68EF-4564-8801-EC8D9F43C88F}" type="pres">
      <dgm:prSet presAssocID="{05AAA9CC-F412-4E15-B195-0A891440D634}" presName="node" presStyleLbl="node1" presStyleIdx="1" presStyleCnt="4">
        <dgm:presLayoutVars>
          <dgm:bulletEnabled val="1"/>
        </dgm:presLayoutVars>
      </dgm:prSet>
      <dgm:spPr/>
    </dgm:pt>
    <dgm:pt modelId="{F9ACF4BC-9475-4753-A307-FEE09CFA9D1E}" type="pres">
      <dgm:prSet presAssocID="{CB916AAB-0C15-4D22-B885-E62203606D0B}" presName="sibTrans" presStyleLbl="sibTrans2D1" presStyleIdx="1" presStyleCnt="3"/>
      <dgm:spPr/>
    </dgm:pt>
    <dgm:pt modelId="{A788A7F9-2743-402F-A6C0-6970D74D9887}" type="pres">
      <dgm:prSet presAssocID="{CB916AAB-0C15-4D22-B885-E62203606D0B}" presName="connectorText" presStyleLbl="sibTrans2D1" presStyleIdx="1" presStyleCnt="3"/>
      <dgm:spPr/>
    </dgm:pt>
    <dgm:pt modelId="{DDE00278-4BB9-4084-9987-FADE24911F64}" type="pres">
      <dgm:prSet presAssocID="{BEA497A7-1E71-459A-A57C-E54EA794C1DF}" presName="node" presStyleLbl="node1" presStyleIdx="2" presStyleCnt="4">
        <dgm:presLayoutVars>
          <dgm:bulletEnabled val="1"/>
        </dgm:presLayoutVars>
      </dgm:prSet>
      <dgm:spPr/>
    </dgm:pt>
    <dgm:pt modelId="{39FA5A11-9A6A-49C1-BD86-58C39233E19C}" type="pres">
      <dgm:prSet presAssocID="{AA493648-6CFD-4F6E-B58D-D0F28A59973B}" presName="sibTrans" presStyleLbl="sibTrans2D1" presStyleIdx="2" presStyleCnt="3"/>
      <dgm:spPr/>
    </dgm:pt>
    <dgm:pt modelId="{494A5623-221B-4614-AFEA-922BFEF62DD9}" type="pres">
      <dgm:prSet presAssocID="{AA493648-6CFD-4F6E-B58D-D0F28A59973B}" presName="connectorText" presStyleLbl="sibTrans2D1" presStyleIdx="2" presStyleCnt="3"/>
      <dgm:spPr/>
    </dgm:pt>
    <dgm:pt modelId="{E8CD6A48-86C2-4F75-9F71-38F93E927180}" type="pres">
      <dgm:prSet presAssocID="{536CAB78-71C9-4477-A3DF-73682B77F024}" presName="node" presStyleLbl="node1" presStyleIdx="3" presStyleCnt="4">
        <dgm:presLayoutVars>
          <dgm:bulletEnabled val="1"/>
        </dgm:presLayoutVars>
      </dgm:prSet>
      <dgm:spPr/>
    </dgm:pt>
  </dgm:ptLst>
  <dgm:cxnLst>
    <dgm:cxn modelId="{F89C3102-694A-422F-8F69-26FDE1E74B5F}" type="presOf" srcId="{588C03C6-86A1-4B1F-B075-9AF923223C47}" destId="{F9FAF84B-E84F-4E3F-8938-E68544D608B9}" srcOrd="0" destOrd="0" presId="urn:microsoft.com/office/officeart/2005/8/layout/process1"/>
    <dgm:cxn modelId="{E5E6E50B-8DB6-48A2-ADC7-6D38CF72CD72}" type="presOf" srcId="{AA493648-6CFD-4F6E-B58D-D0F28A59973B}" destId="{39FA5A11-9A6A-49C1-BD86-58C39233E19C}" srcOrd="0" destOrd="0" presId="urn:microsoft.com/office/officeart/2005/8/layout/process1"/>
    <dgm:cxn modelId="{52E4933F-C720-4C36-9D62-47D7EA803937}" type="presOf" srcId="{BEA497A7-1E71-459A-A57C-E54EA794C1DF}" destId="{DDE00278-4BB9-4084-9987-FADE24911F64}" srcOrd="0" destOrd="0" presId="urn:microsoft.com/office/officeart/2005/8/layout/process1"/>
    <dgm:cxn modelId="{E18CCF60-D98D-411C-B4F2-CE8FEFD0E29B}" type="presOf" srcId="{536CAB78-71C9-4477-A3DF-73682B77F024}" destId="{E8CD6A48-86C2-4F75-9F71-38F93E927180}" srcOrd="0" destOrd="0" presId="urn:microsoft.com/office/officeart/2005/8/layout/process1"/>
    <dgm:cxn modelId="{AF59B044-87E5-4A2B-93A3-0DF2F6D8714F}" type="presOf" srcId="{CB916AAB-0C15-4D22-B885-E62203606D0B}" destId="{A788A7F9-2743-402F-A6C0-6970D74D9887}" srcOrd="1" destOrd="0" presId="urn:microsoft.com/office/officeart/2005/8/layout/process1"/>
    <dgm:cxn modelId="{EC38F54A-03A3-4C3A-B9D7-E4B327C23AE0}" type="presOf" srcId="{05AAA9CC-F412-4E15-B195-0A891440D634}" destId="{004E589F-68EF-4564-8801-EC8D9F43C88F}" srcOrd="0" destOrd="0" presId="urn:microsoft.com/office/officeart/2005/8/layout/process1"/>
    <dgm:cxn modelId="{50F7B74C-0A85-4F04-8F95-D8FE83BF7E58}" srcId="{85ED1C21-FDC5-480E-8BDA-FC4FF35A19A7}" destId="{588C03C6-86A1-4B1F-B075-9AF923223C47}" srcOrd="0" destOrd="0" parTransId="{61532582-1A9F-4470-918E-5DD4AEE98AF0}" sibTransId="{5713E410-2872-47CE-938A-11E17715AB9B}"/>
    <dgm:cxn modelId="{7242DA6F-AA94-44B9-87D4-DD01D2E3C244}" type="presOf" srcId="{CB916AAB-0C15-4D22-B885-E62203606D0B}" destId="{F9ACF4BC-9475-4753-A307-FEE09CFA9D1E}" srcOrd="0" destOrd="0" presId="urn:microsoft.com/office/officeart/2005/8/layout/process1"/>
    <dgm:cxn modelId="{2E0ADA81-E45D-4448-8887-BAF396D12D66}" srcId="{85ED1C21-FDC5-480E-8BDA-FC4FF35A19A7}" destId="{536CAB78-71C9-4477-A3DF-73682B77F024}" srcOrd="3" destOrd="0" parTransId="{877FC28C-10FB-420E-AE3B-96E15116CB4A}" sibTransId="{EBECA35C-B8E6-4A08-ACDA-59EC4E575AA1}"/>
    <dgm:cxn modelId="{EF933690-2429-47A8-8042-CF2F9F42D12B}" srcId="{85ED1C21-FDC5-480E-8BDA-FC4FF35A19A7}" destId="{05AAA9CC-F412-4E15-B195-0A891440D634}" srcOrd="1" destOrd="0" parTransId="{B4C9816F-5CCE-4B66-84E0-E8EF10971C64}" sibTransId="{CB916AAB-0C15-4D22-B885-E62203606D0B}"/>
    <dgm:cxn modelId="{80FBDE92-AE44-4306-9CCF-F72EE0512972}" type="presOf" srcId="{5713E410-2872-47CE-938A-11E17715AB9B}" destId="{B74EA64A-9E18-4B97-8D0E-99A283DEDF4C}" srcOrd="0" destOrd="0" presId="urn:microsoft.com/office/officeart/2005/8/layout/process1"/>
    <dgm:cxn modelId="{5268AE95-9F03-47A3-8246-0DF659861E96}" type="presOf" srcId="{5713E410-2872-47CE-938A-11E17715AB9B}" destId="{D1015A00-B765-463B-8C0F-7C7EE4612432}" srcOrd="1" destOrd="0" presId="urn:microsoft.com/office/officeart/2005/8/layout/process1"/>
    <dgm:cxn modelId="{495248B3-C99C-4F6B-A840-5DAEE2C76462}" type="presOf" srcId="{85ED1C21-FDC5-480E-8BDA-FC4FF35A19A7}" destId="{3316DA54-1A77-4156-AA35-94B1ADCB6964}" srcOrd="0" destOrd="0" presId="urn:microsoft.com/office/officeart/2005/8/layout/process1"/>
    <dgm:cxn modelId="{DC5508BA-5704-4A9C-9E48-12B76E4BF981}" srcId="{85ED1C21-FDC5-480E-8BDA-FC4FF35A19A7}" destId="{BEA497A7-1E71-459A-A57C-E54EA794C1DF}" srcOrd="2" destOrd="0" parTransId="{D54CB712-86C5-427C-B745-9F46F5F81A20}" sibTransId="{AA493648-6CFD-4F6E-B58D-D0F28A59973B}"/>
    <dgm:cxn modelId="{09CEA1F5-E045-4441-80CE-73D06D5635E2}" type="presOf" srcId="{AA493648-6CFD-4F6E-B58D-D0F28A59973B}" destId="{494A5623-221B-4614-AFEA-922BFEF62DD9}" srcOrd="1" destOrd="0" presId="urn:microsoft.com/office/officeart/2005/8/layout/process1"/>
    <dgm:cxn modelId="{D6EABCE1-BE9E-4D75-9D26-D9229A3D75C0}" type="presParOf" srcId="{3316DA54-1A77-4156-AA35-94B1ADCB6964}" destId="{F9FAF84B-E84F-4E3F-8938-E68544D608B9}" srcOrd="0" destOrd="0" presId="urn:microsoft.com/office/officeart/2005/8/layout/process1"/>
    <dgm:cxn modelId="{DC96B335-7C3E-4DD9-A4F4-4ADEAB34B62E}" type="presParOf" srcId="{3316DA54-1A77-4156-AA35-94B1ADCB6964}" destId="{B74EA64A-9E18-4B97-8D0E-99A283DEDF4C}" srcOrd="1" destOrd="0" presId="urn:microsoft.com/office/officeart/2005/8/layout/process1"/>
    <dgm:cxn modelId="{36ED2B50-192F-4DBE-BA98-4068AFF0643F}" type="presParOf" srcId="{B74EA64A-9E18-4B97-8D0E-99A283DEDF4C}" destId="{D1015A00-B765-463B-8C0F-7C7EE4612432}" srcOrd="0" destOrd="0" presId="urn:microsoft.com/office/officeart/2005/8/layout/process1"/>
    <dgm:cxn modelId="{7987091B-EBF7-4061-86C8-4512C0D5D070}" type="presParOf" srcId="{3316DA54-1A77-4156-AA35-94B1ADCB6964}" destId="{004E589F-68EF-4564-8801-EC8D9F43C88F}" srcOrd="2" destOrd="0" presId="urn:microsoft.com/office/officeart/2005/8/layout/process1"/>
    <dgm:cxn modelId="{1557C520-CB72-448A-B40A-7B4F6656C659}" type="presParOf" srcId="{3316DA54-1A77-4156-AA35-94B1ADCB6964}" destId="{F9ACF4BC-9475-4753-A307-FEE09CFA9D1E}" srcOrd="3" destOrd="0" presId="urn:microsoft.com/office/officeart/2005/8/layout/process1"/>
    <dgm:cxn modelId="{90616893-6E27-423F-A322-05FFCE020075}" type="presParOf" srcId="{F9ACF4BC-9475-4753-A307-FEE09CFA9D1E}" destId="{A788A7F9-2743-402F-A6C0-6970D74D9887}" srcOrd="0" destOrd="0" presId="urn:microsoft.com/office/officeart/2005/8/layout/process1"/>
    <dgm:cxn modelId="{1554912D-0ABD-49F3-8AD4-DC27CD1B8451}" type="presParOf" srcId="{3316DA54-1A77-4156-AA35-94B1ADCB6964}" destId="{DDE00278-4BB9-4084-9987-FADE24911F64}" srcOrd="4" destOrd="0" presId="urn:microsoft.com/office/officeart/2005/8/layout/process1"/>
    <dgm:cxn modelId="{4F267E2B-8168-49C7-8716-B0D9FCB68123}" type="presParOf" srcId="{3316DA54-1A77-4156-AA35-94B1ADCB6964}" destId="{39FA5A11-9A6A-49C1-BD86-58C39233E19C}" srcOrd="5" destOrd="0" presId="urn:microsoft.com/office/officeart/2005/8/layout/process1"/>
    <dgm:cxn modelId="{2234A396-EA4C-42A0-B465-FEFF29D7C89A}" type="presParOf" srcId="{39FA5A11-9A6A-49C1-BD86-58C39233E19C}" destId="{494A5623-221B-4614-AFEA-922BFEF62DD9}" srcOrd="0" destOrd="0" presId="urn:microsoft.com/office/officeart/2005/8/layout/process1"/>
    <dgm:cxn modelId="{A310C602-DE39-40A2-834A-09410660F838}" type="presParOf" srcId="{3316DA54-1A77-4156-AA35-94B1ADCB6964}" destId="{E8CD6A48-86C2-4F75-9F71-38F93E927180}" srcOrd="6" destOrd="0" presId="urn:microsoft.com/office/officeart/2005/8/layout/process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FFCFE6-3B36-40AE-891C-3E4304BBC0C3}">
      <dsp:nvSpPr>
        <dsp:cNvPr id="0" name=""/>
        <dsp:cNvSpPr/>
      </dsp:nvSpPr>
      <dsp:spPr>
        <a:xfrm>
          <a:off x="774501" y="712589"/>
          <a:ext cx="1775221" cy="1775221"/>
        </a:xfrm>
        <a:prstGeom prst="ellipse">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en-US" sz="2100" kern="1200"/>
            <a:t>Sources of Knowledge</a:t>
          </a:r>
        </a:p>
      </dsp:txBody>
      <dsp:txXfrm>
        <a:off x="1034476" y="972564"/>
        <a:ext cx="1255271" cy="1255271"/>
      </dsp:txXfrm>
    </dsp:sp>
    <dsp:sp modelId="{3CBFA582-C62F-4FB8-ABF7-2287CF7E37E8}">
      <dsp:nvSpPr>
        <dsp:cNvPr id="0" name=""/>
        <dsp:cNvSpPr/>
      </dsp:nvSpPr>
      <dsp:spPr>
        <a:xfrm>
          <a:off x="1218307" y="316"/>
          <a:ext cx="887610" cy="887610"/>
        </a:xfrm>
        <a:prstGeom prst="ellipse">
          <a:avLst/>
        </a:prstGeom>
        <a:solidFill>
          <a:schemeClr val="accent3">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a:t>Assumptions</a:t>
          </a:r>
        </a:p>
      </dsp:txBody>
      <dsp:txXfrm>
        <a:off x="1348294" y="130303"/>
        <a:ext cx="627636" cy="627636"/>
      </dsp:txXfrm>
    </dsp:sp>
    <dsp:sp modelId="{4253137A-77D6-4FBD-A7F1-F212FB5BE443}">
      <dsp:nvSpPr>
        <dsp:cNvPr id="0" name=""/>
        <dsp:cNvSpPr/>
      </dsp:nvSpPr>
      <dsp:spPr>
        <a:xfrm>
          <a:off x="2219499" y="578355"/>
          <a:ext cx="887610" cy="887610"/>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a:t>Direct Experience</a:t>
          </a:r>
        </a:p>
      </dsp:txBody>
      <dsp:txXfrm>
        <a:off x="2349486" y="708342"/>
        <a:ext cx="627636" cy="627636"/>
      </dsp:txXfrm>
    </dsp:sp>
    <dsp:sp modelId="{056E8EA5-6045-450E-9986-48438FACAF58}">
      <dsp:nvSpPr>
        <dsp:cNvPr id="0" name=""/>
        <dsp:cNvSpPr/>
      </dsp:nvSpPr>
      <dsp:spPr>
        <a:xfrm>
          <a:off x="2219499" y="1734433"/>
          <a:ext cx="887610" cy="887610"/>
        </a:xfrm>
        <a:prstGeom prst="ellipse">
          <a:avLst/>
        </a:prstGeom>
        <a:solidFill>
          <a:schemeClr val="accent5">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a:t>Tradition</a:t>
          </a:r>
        </a:p>
      </dsp:txBody>
      <dsp:txXfrm>
        <a:off x="2349486" y="1864420"/>
        <a:ext cx="627636" cy="627636"/>
      </dsp:txXfrm>
    </dsp:sp>
    <dsp:sp modelId="{9881D57F-2745-454E-A67D-5A1F665EE064}">
      <dsp:nvSpPr>
        <dsp:cNvPr id="0" name=""/>
        <dsp:cNvSpPr/>
      </dsp:nvSpPr>
      <dsp:spPr>
        <a:xfrm>
          <a:off x="1218307" y="2312472"/>
          <a:ext cx="887610" cy="887610"/>
        </a:xfrm>
        <a:prstGeom prst="ellipse">
          <a:avLst/>
        </a:prstGeom>
        <a:solidFill>
          <a:schemeClr val="accent6">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a:t>Generalization</a:t>
          </a:r>
        </a:p>
      </dsp:txBody>
      <dsp:txXfrm>
        <a:off x="1348294" y="2442459"/>
        <a:ext cx="627636" cy="627636"/>
      </dsp:txXfrm>
    </dsp:sp>
    <dsp:sp modelId="{B1AB0816-DF26-47BE-8F81-408FA915259B}">
      <dsp:nvSpPr>
        <dsp:cNvPr id="0" name=""/>
        <dsp:cNvSpPr/>
      </dsp:nvSpPr>
      <dsp:spPr>
        <a:xfrm>
          <a:off x="217114" y="1734433"/>
          <a:ext cx="887610" cy="887610"/>
        </a:xfrm>
        <a:prstGeom prst="ellipse">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a:t>Observation</a:t>
          </a:r>
        </a:p>
      </dsp:txBody>
      <dsp:txXfrm>
        <a:off x="347101" y="1864420"/>
        <a:ext cx="627636" cy="627636"/>
      </dsp:txXfrm>
    </dsp:sp>
    <dsp:sp modelId="{5E8D0325-745A-41AC-A729-1B1A6961AFF0}">
      <dsp:nvSpPr>
        <dsp:cNvPr id="0" name=""/>
        <dsp:cNvSpPr/>
      </dsp:nvSpPr>
      <dsp:spPr>
        <a:xfrm>
          <a:off x="217114" y="578355"/>
          <a:ext cx="887610" cy="887610"/>
        </a:xfrm>
        <a:prstGeom prst="ellipse">
          <a:avLst/>
        </a:prstGeom>
        <a:solidFill>
          <a:schemeClr val="accent3">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kern="1200"/>
            <a:t>Authority</a:t>
          </a:r>
        </a:p>
      </dsp:txBody>
      <dsp:txXfrm>
        <a:off x="347101" y="708342"/>
        <a:ext cx="627636" cy="62763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4EC8DE-E25A-433B-A13E-8802ACAAC0E7}">
      <dsp:nvSpPr>
        <dsp:cNvPr id="0" name=""/>
        <dsp:cNvSpPr/>
      </dsp:nvSpPr>
      <dsp:spPr>
        <a:xfrm>
          <a:off x="497033" y="187"/>
          <a:ext cx="926587" cy="638418"/>
        </a:xfrm>
        <a:prstGeom prst="round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EA5BB3-9158-4A7B-8173-A1B977F7704C}">
      <dsp:nvSpPr>
        <dsp:cNvPr id="0" name=""/>
        <dsp:cNvSpPr/>
      </dsp:nvSpPr>
      <dsp:spPr>
        <a:xfrm>
          <a:off x="497033" y="638606"/>
          <a:ext cx="926587" cy="3437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marL="0" lvl="0" indent="0" algn="ctr" defTabSz="400050">
            <a:lnSpc>
              <a:spcPct val="90000"/>
            </a:lnSpc>
            <a:spcBef>
              <a:spcPct val="0"/>
            </a:spcBef>
            <a:spcAft>
              <a:spcPct val="35000"/>
            </a:spcAft>
            <a:buNone/>
          </a:pPr>
          <a:r>
            <a:rPr lang="en-US" sz="900" kern="1200"/>
            <a:t>Voluntary Participation</a:t>
          </a:r>
        </a:p>
      </dsp:txBody>
      <dsp:txXfrm>
        <a:off x="497033" y="638606"/>
        <a:ext cx="926587" cy="343763"/>
      </dsp:txXfrm>
    </dsp:sp>
    <dsp:sp modelId="{9AA962EC-7C4F-4588-88B0-946072246190}">
      <dsp:nvSpPr>
        <dsp:cNvPr id="0" name=""/>
        <dsp:cNvSpPr/>
      </dsp:nvSpPr>
      <dsp:spPr>
        <a:xfrm>
          <a:off x="1516318" y="187"/>
          <a:ext cx="926587" cy="638418"/>
        </a:xfrm>
        <a:prstGeom prst="round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B2C620-EE4B-4583-9E61-B3AB39DF61FA}">
      <dsp:nvSpPr>
        <dsp:cNvPr id="0" name=""/>
        <dsp:cNvSpPr/>
      </dsp:nvSpPr>
      <dsp:spPr>
        <a:xfrm>
          <a:off x="1516318" y="638606"/>
          <a:ext cx="926587" cy="3437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marL="0" lvl="0" indent="0" algn="ctr" defTabSz="400050">
            <a:lnSpc>
              <a:spcPct val="90000"/>
            </a:lnSpc>
            <a:spcBef>
              <a:spcPct val="0"/>
            </a:spcBef>
            <a:spcAft>
              <a:spcPct val="35000"/>
            </a:spcAft>
            <a:buNone/>
          </a:pPr>
          <a:r>
            <a:rPr lang="en-US" sz="900" kern="1200"/>
            <a:t>Informed Consent</a:t>
          </a:r>
        </a:p>
      </dsp:txBody>
      <dsp:txXfrm>
        <a:off x="1516318" y="638606"/>
        <a:ext cx="926587" cy="343763"/>
      </dsp:txXfrm>
    </dsp:sp>
    <dsp:sp modelId="{2144C81D-4CFC-4F15-B6C1-4DA621B534AE}">
      <dsp:nvSpPr>
        <dsp:cNvPr id="0" name=""/>
        <dsp:cNvSpPr/>
      </dsp:nvSpPr>
      <dsp:spPr>
        <a:xfrm>
          <a:off x="2535603" y="187"/>
          <a:ext cx="926587" cy="638418"/>
        </a:xfrm>
        <a:prstGeom prst="round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69DB7D1-E920-49AF-B1CD-ADBF6C8F9E48}">
      <dsp:nvSpPr>
        <dsp:cNvPr id="0" name=""/>
        <dsp:cNvSpPr/>
      </dsp:nvSpPr>
      <dsp:spPr>
        <a:xfrm>
          <a:off x="2535603" y="638606"/>
          <a:ext cx="926587" cy="3437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marL="0" lvl="0" indent="0" algn="ctr" defTabSz="400050">
            <a:lnSpc>
              <a:spcPct val="90000"/>
            </a:lnSpc>
            <a:spcBef>
              <a:spcPct val="0"/>
            </a:spcBef>
            <a:spcAft>
              <a:spcPct val="35000"/>
            </a:spcAft>
            <a:buNone/>
          </a:pPr>
          <a:r>
            <a:rPr lang="en-US" sz="900" kern="1200"/>
            <a:t>Confidentiality</a:t>
          </a:r>
        </a:p>
      </dsp:txBody>
      <dsp:txXfrm>
        <a:off x="2535603" y="638606"/>
        <a:ext cx="926587" cy="343763"/>
      </dsp:txXfrm>
    </dsp:sp>
    <dsp:sp modelId="{00961FB2-00DC-4EC2-8EBB-ABD8AE3CC213}">
      <dsp:nvSpPr>
        <dsp:cNvPr id="0" name=""/>
        <dsp:cNvSpPr/>
      </dsp:nvSpPr>
      <dsp:spPr>
        <a:xfrm>
          <a:off x="1006676" y="1075029"/>
          <a:ext cx="926587" cy="638418"/>
        </a:xfrm>
        <a:prstGeom prst="round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EC1140-719B-4AC6-92CE-5F32A8E2EA34}">
      <dsp:nvSpPr>
        <dsp:cNvPr id="0" name=""/>
        <dsp:cNvSpPr/>
      </dsp:nvSpPr>
      <dsp:spPr>
        <a:xfrm>
          <a:off x="1006676" y="1713448"/>
          <a:ext cx="926587" cy="3437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marL="0" lvl="0" indent="0" algn="ctr" defTabSz="400050">
            <a:lnSpc>
              <a:spcPct val="90000"/>
            </a:lnSpc>
            <a:spcBef>
              <a:spcPct val="0"/>
            </a:spcBef>
            <a:spcAft>
              <a:spcPct val="35000"/>
            </a:spcAft>
            <a:buNone/>
          </a:pPr>
          <a:r>
            <a:rPr lang="en-US" sz="900" kern="1200"/>
            <a:t>Disclosure</a:t>
          </a:r>
        </a:p>
      </dsp:txBody>
      <dsp:txXfrm>
        <a:off x="1006676" y="1713448"/>
        <a:ext cx="926587" cy="343763"/>
      </dsp:txXfrm>
    </dsp:sp>
    <dsp:sp modelId="{B258CF1B-3F1C-460C-9FC3-63533C90DBA4}">
      <dsp:nvSpPr>
        <dsp:cNvPr id="0" name=""/>
        <dsp:cNvSpPr/>
      </dsp:nvSpPr>
      <dsp:spPr>
        <a:xfrm>
          <a:off x="2025961" y="1075029"/>
          <a:ext cx="926587" cy="638418"/>
        </a:xfrm>
        <a:prstGeom prst="roundRect">
          <a:avLst/>
        </a:prstGeom>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6F7658-57BD-4F67-AFE7-4CBB506AA8F7}">
      <dsp:nvSpPr>
        <dsp:cNvPr id="0" name=""/>
        <dsp:cNvSpPr/>
      </dsp:nvSpPr>
      <dsp:spPr>
        <a:xfrm>
          <a:off x="2025961" y="1713448"/>
          <a:ext cx="926587" cy="3437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marL="0" lvl="0" indent="0" algn="ctr" defTabSz="400050">
            <a:lnSpc>
              <a:spcPct val="90000"/>
            </a:lnSpc>
            <a:spcBef>
              <a:spcPct val="0"/>
            </a:spcBef>
            <a:spcAft>
              <a:spcPct val="35000"/>
            </a:spcAft>
            <a:buNone/>
          </a:pPr>
          <a:r>
            <a:rPr lang="en-US" sz="900" kern="1200"/>
            <a:t>Reporting</a:t>
          </a:r>
        </a:p>
      </dsp:txBody>
      <dsp:txXfrm>
        <a:off x="2025961" y="1713448"/>
        <a:ext cx="926587" cy="34376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E87667-694E-4704-8907-AE55FD13F65A}">
      <dsp:nvSpPr>
        <dsp:cNvPr id="0" name=""/>
        <dsp:cNvSpPr/>
      </dsp:nvSpPr>
      <dsp:spPr>
        <a:xfrm>
          <a:off x="2231" y="0"/>
          <a:ext cx="881427" cy="1371600"/>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Beneficence</a:t>
          </a:r>
        </a:p>
      </dsp:txBody>
      <dsp:txXfrm>
        <a:off x="2231" y="0"/>
        <a:ext cx="881427" cy="411480"/>
      </dsp:txXfrm>
    </dsp:sp>
    <dsp:sp modelId="{EF514BD6-599F-418A-99A1-54F6AF8A47B5}">
      <dsp:nvSpPr>
        <dsp:cNvPr id="0" name=""/>
        <dsp:cNvSpPr/>
      </dsp:nvSpPr>
      <dsp:spPr>
        <a:xfrm>
          <a:off x="90373" y="411480"/>
          <a:ext cx="705141" cy="89154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The research should do good</a:t>
          </a:r>
        </a:p>
      </dsp:txBody>
      <dsp:txXfrm>
        <a:off x="111026" y="432133"/>
        <a:ext cx="663835" cy="850234"/>
      </dsp:txXfrm>
    </dsp:sp>
    <dsp:sp modelId="{86E1FC13-B1B2-4447-A59E-3BB5EA500D0D}">
      <dsp:nvSpPr>
        <dsp:cNvPr id="0" name=""/>
        <dsp:cNvSpPr/>
      </dsp:nvSpPr>
      <dsp:spPr>
        <a:xfrm>
          <a:off x="949765" y="0"/>
          <a:ext cx="881427" cy="1371600"/>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Autonomy</a:t>
          </a:r>
        </a:p>
      </dsp:txBody>
      <dsp:txXfrm>
        <a:off x="949765" y="0"/>
        <a:ext cx="881427" cy="411480"/>
      </dsp:txXfrm>
    </dsp:sp>
    <dsp:sp modelId="{3FA0344D-8D87-496E-A89E-6C61C7F905F1}">
      <dsp:nvSpPr>
        <dsp:cNvPr id="0" name=""/>
        <dsp:cNvSpPr/>
      </dsp:nvSpPr>
      <dsp:spPr>
        <a:xfrm>
          <a:off x="1037907" y="411480"/>
          <a:ext cx="705141" cy="891540"/>
        </a:xfrm>
        <a:prstGeom prst="roundRect">
          <a:avLst>
            <a:gd name="adj" fmla="val 10000"/>
          </a:avLst>
        </a:prstGeom>
        <a:solidFill>
          <a:schemeClr val="accent5">
            <a:hueOff val="1202141"/>
            <a:satOff val="-5276"/>
            <a:lumOff val="15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Participants can decide whether to participate</a:t>
          </a:r>
        </a:p>
      </dsp:txBody>
      <dsp:txXfrm>
        <a:off x="1058560" y="432133"/>
        <a:ext cx="663835" cy="850234"/>
      </dsp:txXfrm>
    </dsp:sp>
    <dsp:sp modelId="{33ED860D-A6EF-4CE9-94D6-C695A6377332}">
      <dsp:nvSpPr>
        <dsp:cNvPr id="0" name=""/>
        <dsp:cNvSpPr/>
      </dsp:nvSpPr>
      <dsp:spPr>
        <a:xfrm>
          <a:off x="1897299" y="0"/>
          <a:ext cx="881427" cy="1371600"/>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Nonmaleficence</a:t>
          </a:r>
        </a:p>
      </dsp:txBody>
      <dsp:txXfrm>
        <a:off x="1897299" y="0"/>
        <a:ext cx="881427" cy="411480"/>
      </dsp:txXfrm>
    </dsp:sp>
    <dsp:sp modelId="{CBB28B22-7BAE-4AAE-A6B6-93C51C85B292}">
      <dsp:nvSpPr>
        <dsp:cNvPr id="0" name=""/>
        <dsp:cNvSpPr/>
      </dsp:nvSpPr>
      <dsp:spPr>
        <a:xfrm>
          <a:off x="1985442" y="411480"/>
          <a:ext cx="705141" cy="891540"/>
        </a:xfrm>
        <a:prstGeom prst="roundRect">
          <a:avLst>
            <a:gd name="adj" fmla="val 10000"/>
          </a:avLst>
        </a:prstGeom>
        <a:solidFill>
          <a:schemeClr val="accent5">
            <a:hueOff val="2404281"/>
            <a:satOff val="-10552"/>
            <a:lumOff val="313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No one should be harmed</a:t>
          </a:r>
        </a:p>
      </dsp:txBody>
      <dsp:txXfrm>
        <a:off x="2006095" y="432133"/>
        <a:ext cx="663835" cy="850234"/>
      </dsp:txXfrm>
    </dsp:sp>
    <dsp:sp modelId="{74EDB20B-EE4A-42BB-8AF4-5AF455F9B682}">
      <dsp:nvSpPr>
        <dsp:cNvPr id="0" name=""/>
        <dsp:cNvSpPr/>
      </dsp:nvSpPr>
      <dsp:spPr>
        <a:xfrm>
          <a:off x="2844833" y="0"/>
          <a:ext cx="881427" cy="1371600"/>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Justice</a:t>
          </a:r>
        </a:p>
      </dsp:txBody>
      <dsp:txXfrm>
        <a:off x="2844833" y="0"/>
        <a:ext cx="881427" cy="411480"/>
      </dsp:txXfrm>
    </dsp:sp>
    <dsp:sp modelId="{DD427644-A3E4-49E0-914A-281A347F153C}">
      <dsp:nvSpPr>
        <dsp:cNvPr id="0" name=""/>
        <dsp:cNvSpPr/>
      </dsp:nvSpPr>
      <dsp:spPr>
        <a:xfrm>
          <a:off x="2932976" y="411480"/>
          <a:ext cx="705141" cy="891540"/>
        </a:xfrm>
        <a:prstGeom prst="roundRect">
          <a:avLst>
            <a:gd name="adj" fmla="val 10000"/>
          </a:avLst>
        </a:prstGeom>
        <a:solidFill>
          <a:schemeClr val="accent5">
            <a:hueOff val="3606422"/>
            <a:satOff val="-15828"/>
            <a:lumOff val="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Participants are treated fairly</a:t>
          </a:r>
        </a:p>
      </dsp:txBody>
      <dsp:txXfrm>
        <a:off x="2953629" y="432133"/>
        <a:ext cx="663835" cy="850234"/>
      </dsp:txXfrm>
    </dsp:sp>
    <dsp:sp modelId="{11A4DD36-399E-4B41-B001-E22AB2040A5B}">
      <dsp:nvSpPr>
        <dsp:cNvPr id="0" name=""/>
        <dsp:cNvSpPr/>
      </dsp:nvSpPr>
      <dsp:spPr>
        <a:xfrm>
          <a:off x="3792367" y="0"/>
          <a:ext cx="881427" cy="1371600"/>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Veracity</a:t>
          </a:r>
        </a:p>
      </dsp:txBody>
      <dsp:txXfrm>
        <a:off x="3792367" y="0"/>
        <a:ext cx="881427" cy="411480"/>
      </dsp:txXfrm>
    </dsp:sp>
    <dsp:sp modelId="{6F853EF5-40E6-45CE-BBA2-6F8E49FFFE87}">
      <dsp:nvSpPr>
        <dsp:cNvPr id="0" name=""/>
        <dsp:cNvSpPr/>
      </dsp:nvSpPr>
      <dsp:spPr>
        <a:xfrm>
          <a:off x="3880510" y="411480"/>
          <a:ext cx="705141" cy="891540"/>
        </a:xfrm>
        <a:prstGeom prst="roundRect">
          <a:avLst>
            <a:gd name="adj" fmla="val 10000"/>
          </a:avLst>
        </a:prstGeom>
        <a:solidFill>
          <a:schemeClr val="accent5">
            <a:hueOff val="4808562"/>
            <a:satOff val="-21104"/>
            <a:lumOff val="627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Researcher must be honest</a:t>
          </a:r>
        </a:p>
      </dsp:txBody>
      <dsp:txXfrm>
        <a:off x="3901163" y="432133"/>
        <a:ext cx="663835" cy="850234"/>
      </dsp:txXfrm>
    </dsp:sp>
    <dsp:sp modelId="{9E5FC2E5-9A60-4824-8562-68C12BF7375B}">
      <dsp:nvSpPr>
        <dsp:cNvPr id="0" name=""/>
        <dsp:cNvSpPr/>
      </dsp:nvSpPr>
      <dsp:spPr>
        <a:xfrm>
          <a:off x="4739901" y="0"/>
          <a:ext cx="881427" cy="1371600"/>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Privacy</a:t>
          </a:r>
        </a:p>
      </dsp:txBody>
      <dsp:txXfrm>
        <a:off x="4739901" y="0"/>
        <a:ext cx="881427" cy="411480"/>
      </dsp:txXfrm>
    </dsp:sp>
    <dsp:sp modelId="{5BC6264A-D5EC-4628-9CC2-C069850A218C}">
      <dsp:nvSpPr>
        <dsp:cNvPr id="0" name=""/>
        <dsp:cNvSpPr/>
      </dsp:nvSpPr>
      <dsp:spPr>
        <a:xfrm>
          <a:off x="4828044" y="411480"/>
          <a:ext cx="705141" cy="891540"/>
        </a:xfrm>
        <a:prstGeom prst="roundRect">
          <a:avLst>
            <a:gd name="adj" fmla="val 10000"/>
          </a:avLst>
        </a:prstGeom>
        <a:solidFill>
          <a:schemeClr val="accent5">
            <a:hueOff val="6010703"/>
            <a:satOff val="-26380"/>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Participants' privacy is protected</a:t>
          </a:r>
        </a:p>
      </dsp:txBody>
      <dsp:txXfrm>
        <a:off x="4848697" y="432133"/>
        <a:ext cx="663835" cy="85023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503ED9-868D-40CA-930B-3BE6AB4695F3}">
      <dsp:nvSpPr>
        <dsp:cNvPr id="0" name=""/>
        <dsp:cNvSpPr/>
      </dsp:nvSpPr>
      <dsp:spPr>
        <a:xfrm>
          <a:off x="900839" y="1238893"/>
          <a:ext cx="875111" cy="754498"/>
        </a:xfrm>
        <a:prstGeom prst="hexagon">
          <a:avLst>
            <a:gd name="adj" fmla="val 25000"/>
            <a:gd name="vf" fmla="val 11547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Explanatory</a:t>
          </a:r>
        </a:p>
      </dsp:txBody>
      <dsp:txXfrm>
        <a:off x="1036640" y="1355977"/>
        <a:ext cx="603509" cy="520330"/>
      </dsp:txXfrm>
    </dsp:sp>
    <dsp:sp modelId="{F0EC6EC8-1690-4B97-B1CD-49E0556BF51D}">
      <dsp:nvSpPr>
        <dsp:cNvPr id="0" name=""/>
        <dsp:cNvSpPr/>
      </dsp:nvSpPr>
      <dsp:spPr>
        <a:xfrm>
          <a:off x="923573" y="1571988"/>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7165F1-C756-4D0C-B669-E44ADBB3F5EB}">
      <dsp:nvSpPr>
        <dsp:cNvPr id="0" name=""/>
        <dsp:cNvSpPr/>
      </dsp:nvSpPr>
      <dsp:spPr>
        <a:xfrm>
          <a:off x="152789" y="833636"/>
          <a:ext cx="875111" cy="754498"/>
        </a:xfrm>
        <a:prstGeom prst="hexagon">
          <a:avLst>
            <a:gd name="adj" fmla="val 25000"/>
            <a:gd name="vf" fmla="val 115470"/>
          </a:avLst>
        </a:prstGeom>
        <a:blipFill>
          <a:blip xmlns:r="http://schemas.openxmlformats.org/officeDocument/2006/relationships" r:embed="rId1"/>
          <a:srcRect/>
          <a:stretch>
            <a:fillRect t="-8000" b="-8000"/>
          </a:stretch>
        </a:blip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165675-C960-42FB-ADAB-63F58FB342E7}">
      <dsp:nvSpPr>
        <dsp:cNvPr id="0" name=""/>
        <dsp:cNvSpPr/>
      </dsp:nvSpPr>
      <dsp:spPr>
        <a:xfrm>
          <a:off x="748550" y="1488465"/>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F1D6BA-D1A7-4AA6-BDA0-5E7AFD0F7DFE}">
      <dsp:nvSpPr>
        <dsp:cNvPr id="0" name=""/>
        <dsp:cNvSpPr/>
      </dsp:nvSpPr>
      <dsp:spPr>
        <a:xfrm>
          <a:off x="1646396" y="824666"/>
          <a:ext cx="875111" cy="754498"/>
        </a:xfrm>
        <a:prstGeom prst="hexagon">
          <a:avLst>
            <a:gd name="adj" fmla="val 25000"/>
            <a:gd name="vf" fmla="val 11547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Descriptive</a:t>
          </a:r>
        </a:p>
      </dsp:txBody>
      <dsp:txXfrm>
        <a:off x="1782197" y="941750"/>
        <a:ext cx="603509" cy="520330"/>
      </dsp:txXfrm>
    </dsp:sp>
    <dsp:sp modelId="{C8CE781F-7837-4D96-86F0-6016A96E2175}">
      <dsp:nvSpPr>
        <dsp:cNvPr id="0" name=""/>
        <dsp:cNvSpPr/>
      </dsp:nvSpPr>
      <dsp:spPr>
        <a:xfrm>
          <a:off x="2244649" y="1478698"/>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D95934B-33B5-4F00-BB42-89BF489F4678}">
      <dsp:nvSpPr>
        <dsp:cNvPr id="0" name=""/>
        <dsp:cNvSpPr/>
      </dsp:nvSpPr>
      <dsp:spPr>
        <a:xfrm>
          <a:off x="2391954" y="1238893"/>
          <a:ext cx="875111" cy="754498"/>
        </a:xfrm>
        <a:prstGeom prst="hexagon">
          <a:avLst>
            <a:gd name="adj" fmla="val 25000"/>
            <a:gd name="vf" fmla="val 115470"/>
          </a:avLst>
        </a:prstGeom>
        <a:blipFill>
          <a:blip xmlns:r="http://schemas.openxmlformats.org/officeDocument/2006/relationships" r:embed="rId2"/>
          <a:srcRect/>
          <a:stretch>
            <a:fillRect t="-8000" b="-8000"/>
          </a:stretch>
        </a:blip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2CC4417-45AC-40E9-9914-D7794CE772FE}">
      <dsp:nvSpPr>
        <dsp:cNvPr id="0" name=""/>
        <dsp:cNvSpPr/>
      </dsp:nvSpPr>
      <dsp:spPr>
        <a:xfrm>
          <a:off x="2414688" y="1571988"/>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5A0ABAD-7CB8-4123-92C7-F5DC050DA631}">
      <dsp:nvSpPr>
        <dsp:cNvPr id="0" name=""/>
        <dsp:cNvSpPr/>
      </dsp:nvSpPr>
      <dsp:spPr>
        <a:xfrm>
          <a:off x="900839" y="412233"/>
          <a:ext cx="875111" cy="754498"/>
        </a:xfrm>
        <a:prstGeom prst="hexagon">
          <a:avLst>
            <a:gd name="adj" fmla="val 25000"/>
            <a:gd name="vf" fmla="val 11547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Exploratory</a:t>
          </a:r>
        </a:p>
      </dsp:txBody>
      <dsp:txXfrm>
        <a:off x="1036640" y="529317"/>
        <a:ext cx="603509" cy="520330"/>
      </dsp:txXfrm>
    </dsp:sp>
    <dsp:sp modelId="{B2550EDF-B249-4205-AD91-8E6FA49EF8BC}">
      <dsp:nvSpPr>
        <dsp:cNvPr id="0" name=""/>
        <dsp:cNvSpPr/>
      </dsp:nvSpPr>
      <dsp:spPr>
        <a:xfrm>
          <a:off x="1494108" y="428579"/>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98EEB00-6E2D-4439-9220-EB8A86E51A58}">
      <dsp:nvSpPr>
        <dsp:cNvPr id="0" name=""/>
        <dsp:cNvSpPr/>
      </dsp:nvSpPr>
      <dsp:spPr>
        <a:xfrm>
          <a:off x="1646396" y="0"/>
          <a:ext cx="875111" cy="754498"/>
        </a:xfrm>
        <a:prstGeom prst="hexagon">
          <a:avLst>
            <a:gd name="adj" fmla="val 25000"/>
            <a:gd name="vf" fmla="val 115470"/>
          </a:avLst>
        </a:prstGeom>
        <a:blipFill>
          <a:blip xmlns:r="http://schemas.openxmlformats.org/officeDocument/2006/relationships" r:embed="rId3"/>
          <a:srcRect/>
          <a:stretch>
            <a:fillRect t="-8000" b="-8000"/>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084AB22-365E-432B-92BC-70F53658397E}">
      <dsp:nvSpPr>
        <dsp:cNvPr id="0" name=""/>
        <dsp:cNvSpPr/>
      </dsp:nvSpPr>
      <dsp:spPr>
        <a:xfrm>
          <a:off x="1672245" y="331301"/>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A2DEBC-7FCC-44EB-AF73-7DBBC13DC9AF}">
      <dsp:nvSpPr>
        <dsp:cNvPr id="0" name=""/>
        <dsp:cNvSpPr/>
      </dsp:nvSpPr>
      <dsp:spPr>
        <a:xfrm>
          <a:off x="972674" y="1410736"/>
          <a:ext cx="988810" cy="849066"/>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Experimental</a:t>
          </a:r>
        </a:p>
      </dsp:txBody>
      <dsp:txXfrm>
        <a:off x="1125830" y="1542247"/>
        <a:ext cx="682498" cy="586044"/>
      </dsp:txXfrm>
    </dsp:sp>
    <dsp:sp modelId="{910539F4-B439-4FF3-9737-62C5983B2FA4}">
      <dsp:nvSpPr>
        <dsp:cNvPr id="0" name=""/>
        <dsp:cNvSpPr/>
      </dsp:nvSpPr>
      <dsp:spPr>
        <a:xfrm>
          <a:off x="996267" y="1790303"/>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6295898-F5E3-4189-9701-DFFBBFC45077}">
      <dsp:nvSpPr>
        <dsp:cNvPr id="0" name=""/>
        <dsp:cNvSpPr/>
      </dsp:nvSpPr>
      <dsp:spPr>
        <a:xfrm>
          <a:off x="121752" y="941237"/>
          <a:ext cx="988810" cy="849066"/>
        </a:xfrm>
        <a:prstGeom prst="hexagon">
          <a:avLst>
            <a:gd name="adj" fmla="val 25000"/>
            <a:gd name="vf" fmla="val 115470"/>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8000" b="-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45156B2-A062-4E2C-BB75-7EADCBAB3F75}">
      <dsp:nvSpPr>
        <dsp:cNvPr id="0" name=""/>
        <dsp:cNvSpPr/>
      </dsp:nvSpPr>
      <dsp:spPr>
        <a:xfrm>
          <a:off x="799134" y="1677649"/>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B02CDF6-D178-4F37-8A02-1CA5FA410326}">
      <dsp:nvSpPr>
        <dsp:cNvPr id="0" name=""/>
        <dsp:cNvSpPr/>
      </dsp:nvSpPr>
      <dsp:spPr>
        <a:xfrm>
          <a:off x="1823596" y="938677"/>
          <a:ext cx="988810" cy="849066"/>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Survey</a:t>
          </a:r>
        </a:p>
      </dsp:txBody>
      <dsp:txXfrm>
        <a:off x="1976752" y="1070188"/>
        <a:ext cx="682498" cy="586044"/>
      </dsp:txXfrm>
    </dsp:sp>
    <dsp:sp modelId="{A6E32AE8-8941-44F1-AF39-3E4973AAFDAA}">
      <dsp:nvSpPr>
        <dsp:cNvPr id="0" name=""/>
        <dsp:cNvSpPr/>
      </dsp:nvSpPr>
      <dsp:spPr>
        <a:xfrm>
          <a:off x="2504123" y="1673169"/>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6E3D231-A0DF-4216-A07D-0E0F0EF257E4}">
      <dsp:nvSpPr>
        <dsp:cNvPr id="0" name=""/>
        <dsp:cNvSpPr/>
      </dsp:nvSpPr>
      <dsp:spPr>
        <a:xfrm>
          <a:off x="2673993" y="1408816"/>
          <a:ext cx="988810" cy="849066"/>
        </a:xfrm>
        <a:prstGeom prst="hexagon">
          <a:avLst>
            <a:gd name="adj" fmla="val 25000"/>
            <a:gd name="vf" fmla="val 115470"/>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8000" b="-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3D662AC-06B3-4B21-A9FE-6D68F669D7CD}">
      <dsp:nvSpPr>
        <dsp:cNvPr id="0" name=""/>
        <dsp:cNvSpPr/>
      </dsp:nvSpPr>
      <dsp:spPr>
        <a:xfrm>
          <a:off x="2698111" y="1786783"/>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2DC4FF0-7A6F-4CBF-893A-44AD9546F0A1}">
      <dsp:nvSpPr>
        <dsp:cNvPr id="0" name=""/>
        <dsp:cNvSpPr/>
      </dsp:nvSpPr>
      <dsp:spPr>
        <a:xfrm>
          <a:off x="972674" y="472058"/>
          <a:ext cx="988810" cy="849066"/>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Secondary Data</a:t>
          </a:r>
        </a:p>
      </dsp:txBody>
      <dsp:txXfrm>
        <a:off x="1125830" y="603569"/>
        <a:ext cx="682498" cy="586044"/>
      </dsp:txXfrm>
    </dsp:sp>
    <dsp:sp modelId="{7361E8D0-3AB9-4D16-8497-DBA7C7DEBA2B}">
      <dsp:nvSpPr>
        <dsp:cNvPr id="0" name=""/>
        <dsp:cNvSpPr/>
      </dsp:nvSpPr>
      <dsp:spPr>
        <a:xfrm>
          <a:off x="1645862" y="483580"/>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7DA773-D97E-4984-B2A6-8F1EDA64E6E9}">
      <dsp:nvSpPr>
        <dsp:cNvPr id="0" name=""/>
        <dsp:cNvSpPr/>
      </dsp:nvSpPr>
      <dsp:spPr>
        <a:xfrm>
          <a:off x="1823596" y="0"/>
          <a:ext cx="988810" cy="849066"/>
        </a:xfrm>
        <a:prstGeom prst="hexagon">
          <a:avLst>
            <a:gd name="adj" fmla="val 25000"/>
            <a:gd name="vf" fmla="val 115470"/>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8000" b="-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7E2C0EA-D496-4476-9A94-5F7261497313}">
      <dsp:nvSpPr>
        <dsp:cNvPr id="0" name=""/>
        <dsp:cNvSpPr/>
      </dsp:nvSpPr>
      <dsp:spPr>
        <a:xfrm>
          <a:off x="1851383" y="376046"/>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04ED209-4838-44A0-903F-02AD9FEFBBB6}">
      <dsp:nvSpPr>
        <dsp:cNvPr id="0" name=""/>
        <dsp:cNvSpPr/>
      </dsp:nvSpPr>
      <dsp:spPr>
        <a:xfrm>
          <a:off x="2673993" y="470138"/>
          <a:ext cx="988810" cy="849066"/>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Case</a:t>
          </a:r>
        </a:p>
      </dsp:txBody>
      <dsp:txXfrm>
        <a:off x="2827149" y="601649"/>
        <a:ext cx="682498" cy="586044"/>
      </dsp:txXfrm>
    </dsp:sp>
    <dsp:sp modelId="{D2D054A3-4E4B-4E24-8D97-89D43FB8C349}">
      <dsp:nvSpPr>
        <dsp:cNvPr id="0" name=""/>
        <dsp:cNvSpPr/>
      </dsp:nvSpPr>
      <dsp:spPr>
        <a:xfrm>
          <a:off x="3529634" y="846505"/>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0584D79-8ADA-4E0D-AFA7-93FDBF3D5CFB}">
      <dsp:nvSpPr>
        <dsp:cNvPr id="0" name=""/>
        <dsp:cNvSpPr/>
      </dsp:nvSpPr>
      <dsp:spPr>
        <a:xfrm>
          <a:off x="3524915" y="947638"/>
          <a:ext cx="988810" cy="849066"/>
        </a:xfrm>
        <a:prstGeom prst="hexagon">
          <a:avLst>
            <a:gd name="adj" fmla="val 25000"/>
            <a:gd name="vf" fmla="val 115470"/>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8000" b="-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BA8739-8756-4BB0-AED2-EDF71BDBB700}">
      <dsp:nvSpPr>
        <dsp:cNvPr id="0" name=""/>
        <dsp:cNvSpPr/>
      </dsp:nvSpPr>
      <dsp:spPr>
        <a:xfrm>
          <a:off x="3717854" y="962680"/>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1C6B36E-BB2F-42EB-A1A3-C2E705173080}">
      <dsp:nvSpPr>
        <dsp:cNvPr id="0" name=""/>
        <dsp:cNvSpPr/>
      </dsp:nvSpPr>
      <dsp:spPr>
        <a:xfrm>
          <a:off x="3524915" y="8961"/>
          <a:ext cx="988810" cy="849066"/>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Focus Group</a:t>
          </a:r>
        </a:p>
      </dsp:txBody>
      <dsp:txXfrm>
        <a:off x="3678071" y="140472"/>
        <a:ext cx="682498" cy="586044"/>
      </dsp:txXfrm>
    </dsp:sp>
    <dsp:sp modelId="{1208C2F8-4F4D-475F-B192-A5699641452A}">
      <dsp:nvSpPr>
        <dsp:cNvPr id="0" name=""/>
        <dsp:cNvSpPr/>
      </dsp:nvSpPr>
      <dsp:spPr>
        <a:xfrm>
          <a:off x="4380556" y="389488"/>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957AEAB-82A8-459D-BA6F-54319E584032}">
      <dsp:nvSpPr>
        <dsp:cNvPr id="0" name=""/>
        <dsp:cNvSpPr/>
      </dsp:nvSpPr>
      <dsp:spPr>
        <a:xfrm>
          <a:off x="4375837" y="482620"/>
          <a:ext cx="988810" cy="849066"/>
        </a:xfrm>
        <a:prstGeom prst="hexagon">
          <a:avLst>
            <a:gd name="adj" fmla="val 25000"/>
            <a:gd name="vf" fmla="val 115470"/>
          </a:avLst>
        </a:prstGeom>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8000" b="-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1AC1E48-EC41-4EF7-BF00-03B2E8AE26D3}">
      <dsp:nvSpPr>
        <dsp:cNvPr id="0" name=""/>
        <dsp:cNvSpPr/>
      </dsp:nvSpPr>
      <dsp:spPr>
        <a:xfrm>
          <a:off x="4572970" y="501502"/>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613F42-39F2-4335-B723-C69002BCE5D9}">
      <dsp:nvSpPr>
        <dsp:cNvPr id="0" name=""/>
        <dsp:cNvSpPr/>
      </dsp:nvSpPr>
      <dsp:spPr>
        <a:xfrm>
          <a:off x="4375837" y="1419697"/>
          <a:ext cx="988810" cy="849066"/>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Action Research</a:t>
          </a:r>
        </a:p>
      </dsp:txBody>
      <dsp:txXfrm>
        <a:off x="4528993" y="1551208"/>
        <a:ext cx="682498" cy="586044"/>
      </dsp:txXfrm>
    </dsp:sp>
    <dsp:sp modelId="{AB021AF8-A36A-44DE-8FB1-AF7921E6C10B}">
      <dsp:nvSpPr>
        <dsp:cNvPr id="0" name=""/>
        <dsp:cNvSpPr/>
      </dsp:nvSpPr>
      <dsp:spPr>
        <a:xfrm>
          <a:off x="4571921" y="2163470"/>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261D80-EC96-4370-A207-51C1988B7D95}">
      <dsp:nvSpPr>
        <dsp:cNvPr id="0" name=""/>
        <dsp:cNvSpPr/>
      </dsp:nvSpPr>
      <dsp:spPr>
        <a:xfrm>
          <a:off x="3524915" y="1884715"/>
          <a:ext cx="988810" cy="849066"/>
        </a:xfrm>
        <a:prstGeom prst="hexagon">
          <a:avLst>
            <a:gd name="adj" fmla="val 25000"/>
            <a:gd name="vf" fmla="val 115470"/>
          </a:avLst>
        </a:prstGeom>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t="-8000" b="-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2FD8E9B-0F70-45B9-8906-201EFF3F32FF}">
      <dsp:nvSpPr>
        <dsp:cNvPr id="0" name=""/>
        <dsp:cNvSpPr/>
      </dsp:nvSpPr>
      <dsp:spPr>
        <a:xfrm>
          <a:off x="4388420" y="2257242"/>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90C9E3D-A548-4815-AD24-C5F778708C1A}">
      <dsp:nvSpPr>
        <dsp:cNvPr id="0" name=""/>
        <dsp:cNvSpPr/>
      </dsp:nvSpPr>
      <dsp:spPr>
        <a:xfrm>
          <a:off x="1822547" y="1879274"/>
          <a:ext cx="988810" cy="849066"/>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Ethnography</a:t>
          </a:r>
        </a:p>
      </dsp:txBody>
      <dsp:txXfrm>
        <a:off x="1975703" y="2010785"/>
        <a:ext cx="682498" cy="586044"/>
      </dsp:txXfrm>
    </dsp:sp>
    <dsp:sp modelId="{82303067-C360-444F-BB76-4BD3957A503D}">
      <dsp:nvSpPr>
        <dsp:cNvPr id="0" name=""/>
        <dsp:cNvSpPr/>
      </dsp:nvSpPr>
      <dsp:spPr>
        <a:xfrm>
          <a:off x="1850859" y="2255641"/>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D2C5067-55E8-4FD1-903D-038067EB0875}">
      <dsp:nvSpPr>
        <dsp:cNvPr id="0" name=""/>
        <dsp:cNvSpPr/>
      </dsp:nvSpPr>
      <dsp:spPr>
        <a:xfrm>
          <a:off x="972149" y="2351333"/>
          <a:ext cx="988810" cy="849066"/>
        </a:xfrm>
        <a:prstGeom prst="hexagon">
          <a:avLst>
            <a:gd name="adj" fmla="val 25000"/>
            <a:gd name="vf" fmla="val 115470"/>
          </a:avLst>
        </a:prstGeom>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t="-8000" b="-8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FAEE815-603E-4626-9098-CD1BF26F45FA}">
      <dsp:nvSpPr>
        <dsp:cNvPr id="0" name=""/>
        <dsp:cNvSpPr/>
      </dsp:nvSpPr>
      <dsp:spPr>
        <a:xfrm>
          <a:off x="1644813" y="2363175"/>
          <a:ext cx="115343" cy="99532"/>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291B52-FA6E-401F-8215-9EC20369BB1B}">
      <dsp:nvSpPr>
        <dsp:cNvPr id="0" name=""/>
        <dsp:cNvSpPr/>
      </dsp:nvSpPr>
      <dsp:spPr>
        <a:xfrm>
          <a:off x="1600455" y="1381388"/>
          <a:ext cx="1160269" cy="1160269"/>
        </a:xfrm>
        <a:prstGeom prst="ellipse">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en-US" sz="1700" kern="1200"/>
            <a:t>What We Measure</a:t>
          </a:r>
        </a:p>
      </dsp:txBody>
      <dsp:txXfrm>
        <a:off x="1770372" y="1551305"/>
        <a:ext cx="820435" cy="820435"/>
      </dsp:txXfrm>
    </dsp:sp>
    <dsp:sp modelId="{F279186C-2CDF-45D7-A7E3-D6E364F5A03E}">
      <dsp:nvSpPr>
        <dsp:cNvPr id="0" name=""/>
        <dsp:cNvSpPr/>
      </dsp:nvSpPr>
      <dsp:spPr>
        <a:xfrm rot="12900000">
          <a:off x="854828" y="1178952"/>
          <a:ext cx="888526" cy="330676"/>
        </a:xfrm>
        <a:prstGeom prst="leftArrow">
          <a:avLst>
            <a:gd name="adj1" fmla="val 60000"/>
            <a:gd name="adj2" fmla="val 50000"/>
          </a:avLst>
        </a:prstGeom>
        <a:gradFill rotWithShape="0">
          <a:gsLst>
            <a:gs pos="0">
              <a:schemeClr val="accent5">
                <a:tint val="60000"/>
                <a:hueOff val="0"/>
                <a:satOff val="0"/>
                <a:lumOff val="0"/>
                <a:alphaOff val="0"/>
                <a:lumMod val="110000"/>
                <a:satMod val="105000"/>
                <a:tint val="67000"/>
              </a:schemeClr>
            </a:gs>
            <a:gs pos="50000">
              <a:schemeClr val="accent5">
                <a:tint val="60000"/>
                <a:hueOff val="0"/>
                <a:satOff val="0"/>
                <a:lumOff val="0"/>
                <a:alphaOff val="0"/>
                <a:lumMod val="105000"/>
                <a:satMod val="103000"/>
                <a:tint val="73000"/>
              </a:schemeClr>
            </a:gs>
            <a:gs pos="100000">
              <a:schemeClr val="accent5">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CB662C7D-299C-4397-9C46-D61C2E4EFE30}">
      <dsp:nvSpPr>
        <dsp:cNvPr id="0" name=""/>
        <dsp:cNvSpPr/>
      </dsp:nvSpPr>
      <dsp:spPr>
        <a:xfrm>
          <a:off x="384044" y="648570"/>
          <a:ext cx="1102256" cy="88180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t>Observational Terms</a:t>
          </a:r>
        </a:p>
      </dsp:txBody>
      <dsp:txXfrm>
        <a:off x="409871" y="674397"/>
        <a:ext cx="1050602" cy="830151"/>
      </dsp:txXfrm>
    </dsp:sp>
    <dsp:sp modelId="{0B236973-A07A-473C-BF0C-A3D4A44754E1}">
      <dsp:nvSpPr>
        <dsp:cNvPr id="0" name=""/>
        <dsp:cNvSpPr/>
      </dsp:nvSpPr>
      <dsp:spPr>
        <a:xfrm rot="16200000">
          <a:off x="1736326" y="720073"/>
          <a:ext cx="888526" cy="330676"/>
        </a:xfrm>
        <a:prstGeom prst="leftArrow">
          <a:avLst>
            <a:gd name="adj1" fmla="val 60000"/>
            <a:gd name="adj2" fmla="val 50000"/>
          </a:avLst>
        </a:prstGeom>
        <a:gradFill rotWithShape="0">
          <a:gsLst>
            <a:gs pos="0">
              <a:schemeClr val="accent5">
                <a:tint val="60000"/>
                <a:hueOff val="0"/>
                <a:satOff val="0"/>
                <a:lumOff val="0"/>
                <a:alphaOff val="0"/>
                <a:lumMod val="110000"/>
                <a:satMod val="105000"/>
                <a:tint val="67000"/>
              </a:schemeClr>
            </a:gs>
            <a:gs pos="50000">
              <a:schemeClr val="accent5">
                <a:tint val="60000"/>
                <a:hueOff val="0"/>
                <a:satOff val="0"/>
                <a:lumOff val="0"/>
                <a:alphaOff val="0"/>
                <a:lumMod val="105000"/>
                <a:satMod val="103000"/>
                <a:tint val="73000"/>
              </a:schemeClr>
            </a:gs>
            <a:gs pos="100000">
              <a:schemeClr val="accent5">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A41B22CC-4E1D-4771-8FF3-211A8F91DA3E}">
      <dsp:nvSpPr>
        <dsp:cNvPr id="0" name=""/>
        <dsp:cNvSpPr/>
      </dsp:nvSpPr>
      <dsp:spPr>
        <a:xfrm>
          <a:off x="1629461" y="246"/>
          <a:ext cx="1102256" cy="88180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t>Indirect Observables</a:t>
          </a:r>
        </a:p>
      </dsp:txBody>
      <dsp:txXfrm>
        <a:off x="1655288" y="26073"/>
        <a:ext cx="1050602" cy="830151"/>
      </dsp:txXfrm>
    </dsp:sp>
    <dsp:sp modelId="{9DE80D5D-8FAB-462A-A7E7-F0E554B5514D}">
      <dsp:nvSpPr>
        <dsp:cNvPr id="0" name=""/>
        <dsp:cNvSpPr/>
      </dsp:nvSpPr>
      <dsp:spPr>
        <a:xfrm rot="19500000">
          <a:off x="2617825" y="1178952"/>
          <a:ext cx="888526" cy="330676"/>
        </a:xfrm>
        <a:prstGeom prst="leftArrow">
          <a:avLst>
            <a:gd name="adj1" fmla="val 60000"/>
            <a:gd name="adj2" fmla="val 50000"/>
          </a:avLst>
        </a:prstGeom>
        <a:gradFill rotWithShape="0">
          <a:gsLst>
            <a:gs pos="0">
              <a:schemeClr val="accent5">
                <a:tint val="60000"/>
                <a:hueOff val="0"/>
                <a:satOff val="0"/>
                <a:lumOff val="0"/>
                <a:alphaOff val="0"/>
                <a:lumMod val="110000"/>
                <a:satMod val="105000"/>
                <a:tint val="67000"/>
              </a:schemeClr>
            </a:gs>
            <a:gs pos="50000">
              <a:schemeClr val="accent5">
                <a:tint val="60000"/>
                <a:hueOff val="0"/>
                <a:satOff val="0"/>
                <a:lumOff val="0"/>
                <a:alphaOff val="0"/>
                <a:lumMod val="105000"/>
                <a:satMod val="103000"/>
                <a:tint val="73000"/>
              </a:schemeClr>
            </a:gs>
            <a:gs pos="100000">
              <a:schemeClr val="accent5">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987CDFA4-71B4-4F2D-8759-FC88DFC478C8}">
      <dsp:nvSpPr>
        <dsp:cNvPr id="0" name=""/>
        <dsp:cNvSpPr/>
      </dsp:nvSpPr>
      <dsp:spPr>
        <a:xfrm>
          <a:off x="2874879" y="648570"/>
          <a:ext cx="1102256" cy="88180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t>Constructs</a:t>
          </a:r>
        </a:p>
      </dsp:txBody>
      <dsp:txXfrm>
        <a:off x="2900706" y="674397"/>
        <a:ext cx="1050602" cy="83015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3EDA09-94C7-4F64-BC64-92B49D42E769}">
      <dsp:nvSpPr>
        <dsp:cNvPr id="0" name=""/>
        <dsp:cNvSpPr/>
      </dsp:nvSpPr>
      <dsp:spPr>
        <a:xfrm rot="21300000">
          <a:off x="14030" y="1340025"/>
          <a:ext cx="4543939" cy="520349"/>
        </a:xfrm>
        <a:prstGeom prst="mathMinus">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E240100-D6D8-47AB-9F96-0748F7C0142E}">
      <dsp:nvSpPr>
        <dsp:cNvPr id="0" name=""/>
        <dsp:cNvSpPr/>
      </dsp:nvSpPr>
      <dsp:spPr>
        <a:xfrm>
          <a:off x="548640" y="160020"/>
          <a:ext cx="1371600" cy="1280160"/>
        </a:xfrm>
        <a:prstGeom prst="downArrow">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46A53FA-7AC0-483A-8190-5A53C2603EC8}">
      <dsp:nvSpPr>
        <dsp:cNvPr id="0" name=""/>
        <dsp:cNvSpPr/>
      </dsp:nvSpPr>
      <dsp:spPr>
        <a:xfrm>
          <a:off x="2423160" y="0"/>
          <a:ext cx="1463040" cy="13441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92456" numCol="1" spcCol="1270" anchor="ctr" anchorCtr="0">
          <a:noAutofit/>
        </a:bodyPr>
        <a:lstStyle/>
        <a:p>
          <a:pPr marL="0" lvl="0" indent="0" algn="l" defTabSz="577850">
            <a:lnSpc>
              <a:spcPct val="90000"/>
            </a:lnSpc>
            <a:spcBef>
              <a:spcPct val="0"/>
            </a:spcBef>
            <a:spcAft>
              <a:spcPct val="35000"/>
            </a:spcAft>
            <a:buNone/>
          </a:pPr>
          <a:r>
            <a:rPr lang="en-US" sz="1300" kern="1200"/>
            <a:t>Conceptualization</a:t>
          </a:r>
        </a:p>
        <a:p>
          <a:pPr marL="57150" lvl="1" indent="-57150" algn="l" defTabSz="444500">
            <a:lnSpc>
              <a:spcPct val="90000"/>
            </a:lnSpc>
            <a:spcBef>
              <a:spcPct val="0"/>
            </a:spcBef>
            <a:spcAft>
              <a:spcPct val="15000"/>
            </a:spcAft>
            <a:buChar char="•"/>
          </a:pPr>
          <a:r>
            <a:rPr lang="en-US" sz="1000" kern="1200"/>
            <a:t>Define concepts being researched.</a:t>
          </a:r>
        </a:p>
        <a:p>
          <a:pPr marL="57150" lvl="1" indent="-57150" algn="l" defTabSz="444500">
            <a:lnSpc>
              <a:spcPct val="90000"/>
            </a:lnSpc>
            <a:spcBef>
              <a:spcPct val="0"/>
            </a:spcBef>
            <a:spcAft>
              <a:spcPct val="15000"/>
            </a:spcAft>
            <a:buChar char="•"/>
          </a:pPr>
          <a:r>
            <a:rPr lang="en-US" sz="1000" kern="1200"/>
            <a:t>Theoretical level.</a:t>
          </a:r>
        </a:p>
      </dsp:txBody>
      <dsp:txXfrm>
        <a:off x="2423160" y="0"/>
        <a:ext cx="1463040" cy="1344168"/>
      </dsp:txXfrm>
    </dsp:sp>
    <dsp:sp modelId="{9E40BB59-4458-4EB6-915E-89C9250D18E7}">
      <dsp:nvSpPr>
        <dsp:cNvPr id="0" name=""/>
        <dsp:cNvSpPr/>
      </dsp:nvSpPr>
      <dsp:spPr>
        <a:xfrm>
          <a:off x="2651759" y="1760220"/>
          <a:ext cx="1371600" cy="1280160"/>
        </a:xfrm>
        <a:prstGeom prst="upArrow">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AA35BC-092B-4332-A857-305807B96D1B}">
      <dsp:nvSpPr>
        <dsp:cNvPr id="0" name=""/>
        <dsp:cNvSpPr/>
      </dsp:nvSpPr>
      <dsp:spPr>
        <a:xfrm>
          <a:off x="685800" y="1856232"/>
          <a:ext cx="1463040" cy="13441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92456" numCol="1" spcCol="1270" anchor="ctr" anchorCtr="0">
          <a:noAutofit/>
        </a:bodyPr>
        <a:lstStyle/>
        <a:p>
          <a:pPr marL="0" lvl="0" indent="0" algn="l" defTabSz="577850">
            <a:lnSpc>
              <a:spcPct val="90000"/>
            </a:lnSpc>
            <a:spcBef>
              <a:spcPct val="0"/>
            </a:spcBef>
            <a:spcAft>
              <a:spcPct val="35000"/>
            </a:spcAft>
            <a:buNone/>
          </a:pPr>
          <a:r>
            <a:rPr lang="en-US" sz="1300" kern="1200"/>
            <a:t>Operationalization</a:t>
          </a:r>
        </a:p>
        <a:p>
          <a:pPr marL="57150" lvl="1" indent="-57150" algn="l" defTabSz="444500">
            <a:lnSpc>
              <a:spcPct val="90000"/>
            </a:lnSpc>
            <a:spcBef>
              <a:spcPct val="0"/>
            </a:spcBef>
            <a:spcAft>
              <a:spcPct val="15000"/>
            </a:spcAft>
            <a:buChar char="•"/>
          </a:pPr>
          <a:r>
            <a:rPr lang="en-US" sz="1000" kern="1200"/>
            <a:t>Create measurable indicators.</a:t>
          </a:r>
        </a:p>
        <a:p>
          <a:pPr marL="57150" lvl="1" indent="-57150" algn="l" defTabSz="444500">
            <a:lnSpc>
              <a:spcPct val="90000"/>
            </a:lnSpc>
            <a:spcBef>
              <a:spcPct val="0"/>
            </a:spcBef>
            <a:spcAft>
              <a:spcPct val="15000"/>
            </a:spcAft>
            <a:buChar char="•"/>
          </a:pPr>
          <a:r>
            <a:rPr lang="en-US" sz="1000" kern="1200"/>
            <a:t>Empirical level.</a:t>
          </a:r>
        </a:p>
      </dsp:txBody>
      <dsp:txXfrm>
        <a:off x="685800" y="1856232"/>
        <a:ext cx="1463040" cy="1344168"/>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EEFFBB-0F3C-4ECE-A798-DD641DB1D0E2}">
      <dsp:nvSpPr>
        <dsp:cNvPr id="0" name=""/>
        <dsp:cNvSpPr/>
      </dsp:nvSpPr>
      <dsp:spPr>
        <a:xfrm>
          <a:off x="1488466" y="1159536"/>
          <a:ext cx="881326" cy="881326"/>
        </a:xfrm>
        <a:prstGeom prst="ellipse">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Reliability</a:t>
          </a:r>
        </a:p>
      </dsp:txBody>
      <dsp:txXfrm>
        <a:off x="1617533" y="1288603"/>
        <a:ext cx="623192" cy="623192"/>
      </dsp:txXfrm>
    </dsp:sp>
    <dsp:sp modelId="{E414A0C2-8843-450E-AB71-B41FF5E34AC6}">
      <dsp:nvSpPr>
        <dsp:cNvPr id="0" name=""/>
        <dsp:cNvSpPr/>
      </dsp:nvSpPr>
      <dsp:spPr>
        <a:xfrm rot="16200000">
          <a:off x="1796133" y="1005981"/>
          <a:ext cx="265992" cy="41116"/>
        </a:xfrm>
        <a:custGeom>
          <a:avLst/>
          <a:gdLst/>
          <a:ahLst/>
          <a:cxnLst/>
          <a:rect l="0" t="0" r="0" b="0"/>
          <a:pathLst>
            <a:path>
              <a:moveTo>
                <a:pt x="0" y="20558"/>
              </a:moveTo>
              <a:lnTo>
                <a:pt x="265992" y="2055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22480" y="1019890"/>
        <a:ext cx="13299" cy="13299"/>
      </dsp:txXfrm>
    </dsp:sp>
    <dsp:sp modelId="{B1F31F65-190E-4023-B885-6AE870ED3ABE}">
      <dsp:nvSpPr>
        <dsp:cNvPr id="0" name=""/>
        <dsp:cNvSpPr/>
      </dsp:nvSpPr>
      <dsp:spPr>
        <a:xfrm>
          <a:off x="1488466" y="12217"/>
          <a:ext cx="881326" cy="881326"/>
        </a:xfrm>
        <a:prstGeom prst="ellipse">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Inter-rater</a:t>
          </a:r>
        </a:p>
      </dsp:txBody>
      <dsp:txXfrm>
        <a:off x="1617533" y="141284"/>
        <a:ext cx="623192" cy="623192"/>
      </dsp:txXfrm>
    </dsp:sp>
    <dsp:sp modelId="{CDBB7072-850B-40A0-BCE8-55808469EBC7}">
      <dsp:nvSpPr>
        <dsp:cNvPr id="0" name=""/>
        <dsp:cNvSpPr/>
      </dsp:nvSpPr>
      <dsp:spPr>
        <a:xfrm>
          <a:off x="2369793" y="1579641"/>
          <a:ext cx="265992" cy="41116"/>
        </a:xfrm>
        <a:custGeom>
          <a:avLst/>
          <a:gdLst/>
          <a:ahLst/>
          <a:cxnLst/>
          <a:rect l="0" t="0" r="0" b="0"/>
          <a:pathLst>
            <a:path>
              <a:moveTo>
                <a:pt x="0" y="20558"/>
              </a:moveTo>
              <a:lnTo>
                <a:pt x="265992" y="2055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496139" y="1593550"/>
        <a:ext cx="13299" cy="13299"/>
      </dsp:txXfrm>
    </dsp:sp>
    <dsp:sp modelId="{55DC42DE-9D61-499D-9F70-1730AD485E4B}">
      <dsp:nvSpPr>
        <dsp:cNvPr id="0" name=""/>
        <dsp:cNvSpPr/>
      </dsp:nvSpPr>
      <dsp:spPr>
        <a:xfrm>
          <a:off x="2635786" y="1159536"/>
          <a:ext cx="881326" cy="881326"/>
        </a:xfrm>
        <a:prstGeom prst="ellipse">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Test-retest</a:t>
          </a:r>
        </a:p>
      </dsp:txBody>
      <dsp:txXfrm>
        <a:off x="2764853" y="1288603"/>
        <a:ext cx="623192" cy="623192"/>
      </dsp:txXfrm>
    </dsp:sp>
    <dsp:sp modelId="{2E6E4A37-B270-4C6E-8131-49737D874DD0}">
      <dsp:nvSpPr>
        <dsp:cNvPr id="0" name=""/>
        <dsp:cNvSpPr/>
      </dsp:nvSpPr>
      <dsp:spPr>
        <a:xfrm rot="5400000">
          <a:off x="1796133" y="2153301"/>
          <a:ext cx="265992" cy="41116"/>
        </a:xfrm>
        <a:custGeom>
          <a:avLst/>
          <a:gdLst/>
          <a:ahLst/>
          <a:cxnLst/>
          <a:rect l="0" t="0" r="0" b="0"/>
          <a:pathLst>
            <a:path>
              <a:moveTo>
                <a:pt x="0" y="20558"/>
              </a:moveTo>
              <a:lnTo>
                <a:pt x="265992" y="2055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22480" y="2167209"/>
        <a:ext cx="13299" cy="13299"/>
      </dsp:txXfrm>
    </dsp:sp>
    <dsp:sp modelId="{9C79A9F2-19A6-4792-B042-56F394026EEF}">
      <dsp:nvSpPr>
        <dsp:cNvPr id="0" name=""/>
        <dsp:cNvSpPr/>
      </dsp:nvSpPr>
      <dsp:spPr>
        <a:xfrm>
          <a:off x="1488466" y="2306856"/>
          <a:ext cx="881326" cy="881326"/>
        </a:xfrm>
        <a:prstGeom prst="ellipse">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Split-half</a:t>
          </a:r>
        </a:p>
      </dsp:txBody>
      <dsp:txXfrm>
        <a:off x="1617533" y="2435923"/>
        <a:ext cx="623192" cy="623192"/>
      </dsp:txXfrm>
    </dsp:sp>
    <dsp:sp modelId="{4B19AEEA-D7B8-47A2-8AA7-C0DC4C69179A}">
      <dsp:nvSpPr>
        <dsp:cNvPr id="0" name=""/>
        <dsp:cNvSpPr/>
      </dsp:nvSpPr>
      <dsp:spPr>
        <a:xfrm rot="10800000">
          <a:off x="1222473" y="1579641"/>
          <a:ext cx="265992" cy="41116"/>
        </a:xfrm>
        <a:custGeom>
          <a:avLst/>
          <a:gdLst/>
          <a:ahLst/>
          <a:cxnLst/>
          <a:rect l="0" t="0" r="0" b="0"/>
          <a:pathLst>
            <a:path>
              <a:moveTo>
                <a:pt x="0" y="20558"/>
              </a:moveTo>
              <a:lnTo>
                <a:pt x="265992" y="2055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348820" y="1593550"/>
        <a:ext cx="13299" cy="13299"/>
      </dsp:txXfrm>
    </dsp:sp>
    <dsp:sp modelId="{25536482-08A1-4598-9BB7-8CC9DB649490}">
      <dsp:nvSpPr>
        <dsp:cNvPr id="0" name=""/>
        <dsp:cNvSpPr/>
      </dsp:nvSpPr>
      <dsp:spPr>
        <a:xfrm>
          <a:off x="341147" y="1159536"/>
          <a:ext cx="881326" cy="881326"/>
        </a:xfrm>
        <a:prstGeom prst="ellipse">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Internal consistency</a:t>
          </a:r>
        </a:p>
      </dsp:txBody>
      <dsp:txXfrm>
        <a:off x="470214" y="1288603"/>
        <a:ext cx="623192" cy="62319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6D70BB-9C99-4BD1-9D81-74FBAADEE145}">
      <dsp:nvSpPr>
        <dsp:cNvPr id="0" name=""/>
        <dsp:cNvSpPr/>
      </dsp:nvSpPr>
      <dsp:spPr>
        <a:xfrm>
          <a:off x="392946" y="317"/>
          <a:ext cx="1008090" cy="50404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en-US" sz="1400" kern="1200"/>
            <a:t>Qualitative</a:t>
          </a:r>
        </a:p>
      </dsp:txBody>
      <dsp:txXfrm>
        <a:off x="407709" y="15080"/>
        <a:ext cx="978564" cy="474519"/>
      </dsp:txXfrm>
    </dsp:sp>
    <dsp:sp modelId="{760534F5-B056-4335-8039-7C0DB3409853}">
      <dsp:nvSpPr>
        <dsp:cNvPr id="0" name=""/>
        <dsp:cNvSpPr/>
      </dsp:nvSpPr>
      <dsp:spPr>
        <a:xfrm>
          <a:off x="493755" y="504362"/>
          <a:ext cx="100809" cy="378033"/>
        </a:xfrm>
        <a:custGeom>
          <a:avLst/>
          <a:gdLst/>
          <a:ahLst/>
          <a:cxnLst/>
          <a:rect l="0" t="0" r="0" b="0"/>
          <a:pathLst>
            <a:path>
              <a:moveTo>
                <a:pt x="0" y="0"/>
              </a:moveTo>
              <a:lnTo>
                <a:pt x="0" y="378033"/>
              </a:lnTo>
              <a:lnTo>
                <a:pt x="100809" y="378033"/>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A3C1A1-550E-442F-AA97-E5F6CCF585EA}">
      <dsp:nvSpPr>
        <dsp:cNvPr id="0" name=""/>
        <dsp:cNvSpPr/>
      </dsp:nvSpPr>
      <dsp:spPr>
        <a:xfrm>
          <a:off x="594564" y="630373"/>
          <a:ext cx="806472" cy="504045"/>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t>Nominal</a:t>
          </a:r>
        </a:p>
      </dsp:txBody>
      <dsp:txXfrm>
        <a:off x="609327" y="645136"/>
        <a:ext cx="776946" cy="474519"/>
      </dsp:txXfrm>
    </dsp:sp>
    <dsp:sp modelId="{0511B406-6404-449A-9395-CB89A0B4B6F5}">
      <dsp:nvSpPr>
        <dsp:cNvPr id="0" name=""/>
        <dsp:cNvSpPr/>
      </dsp:nvSpPr>
      <dsp:spPr>
        <a:xfrm>
          <a:off x="493755" y="504362"/>
          <a:ext cx="100809" cy="1008090"/>
        </a:xfrm>
        <a:custGeom>
          <a:avLst/>
          <a:gdLst/>
          <a:ahLst/>
          <a:cxnLst/>
          <a:rect l="0" t="0" r="0" b="0"/>
          <a:pathLst>
            <a:path>
              <a:moveTo>
                <a:pt x="0" y="0"/>
              </a:moveTo>
              <a:lnTo>
                <a:pt x="0" y="1008090"/>
              </a:lnTo>
              <a:lnTo>
                <a:pt x="100809" y="1008090"/>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AAD572-06A7-42F5-B87D-69E73D833C7E}">
      <dsp:nvSpPr>
        <dsp:cNvPr id="0" name=""/>
        <dsp:cNvSpPr/>
      </dsp:nvSpPr>
      <dsp:spPr>
        <a:xfrm>
          <a:off x="594564" y="1260429"/>
          <a:ext cx="806472" cy="504045"/>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t>Ordinal</a:t>
          </a:r>
        </a:p>
      </dsp:txBody>
      <dsp:txXfrm>
        <a:off x="609327" y="1275192"/>
        <a:ext cx="776946" cy="474519"/>
      </dsp:txXfrm>
    </dsp:sp>
    <dsp:sp modelId="{92E260FD-573E-4CFD-92B9-1296F9C1918A}">
      <dsp:nvSpPr>
        <dsp:cNvPr id="0" name=""/>
        <dsp:cNvSpPr/>
      </dsp:nvSpPr>
      <dsp:spPr>
        <a:xfrm>
          <a:off x="1653059" y="317"/>
          <a:ext cx="1008090" cy="50404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en-US" sz="1400" kern="1200"/>
            <a:t>Quantitative</a:t>
          </a:r>
        </a:p>
      </dsp:txBody>
      <dsp:txXfrm>
        <a:off x="1667822" y="15080"/>
        <a:ext cx="978564" cy="474519"/>
      </dsp:txXfrm>
    </dsp:sp>
    <dsp:sp modelId="{369DAE73-2615-4604-82D8-2568CFC0B440}">
      <dsp:nvSpPr>
        <dsp:cNvPr id="0" name=""/>
        <dsp:cNvSpPr/>
      </dsp:nvSpPr>
      <dsp:spPr>
        <a:xfrm>
          <a:off x="1753868" y="504362"/>
          <a:ext cx="100809" cy="378033"/>
        </a:xfrm>
        <a:custGeom>
          <a:avLst/>
          <a:gdLst/>
          <a:ahLst/>
          <a:cxnLst/>
          <a:rect l="0" t="0" r="0" b="0"/>
          <a:pathLst>
            <a:path>
              <a:moveTo>
                <a:pt x="0" y="0"/>
              </a:moveTo>
              <a:lnTo>
                <a:pt x="0" y="378033"/>
              </a:lnTo>
              <a:lnTo>
                <a:pt x="100809" y="378033"/>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CD9D78-7F46-48EB-A852-8D5A5BEFEC04}">
      <dsp:nvSpPr>
        <dsp:cNvPr id="0" name=""/>
        <dsp:cNvSpPr/>
      </dsp:nvSpPr>
      <dsp:spPr>
        <a:xfrm>
          <a:off x="1854677" y="630373"/>
          <a:ext cx="806472" cy="504045"/>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t>Interval</a:t>
          </a:r>
        </a:p>
      </dsp:txBody>
      <dsp:txXfrm>
        <a:off x="1869440" y="645136"/>
        <a:ext cx="776946" cy="474519"/>
      </dsp:txXfrm>
    </dsp:sp>
    <dsp:sp modelId="{3BECBC2B-7FDE-4B02-80F4-D37CE50593F4}">
      <dsp:nvSpPr>
        <dsp:cNvPr id="0" name=""/>
        <dsp:cNvSpPr/>
      </dsp:nvSpPr>
      <dsp:spPr>
        <a:xfrm>
          <a:off x="1753868" y="504362"/>
          <a:ext cx="100809" cy="1008090"/>
        </a:xfrm>
        <a:custGeom>
          <a:avLst/>
          <a:gdLst/>
          <a:ahLst/>
          <a:cxnLst/>
          <a:rect l="0" t="0" r="0" b="0"/>
          <a:pathLst>
            <a:path>
              <a:moveTo>
                <a:pt x="0" y="0"/>
              </a:moveTo>
              <a:lnTo>
                <a:pt x="0" y="1008090"/>
              </a:lnTo>
              <a:lnTo>
                <a:pt x="100809" y="1008090"/>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5C7266-517E-4920-8753-81C58FCF9D46}">
      <dsp:nvSpPr>
        <dsp:cNvPr id="0" name=""/>
        <dsp:cNvSpPr/>
      </dsp:nvSpPr>
      <dsp:spPr>
        <a:xfrm>
          <a:off x="1854677" y="1260429"/>
          <a:ext cx="806472" cy="504045"/>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US" sz="1600" kern="1200"/>
            <a:t>Ratio</a:t>
          </a:r>
        </a:p>
      </dsp:txBody>
      <dsp:txXfrm>
        <a:off x="1869440" y="1275192"/>
        <a:ext cx="776946" cy="474519"/>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73C2DF-3174-4CC2-B22E-9D9D394156A8}">
      <dsp:nvSpPr>
        <dsp:cNvPr id="0" name=""/>
        <dsp:cNvSpPr/>
      </dsp:nvSpPr>
      <dsp:spPr>
        <a:xfrm>
          <a:off x="1843" y="375196"/>
          <a:ext cx="943164" cy="257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33020" rIns="92456" bIns="33020" numCol="1" spcCol="1270" anchor="ctr" anchorCtr="0">
          <a:noAutofit/>
        </a:bodyPr>
        <a:lstStyle/>
        <a:p>
          <a:pPr marL="0" lvl="0" indent="0" algn="r" defTabSz="577850">
            <a:lnSpc>
              <a:spcPct val="90000"/>
            </a:lnSpc>
            <a:spcBef>
              <a:spcPct val="0"/>
            </a:spcBef>
            <a:spcAft>
              <a:spcPct val="35000"/>
            </a:spcAft>
            <a:buNone/>
          </a:pPr>
          <a:r>
            <a:rPr lang="en-US" sz="1300" kern="1200"/>
            <a:t>Binary</a:t>
          </a:r>
        </a:p>
      </dsp:txBody>
      <dsp:txXfrm>
        <a:off x="1843" y="375196"/>
        <a:ext cx="943164" cy="257400"/>
      </dsp:txXfrm>
    </dsp:sp>
    <dsp:sp modelId="{CAC23A34-28BE-42CE-8FC7-E8A45767C416}">
      <dsp:nvSpPr>
        <dsp:cNvPr id="0" name=""/>
        <dsp:cNvSpPr/>
      </dsp:nvSpPr>
      <dsp:spPr>
        <a:xfrm>
          <a:off x="945008" y="254540"/>
          <a:ext cx="188632" cy="498712"/>
        </a:xfrm>
        <a:prstGeom prst="leftBrace">
          <a:avLst>
            <a:gd name="adj1" fmla="val 35000"/>
            <a:gd name="adj2" fmla="val 50000"/>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31FE61-6357-4FE7-8CAD-13048242DD6C}">
      <dsp:nvSpPr>
        <dsp:cNvPr id="0" name=""/>
        <dsp:cNvSpPr/>
      </dsp:nvSpPr>
      <dsp:spPr>
        <a:xfrm>
          <a:off x="1209094" y="254540"/>
          <a:ext cx="2565406" cy="498712"/>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US" sz="1300" kern="1200"/>
            <a:t>Yes/No responses</a:t>
          </a:r>
        </a:p>
        <a:p>
          <a:pPr marL="114300" lvl="1" indent="-114300" algn="l" defTabSz="577850">
            <a:lnSpc>
              <a:spcPct val="90000"/>
            </a:lnSpc>
            <a:spcBef>
              <a:spcPct val="0"/>
            </a:spcBef>
            <a:spcAft>
              <a:spcPct val="15000"/>
            </a:spcAft>
            <a:buChar char="•"/>
          </a:pPr>
          <a:r>
            <a:rPr lang="en-US" sz="1300" kern="1200"/>
            <a:t>Creates simple survey questions</a:t>
          </a:r>
        </a:p>
      </dsp:txBody>
      <dsp:txXfrm>
        <a:off x="1209094" y="254540"/>
        <a:ext cx="2565406" cy="498712"/>
      </dsp:txXfrm>
    </dsp:sp>
    <dsp:sp modelId="{F4F63409-D9E2-4DF1-B9EC-9290F9947742}">
      <dsp:nvSpPr>
        <dsp:cNvPr id="0" name=""/>
        <dsp:cNvSpPr/>
      </dsp:nvSpPr>
      <dsp:spPr>
        <a:xfrm>
          <a:off x="1843" y="1009190"/>
          <a:ext cx="943164" cy="257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33020" rIns="92456" bIns="33020" numCol="1" spcCol="1270" anchor="ctr" anchorCtr="0">
          <a:noAutofit/>
        </a:bodyPr>
        <a:lstStyle/>
        <a:p>
          <a:pPr marL="0" lvl="0" indent="0" algn="r" defTabSz="577850">
            <a:lnSpc>
              <a:spcPct val="90000"/>
            </a:lnSpc>
            <a:spcBef>
              <a:spcPct val="0"/>
            </a:spcBef>
            <a:spcAft>
              <a:spcPct val="35000"/>
            </a:spcAft>
            <a:buNone/>
          </a:pPr>
          <a:r>
            <a:rPr lang="en-US" sz="1300" kern="1200"/>
            <a:t>Likert</a:t>
          </a:r>
        </a:p>
      </dsp:txBody>
      <dsp:txXfrm>
        <a:off x="1843" y="1009190"/>
        <a:ext cx="943164" cy="257400"/>
      </dsp:txXfrm>
    </dsp:sp>
    <dsp:sp modelId="{CC9E153F-50B0-4F7E-B551-452F92DED299}">
      <dsp:nvSpPr>
        <dsp:cNvPr id="0" name=""/>
        <dsp:cNvSpPr/>
      </dsp:nvSpPr>
      <dsp:spPr>
        <a:xfrm>
          <a:off x="945008" y="800053"/>
          <a:ext cx="188632" cy="675675"/>
        </a:xfrm>
        <a:prstGeom prst="leftBrace">
          <a:avLst>
            <a:gd name="adj1" fmla="val 35000"/>
            <a:gd name="adj2" fmla="val 50000"/>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6B7867-F710-4CE1-9D3A-28E1D1E3573A}">
      <dsp:nvSpPr>
        <dsp:cNvPr id="0" name=""/>
        <dsp:cNvSpPr/>
      </dsp:nvSpPr>
      <dsp:spPr>
        <a:xfrm>
          <a:off x="1209094" y="800053"/>
          <a:ext cx="2565406" cy="675675"/>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US" sz="1300" kern="1200"/>
            <a:t>Records levels of agreement with a statement</a:t>
          </a:r>
        </a:p>
        <a:p>
          <a:pPr marL="114300" lvl="1" indent="-114300" algn="l" defTabSz="577850">
            <a:lnSpc>
              <a:spcPct val="90000"/>
            </a:lnSpc>
            <a:spcBef>
              <a:spcPct val="0"/>
            </a:spcBef>
            <a:spcAft>
              <a:spcPct val="15000"/>
            </a:spcAft>
            <a:buChar char="•"/>
          </a:pPr>
          <a:r>
            <a:rPr lang="en-US" sz="1300" kern="1200"/>
            <a:t>Useful for probing feelings</a:t>
          </a:r>
        </a:p>
      </dsp:txBody>
      <dsp:txXfrm>
        <a:off x="1209094" y="800053"/>
        <a:ext cx="2565406" cy="675675"/>
      </dsp:txXfrm>
    </dsp:sp>
    <dsp:sp modelId="{71D8E9E4-CB55-4584-9A90-71F5BD40E924}">
      <dsp:nvSpPr>
        <dsp:cNvPr id="0" name=""/>
        <dsp:cNvSpPr/>
      </dsp:nvSpPr>
      <dsp:spPr>
        <a:xfrm>
          <a:off x="1843" y="1732922"/>
          <a:ext cx="943164" cy="4343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33020" rIns="92456" bIns="33020" numCol="1" spcCol="1270" anchor="ctr" anchorCtr="0">
          <a:noAutofit/>
        </a:bodyPr>
        <a:lstStyle/>
        <a:p>
          <a:pPr marL="0" lvl="0" indent="0" algn="r" defTabSz="577850">
            <a:lnSpc>
              <a:spcPct val="90000"/>
            </a:lnSpc>
            <a:spcBef>
              <a:spcPct val="0"/>
            </a:spcBef>
            <a:spcAft>
              <a:spcPct val="35000"/>
            </a:spcAft>
            <a:buNone/>
          </a:pPr>
          <a:r>
            <a:rPr lang="en-US" sz="1300" kern="1200"/>
            <a:t>Semantic Differential</a:t>
          </a:r>
        </a:p>
      </dsp:txBody>
      <dsp:txXfrm>
        <a:off x="1843" y="1732922"/>
        <a:ext cx="943164" cy="434362"/>
      </dsp:txXfrm>
    </dsp:sp>
    <dsp:sp modelId="{42AAF456-7A19-4B00-8638-FD0D9F72A005}">
      <dsp:nvSpPr>
        <dsp:cNvPr id="0" name=""/>
        <dsp:cNvSpPr/>
      </dsp:nvSpPr>
      <dsp:spPr>
        <a:xfrm>
          <a:off x="945008" y="1522528"/>
          <a:ext cx="188632" cy="855151"/>
        </a:xfrm>
        <a:prstGeom prst="leftBrace">
          <a:avLst>
            <a:gd name="adj1" fmla="val 35000"/>
            <a:gd name="adj2" fmla="val 50000"/>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AF8A86-DDD7-4D19-BB78-F3BCE6909705}">
      <dsp:nvSpPr>
        <dsp:cNvPr id="0" name=""/>
        <dsp:cNvSpPr/>
      </dsp:nvSpPr>
      <dsp:spPr>
        <a:xfrm>
          <a:off x="1209094" y="1522528"/>
          <a:ext cx="2565406" cy="855151"/>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US" sz="1300" kern="1200"/>
            <a:t>Records the level of agreement with two opposite statements</a:t>
          </a:r>
        </a:p>
        <a:p>
          <a:pPr marL="114300" lvl="1" indent="-114300" algn="l" defTabSz="577850">
            <a:lnSpc>
              <a:spcPct val="90000"/>
            </a:lnSpc>
            <a:spcBef>
              <a:spcPct val="0"/>
            </a:spcBef>
            <a:spcAft>
              <a:spcPct val="15000"/>
            </a:spcAft>
            <a:buChar char="•"/>
          </a:pPr>
          <a:r>
            <a:rPr lang="en-US" sz="1300" kern="1200"/>
            <a:t>Forces choices between extreme positions</a:t>
          </a:r>
        </a:p>
      </dsp:txBody>
      <dsp:txXfrm>
        <a:off x="1209094" y="1522528"/>
        <a:ext cx="2565406" cy="855151"/>
      </dsp:txXfrm>
    </dsp:sp>
    <dsp:sp modelId="{C820A67E-C5F5-474D-A92E-B0EF6A9EAFDF}">
      <dsp:nvSpPr>
        <dsp:cNvPr id="0" name=""/>
        <dsp:cNvSpPr/>
      </dsp:nvSpPr>
      <dsp:spPr>
        <a:xfrm>
          <a:off x="1843" y="2730141"/>
          <a:ext cx="943164" cy="257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33020" rIns="92456" bIns="33020" numCol="1" spcCol="1270" anchor="ctr" anchorCtr="0">
          <a:noAutofit/>
        </a:bodyPr>
        <a:lstStyle/>
        <a:p>
          <a:pPr marL="0" lvl="0" indent="0" algn="r" defTabSz="577850">
            <a:lnSpc>
              <a:spcPct val="90000"/>
            </a:lnSpc>
            <a:spcBef>
              <a:spcPct val="0"/>
            </a:spcBef>
            <a:spcAft>
              <a:spcPct val="35000"/>
            </a:spcAft>
            <a:buNone/>
          </a:pPr>
          <a:r>
            <a:rPr lang="en-US" sz="1300" kern="1200"/>
            <a:t>Guttman</a:t>
          </a:r>
        </a:p>
      </dsp:txBody>
      <dsp:txXfrm>
        <a:off x="1843" y="2730141"/>
        <a:ext cx="943164" cy="257400"/>
      </dsp:txXfrm>
    </dsp:sp>
    <dsp:sp modelId="{64B66EE3-C332-45F3-84E2-6790214B46C4}">
      <dsp:nvSpPr>
        <dsp:cNvPr id="0" name=""/>
        <dsp:cNvSpPr/>
      </dsp:nvSpPr>
      <dsp:spPr>
        <a:xfrm>
          <a:off x="945008" y="2424479"/>
          <a:ext cx="188632" cy="868725"/>
        </a:xfrm>
        <a:prstGeom prst="leftBrace">
          <a:avLst>
            <a:gd name="adj1" fmla="val 35000"/>
            <a:gd name="adj2" fmla="val 50000"/>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EF4468-9A7C-4817-AEB7-AFAD368E0118}">
      <dsp:nvSpPr>
        <dsp:cNvPr id="0" name=""/>
        <dsp:cNvSpPr/>
      </dsp:nvSpPr>
      <dsp:spPr>
        <a:xfrm>
          <a:off x="1209094" y="2424479"/>
          <a:ext cx="2565406" cy="868725"/>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marL="114300" lvl="1" indent="-114300" algn="l" defTabSz="577850">
            <a:lnSpc>
              <a:spcPct val="90000"/>
            </a:lnSpc>
            <a:spcBef>
              <a:spcPct val="0"/>
            </a:spcBef>
            <a:spcAft>
              <a:spcPct val="15000"/>
            </a:spcAft>
            <a:buChar char="•"/>
          </a:pPr>
          <a:r>
            <a:rPr lang="en-US" sz="1300" kern="1200"/>
            <a:t>Records agreement with statements arranged in order of intensity</a:t>
          </a:r>
        </a:p>
        <a:p>
          <a:pPr marL="114300" lvl="1" indent="-114300" algn="l" defTabSz="577850">
            <a:lnSpc>
              <a:spcPct val="90000"/>
            </a:lnSpc>
            <a:spcBef>
              <a:spcPct val="0"/>
            </a:spcBef>
            <a:spcAft>
              <a:spcPct val="15000"/>
            </a:spcAft>
            <a:buChar char="•"/>
          </a:pPr>
          <a:r>
            <a:rPr lang="en-US" sz="1300" kern="1200"/>
            <a:t>Probes "this is is too much" choice</a:t>
          </a:r>
        </a:p>
      </dsp:txBody>
      <dsp:txXfrm>
        <a:off x="1209094" y="2424479"/>
        <a:ext cx="2565406" cy="868725"/>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A4FA7B-8081-46A6-8280-AE2B4125CF51}">
      <dsp:nvSpPr>
        <dsp:cNvPr id="0" name=""/>
        <dsp:cNvSpPr/>
      </dsp:nvSpPr>
      <dsp:spPr>
        <a:xfrm>
          <a:off x="7572" y="879181"/>
          <a:ext cx="1018698" cy="509349"/>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Variable</a:t>
          </a:r>
        </a:p>
      </dsp:txBody>
      <dsp:txXfrm>
        <a:off x="22490" y="894099"/>
        <a:ext cx="988862" cy="479513"/>
      </dsp:txXfrm>
    </dsp:sp>
    <dsp:sp modelId="{CA5667E2-5195-48DA-87CA-B9963A6930D8}">
      <dsp:nvSpPr>
        <dsp:cNvPr id="0" name=""/>
        <dsp:cNvSpPr/>
      </dsp:nvSpPr>
      <dsp:spPr>
        <a:xfrm rot="18289469">
          <a:off x="873238" y="820765"/>
          <a:ext cx="713543" cy="40429"/>
        </a:xfrm>
        <a:custGeom>
          <a:avLst/>
          <a:gdLst/>
          <a:ahLst/>
          <a:cxnLst/>
          <a:rect l="0" t="0" r="0" b="0"/>
          <a:pathLst>
            <a:path>
              <a:moveTo>
                <a:pt x="0" y="20214"/>
              </a:moveTo>
              <a:lnTo>
                <a:pt x="713543" y="2021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12172" y="823141"/>
        <a:ext cx="35677" cy="35677"/>
      </dsp:txXfrm>
    </dsp:sp>
    <dsp:sp modelId="{7CB587BD-7222-440A-8F51-D92A07075826}">
      <dsp:nvSpPr>
        <dsp:cNvPr id="0" name=""/>
        <dsp:cNvSpPr/>
      </dsp:nvSpPr>
      <dsp:spPr>
        <a:xfrm>
          <a:off x="1433750" y="293429"/>
          <a:ext cx="1018698" cy="509349"/>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Quantative</a:t>
          </a:r>
        </a:p>
        <a:p>
          <a:pPr marL="0" lvl="0" indent="0" algn="ctr" defTabSz="400050">
            <a:lnSpc>
              <a:spcPct val="90000"/>
            </a:lnSpc>
            <a:spcBef>
              <a:spcPct val="0"/>
            </a:spcBef>
            <a:spcAft>
              <a:spcPct val="35000"/>
            </a:spcAft>
            <a:buNone/>
          </a:pPr>
          <a:r>
            <a:rPr lang="en-US" sz="900" kern="1200"/>
            <a:t>(Measure or Count)</a:t>
          </a:r>
        </a:p>
      </dsp:txBody>
      <dsp:txXfrm>
        <a:off x="1448668" y="308347"/>
        <a:ext cx="988862" cy="479513"/>
      </dsp:txXfrm>
    </dsp:sp>
    <dsp:sp modelId="{96996770-4DE7-467D-A834-2C0288F6F297}">
      <dsp:nvSpPr>
        <dsp:cNvPr id="0" name=""/>
        <dsp:cNvSpPr/>
      </dsp:nvSpPr>
      <dsp:spPr>
        <a:xfrm rot="19457599">
          <a:off x="2405282" y="381451"/>
          <a:ext cx="501812" cy="40429"/>
        </a:xfrm>
        <a:custGeom>
          <a:avLst/>
          <a:gdLst/>
          <a:ahLst/>
          <a:cxnLst/>
          <a:rect l="0" t="0" r="0" b="0"/>
          <a:pathLst>
            <a:path>
              <a:moveTo>
                <a:pt x="0" y="20214"/>
              </a:moveTo>
              <a:lnTo>
                <a:pt x="501812" y="202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43643" y="389120"/>
        <a:ext cx="25090" cy="25090"/>
      </dsp:txXfrm>
    </dsp:sp>
    <dsp:sp modelId="{BEE19B7A-F2B4-4CCD-9F1A-E802BFF27F8A}">
      <dsp:nvSpPr>
        <dsp:cNvPr id="0" name=""/>
        <dsp:cNvSpPr/>
      </dsp:nvSpPr>
      <dsp:spPr>
        <a:xfrm>
          <a:off x="2859928" y="553"/>
          <a:ext cx="1018698" cy="50934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Continuous</a:t>
          </a:r>
          <a:br>
            <a:rPr lang="en-US" sz="900" kern="1200"/>
          </a:br>
          <a:r>
            <a:rPr lang="en-US" sz="900" kern="1200"/>
            <a:t>(Any Value)</a:t>
          </a:r>
        </a:p>
      </dsp:txBody>
      <dsp:txXfrm>
        <a:off x="2874846" y="15471"/>
        <a:ext cx="988862" cy="479513"/>
      </dsp:txXfrm>
    </dsp:sp>
    <dsp:sp modelId="{DED2D4E3-3C5E-4374-B7FB-B9D6C6441DCA}">
      <dsp:nvSpPr>
        <dsp:cNvPr id="0" name=""/>
        <dsp:cNvSpPr/>
      </dsp:nvSpPr>
      <dsp:spPr>
        <a:xfrm rot="2142401">
          <a:off x="2405282" y="674327"/>
          <a:ext cx="501812" cy="40429"/>
        </a:xfrm>
        <a:custGeom>
          <a:avLst/>
          <a:gdLst/>
          <a:ahLst/>
          <a:cxnLst/>
          <a:rect l="0" t="0" r="0" b="0"/>
          <a:pathLst>
            <a:path>
              <a:moveTo>
                <a:pt x="0" y="20214"/>
              </a:moveTo>
              <a:lnTo>
                <a:pt x="501812" y="202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43643" y="681996"/>
        <a:ext cx="25090" cy="25090"/>
      </dsp:txXfrm>
    </dsp:sp>
    <dsp:sp modelId="{7DE25F81-24B7-4109-A493-BB23D5E1BA7D}">
      <dsp:nvSpPr>
        <dsp:cNvPr id="0" name=""/>
        <dsp:cNvSpPr/>
      </dsp:nvSpPr>
      <dsp:spPr>
        <a:xfrm>
          <a:off x="2859928" y="586305"/>
          <a:ext cx="1018698" cy="50934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Discrete</a:t>
          </a:r>
          <a:br>
            <a:rPr lang="en-US" sz="900" kern="1200"/>
          </a:br>
          <a:r>
            <a:rPr lang="en-US" sz="900" kern="1200"/>
            <a:t>(Integers)</a:t>
          </a:r>
        </a:p>
      </dsp:txBody>
      <dsp:txXfrm>
        <a:off x="2874846" y="601223"/>
        <a:ext cx="988862" cy="479513"/>
      </dsp:txXfrm>
    </dsp:sp>
    <dsp:sp modelId="{CFFB7B37-1058-49CE-AB0A-18D04074D955}">
      <dsp:nvSpPr>
        <dsp:cNvPr id="0" name=""/>
        <dsp:cNvSpPr/>
      </dsp:nvSpPr>
      <dsp:spPr>
        <a:xfrm rot="3310531">
          <a:off x="873238" y="1406517"/>
          <a:ext cx="713543" cy="40429"/>
        </a:xfrm>
        <a:custGeom>
          <a:avLst/>
          <a:gdLst/>
          <a:ahLst/>
          <a:cxnLst/>
          <a:rect l="0" t="0" r="0" b="0"/>
          <a:pathLst>
            <a:path>
              <a:moveTo>
                <a:pt x="0" y="20214"/>
              </a:moveTo>
              <a:lnTo>
                <a:pt x="713543" y="2021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12172" y="1408893"/>
        <a:ext cx="35677" cy="35677"/>
      </dsp:txXfrm>
    </dsp:sp>
    <dsp:sp modelId="{F887DCB6-E647-46A1-929F-119F530A577C}">
      <dsp:nvSpPr>
        <dsp:cNvPr id="0" name=""/>
        <dsp:cNvSpPr/>
      </dsp:nvSpPr>
      <dsp:spPr>
        <a:xfrm>
          <a:off x="1433750" y="1464933"/>
          <a:ext cx="1018698" cy="509349"/>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Qualitative</a:t>
          </a:r>
        </a:p>
        <a:p>
          <a:pPr marL="0" lvl="0" indent="0" algn="ctr" defTabSz="400050">
            <a:lnSpc>
              <a:spcPct val="90000"/>
            </a:lnSpc>
            <a:spcBef>
              <a:spcPct val="0"/>
            </a:spcBef>
            <a:spcAft>
              <a:spcPct val="35000"/>
            </a:spcAft>
            <a:buNone/>
          </a:pPr>
          <a:r>
            <a:rPr lang="en-US" sz="900" kern="1200"/>
            <a:t>(Tick Boxes)</a:t>
          </a:r>
        </a:p>
      </dsp:txBody>
      <dsp:txXfrm>
        <a:off x="1448668" y="1479851"/>
        <a:ext cx="988862" cy="479513"/>
      </dsp:txXfrm>
    </dsp:sp>
    <dsp:sp modelId="{36A41229-5CE8-4E03-BC11-17D5B087C07F}">
      <dsp:nvSpPr>
        <dsp:cNvPr id="0" name=""/>
        <dsp:cNvSpPr/>
      </dsp:nvSpPr>
      <dsp:spPr>
        <a:xfrm rot="19457599">
          <a:off x="2405282" y="1552954"/>
          <a:ext cx="501812" cy="40429"/>
        </a:xfrm>
        <a:custGeom>
          <a:avLst/>
          <a:gdLst/>
          <a:ahLst/>
          <a:cxnLst/>
          <a:rect l="0" t="0" r="0" b="0"/>
          <a:pathLst>
            <a:path>
              <a:moveTo>
                <a:pt x="0" y="20214"/>
              </a:moveTo>
              <a:lnTo>
                <a:pt x="501812" y="202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43643" y="1560624"/>
        <a:ext cx="25090" cy="25090"/>
      </dsp:txXfrm>
    </dsp:sp>
    <dsp:sp modelId="{A4042860-D167-4166-8FB4-D7128AE5AFFE}">
      <dsp:nvSpPr>
        <dsp:cNvPr id="0" name=""/>
        <dsp:cNvSpPr/>
      </dsp:nvSpPr>
      <dsp:spPr>
        <a:xfrm>
          <a:off x="2859928" y="1172057"/>
          <a:ext cx="1018698" cy="50934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Ordinal</a:t>
          </a:r>
          <a:br>
            <a:rPr lang="en-US" sz="900" kern="1200"/>
          </a:br>
          <a:r>
            <a:rPr lang="en-US" sz="900" kern="1200"/>
            <a:t>(Ordered)</a:t>
          </a:r>
        </a:p>
      </dsp:txBody>
      <dsp:txXfrm>
        <a:off x="2874846" y="1186975"/>
        <a:ext cx="988862" cy="479513"/>
      </dsp:txXfrm>
    </dsp:sp>
    <dsp:sp modelId="{76340ED9-4187-4315-BBA3-FD92260B57CA}">
      <dsp:nvSpPr>
        <dsp:cNvPr id="0" name=""/>
        <dsp:cNvSpPr/>
      </dsp:nvSpPr>
      <dsp:spPr>
        <a:xfrm rot="2142401">
          <a:off x="2405282" y="1845830"/>
          <a:ext cx="501812" cy="40429"/>
        </a:xfrm>
        <a:custGeom>
          <a:avLst/>
          <a:gdLst/>
          <a:ahLst/>
          <a:cxnLst/>
          <a:rect l="0" t="0" r="0" b="0"/>
          <a:pathLst>
            <a:path>
              <a:moveTo>
                <a:pt x="0" y="20214"/>
              </a:moveTo>
              <a:lnTo>
                <a:pt x="501812" y="202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43643" y="1853500"/>
        <a:ext cx="25090" cy="25090"/>
      </dsp:txXfrm>
    </dsp:sp>
    <dsp:sp modelId="{053FF235-C3CB-411F-9CC1-30DE105C9DBA}">
      <dsp:nvSpPr>
        <dsp:cNvPr id="0" name=""/>
        <dsp:cNvSpPr/>
      </dsp:nvSpPr>
      <dsp:spPr>
        <a:xfrm>
          <a:off x="2859928" y="1757808"/>
          <a:ext cx="1018698" cy="50934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Nominal</a:t>
          </a:r>
          <a:br>
            <a:rPr lang="en-US" sz="900" kern="1200"/>
          </a:br>
          <a:r>
            <a:rPr lang="en-US" sz="900" kern="1200"/>
            <a:t>(No Order)</a:t>
          </a:r>
        </a:p>
      </dsp:txBody>
      <dsp:txXfrm>
        <a:off x="2874846" y="1772726"/>
        <a:ext cx="988862" cy="4795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7B079E-7D57-4269-9A9E-20220324504C}">
      <dsp:nvSpPr>
        <dsp:cNvPr id="0" name=""/>
        <dsp:cNvSpPr/>
      </dsp:nvSpPr>
      <dsp:spPr>
        <a:xfrm>
          <a:off x="0" y="0"/>
          <a:ext cx="3346704" cy="876452"/>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BC660B4-9D47-4762-9825-4279A15179C4}">
      <dsp:nvSpPr>
        <dsp:cNvPr id="0" name=""/>
        <dsp:cNvSpPr/>
      </dsp:nvSpPr>
      <dsp:spPr>
        <a:xfrm>
          <a:off x="100785" y="116860"/>
          <a:ext cx="1497682" cy="642731"/>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27000" b="-2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58A90CA-03B7-4A7C-9F29-ED5CD54C2400}">
      <dsp:nvSpPr>
        <dsp:cNvPr id="0" name=""/>
        <dsp:cNvSpPr/>
      </dsp:nvSpPr>
      <dsp:spPr>
        <a:xfrm rot="10800000">
          <a:off x="100785" y="876452"/>
          <a:ext cx="1497682" cy="1071219"/>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en-US" sz="1400" kern="1200"/>
            <a:t>Natural</a:t>
          </a:r>
        </a:p>
        <a:p>
          <a:pPr marL="57150" lvl="1" indent="-57150" algn="l" defTabSz="488950">
            <a:lnSpc>
              <a:spcPct val="90000"/>
            </a:lnSpc>
            <a:spcBef>
              <a:spcPct val="0"/>
            </a:spcBef>
            <a:spcAft>
              <a:spcPct val="15000"/>
            </a:spcAft>
            <a:buChar char="•"/>
          </a:pPr>
          <a:r>
            <a:rPr lang="en-US" sz="1100" kern="1200"/>
            <a:t>Physical</a:t>
          </a:r>
        </a:p>
        <a:p>
          <a:pPr marL="57150" lvl="1" indent="-57150" algn="l" defTabSz="488950">
            <a:lnSpc>
              <a:spcPct val="90000"/>
            </a:lnSpc>
            <a:spcBef>
              <a:spcPct val="0"/>
            </a:spcBef>
            <a:spcAft>
              <a:spcPct val="15000"/>
            </a:spcAft>
            <a:buChar char="•"/>
          </a:pPr>
          <a:r>
            <a:rPr lang="en-US" sz="1100" kern="1200"/>
            <a:t>Earth</a:t>
          </a:r>
        </a:p>
        <a:p>
          <a:pPr marL="57150" lvl="1" indent="-57150" algn="l" defTabSz="488950">
            <a:lnSpc>
              <a:spcPct val="90000"/>
            </a:lnSpc>
            <a:spcBef>
              <a:spcPct val="0"/>
            </a:spcBef>
            <a:spcAft>
              <a:spcPct val="15000"/>
            </a:spcAft>
            <a:buChar char="•"/>
          </a:pPr>
          <a:r>
            <a:rPr lang="en-US" sz="1100" kern="1200"/>
            <a:t>Life</a:t>
          </a:r>
        </a:p>
      </dsp:txBody>
      <dsp:txXfrm rot="10800000">
        <a:off x="133729" y="876452"/>
        <a:ext cx="1431794" cy="1038275"/>
      </dsp:txXfrm>
    </dsp:sp>
    <dsp:sp modelId="{E3C54FFB-1557-4C04-93DB-F02ABD6BB951}">
      <dsp:nvSpPr>
        <dsp:cNvPr id="0" name=""/>
        <dsp:cNvSpPr/>
      </dsp:nvSpPr>
      <dsp:spPr>
        <a:xfrm>
          <a:off x="1748236" y="116860"/>
          <a:ext cx="1497682" cy="642731"/>
        </a:xfrm>
        <a:prstGeom prst="roundRect">
          <a:avLst>
            <a:gd name="adj" fmla="val 1000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37000" b="-3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6FD99B-9883-412B-92F6-8615B136DC01}">
      <dsp:nvSpPr>
        <dsp:cNvPr id="0" name=""/>
        <dsp:cNvSpPr/>
      </dsp:nvSpPr>
      <dsp:spPr>
        <a:xfrm rot="10800000">
          <a:off x="1748236" y="876452"/>
          <a:ext cx="1497682" cy="1071219"/>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en-US" sz="1400" kern="1200"/>
            <a:t>Social</a:t>
          </a:r>
        </a:p>
        <a:p>
          <a:pPr marL="57150" lvl="1" indent="-57150" algn="l" defTabSz="488950">
            <a:lnSpc>
              <a:spcPct val="90000"/>
            </a:lnSpc>
            <a:spcBef>
              <a:spcPct val="0"/>
            </a:spcBef>
            <a:spcAft>
              <a:spcPct val="15000"/>
            </a:spcAft>
            <a:buChar char="•"/>
          </a:pPr>
          <a:r>
            <a:rPr lang="en-US" sz="1100" kern="1200"/>
            <a:t>Psychology</a:t>
          </a:r>
        </a:p>
        <a:p>
          <a:pPr marL="57150" lvl="1" indent="-57150" algn="l" defTabSz="488950">
            <a:lnSpc>
              <a:spcPct val="90000"/>
            </a:lnSpc>
            <a:spcBef>
              <a:spcPct val="0"/>
            </a:spcBef>
            <a:spcAft>
              <a:spcPct val="15000"/>
            </a:spcAft>
            <a:buChar char="•"/>
          </a:pPr>
          <a:r>
            <a:rPr lang="en-US" sz="1100" kern="1200"/>
            <a:t>Sociology</a:t>
          </a:r>
        </a:p>
        <a:p>
          <a:pPr marL="57150" lvl="1" indent="-57150" algn="l" defTabSz="488950">
            <a:lnSpc>
              <a:spcPct val="90000"/>
            </a:lnSpc>
            <a:spcBef>
              <a:spcPct val="0"/>
            </a:spcBef>
            <a:spcAft>
              <a:spcPct val="15000"/>
            </a:spcAft>
            <a:buChar char="•"/>
          </a:pPr>
          <a:r>
            <a:rPr lang="en-US" sz="1100" kern="1200"/>
            <a:t>Economics</a:t>
          </a:r>
        </a:p>
      </dsp:txBody>
      <dsp:txXfrm rot="10800000">
        <a:off x="1781180" y="876452"/>
        <a:ext cx="1431794" cy="1038275"/>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A64DF8-06BC-4251-ACFC-68280BB7808B}">
      <dsp:nvSpPr>
        <dsp:cNvPr id="0" name=""/>
        <dsp:cNvSpPr/>
      </dsp:nvSpPr>
      <dsp:spPr>
        <a:xfrm>
          <a:off x="99012" y="879181"/>
          <a:ext cx="1018698" cy="50934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Which Summary and Spread?</a:t>
          </a:r>
        </a:p>
      </dsp:txBody>
      <dsp:txXfrm>
        <a:off x="113930" y="894099"/>
        <a:ext cx="988862" cy="479513"/>
      </dsp:txXfrm>
    </dsp:sp>
    <dsp:sp modelId="{7FD7724F-6B3B-492C-AC2E-033366F7B0B9}">
      <dsp:nvSpPr>
        <dsp:cNvPr id="0" name=""/>
        <dsp:cNvSpPr/>
      </dsp:nvSpPr>
      <dsp:spPr>
        <a:xfrm rot="18289469">
          <a:off x="964678" y="820765"/>
          <a:ext cx="713543" cy="40429"/>
        </a:xfrm>
        <a:custGeom>
          <a:avLst/>
          <a:gdLst/>
          <a:ahLst/>
          <a:cxnLst/>
          <a:rect l="0" t="0" r="0" b="0"/>
          <a:pathLst>
            <a:path>
              <a:moveTo>
                <a:pt x="0" y="20214"/>
              </a:moveTo>
              <a:lnTo>
                <a:pt x="713543" y="202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303612" y="823141"/>
        <a:ext cx="35677" cy="35677"/>
      </dsp:txXfrm>
    </dsp:sp>
    <dsp:sp modelId="{64DF96A0-EFE2-452B-89DA-3968A768D324}">
      <dsp:nvSpPr>
        <dsp:cNvPr id="0" name=""/>
        <dsp:cNvSpPr/>
      </dsp:nvSpPr>
      <dsp:spPr>
        <a:xfrm>
          <a:off x="1525190" y="293429"/>
          <a:ext cx="1018698" cy="509349"/>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Quantitative Data</a:t>
          </a:r>
        </a:p>
      </dsp:txBody>
      <dsp:txXfrm>
        <a:off x="1540108" y="308347"/>
        <a:ext cx="988862" cy="479513"/>
      </dsp:txXfrm>
    </dsp:sp>
    <dsp:sp modelId="{8DEF274A-181A-4D15-9135-154CA153CE3B}">
      <dsp:nvSpPr>
        <dsp:cNvPr id="0" name=""/>
        <dsp:cNvSpPr/>
      </dsp:nvSpPr>
      <dsp:spPr>
        <a:xfrm rot="19457599">
          <a:off x="2496722" y="381451"/>
          <a:ext cx="501812" cy="40429"/>
        </a:xfrm>
        <a:custGeom>
          <a:avLst/>
          <a:gdLst/>
          <a:ahLst/>
          <a:cxnLst/>
          <a:rect l="0" t="0" r="0" b="0"/>
          <a:pathLst>
            <a:path>
              <a:moveTo>
                <a:pt x="0" y="20214"/>
              </a:moveTo>
              <a:lnTo>
                <a:pt x="501812" y="2021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35083" y="389120"/>
        <a:ext cx="25090" cy="25090"/>
      </dsp:txXfrm>
    </dsp:sp>
    <dsp:sp modelId="{F0C0ECE9-77AD-4716-ADD8-CFE518082DB4}">
      <dsp:nvSpPr>
        <dsp:cNvPr id="0" name=""/>
        <dsp:cNvSpPr/>
      </dsp:nvSpPr>
      <dsp:spPr>
        <a:xfrm>
          <a:off x="2951368" y="553"/>
          <a:ext cx="1018698" cy="50934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Normal Distribution</a:t>
          </a:r>
          <a:br>
            <a:rPr lang="en-US" sz="900" kern="1200"/>
          </a:br>
          <a:r>
            <a:rPr lang="en-US" sz="900" kern="1200"/>
            <a:t>(Mean</a:t>
          </a:r>
          <a:br>
            <a:rPr lang="en-US" sz="900" kern="1200"/>
          </a:br>
          <a:r>
            <a:rPr lang="en-US" sz="900" kern="1200"/>
            <a:t>Standard Deviation)</a:t>
          </a:r>
        </a:p>
      </dsp:txBody>
      <dsp:txXfrm>
        <a:off x="2966286" y="15471"/>
        <a:ext cx="988862" cy="479513"/>
      </dsp:txXfrm>
    </dsp:sp>
    <dsp:sp modelId="{0AB28617-4437-4BC5-BE6C-EB5DD81C22FF}">
      <dsp:nvSpPr>
        <dsp:cNvPr id="0" name=""/>
        <dsp:cNvSpPr/>
      </dsp:nvSpPr>
      <dsp:spPr>
        <a:xfrm rot="2142401">
          <a:off x="2496722" y="674327"/>
          <a:ext cx="501812" cy="40429"/>
        </a:xfrm>
        <a:custGeom>
          <a:avLst/>
          <a:gdLst/>
          <a:ahLst/>
          <a:cxnLst/>
          <a:rect l="0" t="0" r="0" b="0"/>
          <a:pathLst>
            <a:path>
              <a:moveTo>
                <a:pt x="0" y="20214"/>
              </a:moveTo>
              <a:lnTo>
                <a:pt x="501812" y="2021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35083" y="681996"/>
        <a:ext cx="25090" cy="25090"/>
      </dsp:txXfrm>
    </dsp:sp>
    <dsp:sp modelId="{A20B859D-A640-404A-AB04-3841F7028FB6}">
      <dsp:nvSpPr>
        <dsp:cNvPr id="0" name=""/>
        <dsp:cNvSpPr/>
      </dsp:nvSpPr>
      <dsp:spPr>
        <a:xfrm>
          <a:off x="2951368" y="586305"/>
          <a:ext cx="1018698" cy="50934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Skewed Data</a:t>
          </a:r>
          <a:br>
            <a:rPr lang="en-US" sz="900" kern="1200"/>
          </a:br>
          <a:r>
            <a:rPr lang="en-US" sz="900" kern="1200"/>
            <a:t>(Median</a:t>
          </a:r>
          <a:br>
            <a:rPr lang="en-US" sz="900" kern="1200"/>
          </a:br>
          <a:r>
            <a:rPr lang="en-US" sz="900" kern="1200"/>
            <a:t>IQR)</a:t>
          </a:r>
        </a:p>
      </dsp:txBody>
      <dsp:txXfrm>
        <a:off x="2966286" y="601223"/>
        <a:ext cx="988862" cy="479513"/>
      </dsp:txXfrm>
    </dsp:sp>
    <dsp:sp modelId="{7D7A68DC-8595-4245-BD07-8A7F8422C254}">
      <dsp:nvSpPr>
        <dsp:cNvPr id="0" name=""/>
        <dsp:cNvSpPr/>
      </dsp:nvSpPr>
      <dsp:spPr>
        <a:xfrm rot="3310531">
          <a:off x="964678" y="1406517"/>
          <a:ext cx="713543" cy="40429"/>
        </a:xfrm>
        <a:custGeom>
          <a:avLst/>
          <a:gdLst/>
          <a:ahLst/>
          <a:cxnLst/>
          <a:rect l="0" t="0" r="0" b="0"/>
          <a:pathLst>
            <a:path>
              <a:moveTo>
                <a:pt x="0" y="20214"/>
              </a:moveTo>
              <a:lnTo>
                <a:pt x="713543" y="202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303612" y="1408893"/>
        <a:ext cx="35677" cy="35677"/>
      </dsp:txXfrm>
    </dsp:sp>
    <dsp:sp modelId="{11467418-19B9-487A-8FBD-F0C1AAD8BC88}">
      <dsp:nvSpPr>
        <dsp:cNvPr id="0" name=""/>
        <dsp:cNvSpPr/>
      </dsp:nvSpPr>
      <dsp:spPr>
        <a:xfrm>
          <a:off x="1525190" y="1464933"/>
          <a:ext cx="1018698" cy="509349"/>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Qualitative Data</a:t>
          </a:r>
        </a:p>
      </dsp:txBody>
      <dsp:txXfrm>
        <a:off x="1540108" y="1479851"/>
        <a:ext cx="988862" cy="479513"/>
      </dsp:txXfrm>
    </dsp:sp>
    <dsp:sp modelId="{734688C8-A846-41C0-8681-B9D9C10A7336}">
      <dsp:nvSpPr>
        <dsp:cNvPr id="0" name=""/>
        <dsp:cNvSpPr/>
      </dsp:nvSpPr>
      <dsp:spPr>
        <a:xfrm rot="19457599">
          <a:off x="2496722" y="1552954"/>
          <a:ext cx="501812" cy="40429"/>
        </a:xfrm>
        <a:custGeom>
          <a:avLst/>
          <a:gdLst/>
          <a:ahLst/>
          <a:cxnLst/>
          <a:rect l="0" t="0" r="0" b="0"/>
          <a:pathLst>
            <a:path>
              <a:moveTo>
                <a:pt x="0" y="20214"/>
              </a:moveTo>
              <a:lnTo>
                <a:pt x="501812" y="2021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35083" y="1560624"/>
        <a:ext cx="25090" cy="25090"/>
      </dsp:txXfrm>
    </dsp:sp>
    <dsp:sp modelId="{3C50508F-D004-4050-B1E7-13901746F970}">
      <dsp:nvSpPr>
        <dsp:cNvPr id="0" name=""/>
        <dsp:cNvSpPr/>
      </dsp:nvSpPr>
      <dsp:spPr>
        <a:xfrm>
          <a:off x="2951368" y="1172057"/>
          <a:ext cx="1018698" cy="50934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Ordinal</a:t>
          </a:r>
          <a:br>
            <a:rPr lang="en-US" sz="900" kern="1200"/>
          </a:br>
          <a:r>
            <a:rPr lang="en-US" sz="900" kern="1200"/>
            <a:t>(Median</a:t>
          </a:r>
          <a:br>
            <a:rPr lang="en-US" sz="900" kern="1200"/>
          </a:br>
          <a:r>
            <a:rPr lang="en-US" sz="900" kern="1200"/>
            <a:t>IQR)</a:t>
          </a:r>
        </a:p>
      </dsp:txBody>
      <dsp:txXfrm>
        <a:off x="2966286" y="1186975"/>
        <a:ext cx="988862" cy="479513"/>
      </dsp:txXfrm>
    </dsp:sp>
    <dsp:sp modelId="{F46F11BE-CBBD-4872-A0BC-A6C6010EA3C8}">
      <dsp:nvSpPr>
        <dsp:cNvPr id="0" name=""/>
        <dsp:cNvSpPr/>
      </dsp:nvSpPr>
      <dsp:spPr>
        <a:xfrm rot="2142401">
          <a:off x="2496722" y="1845830"/>
          <a:ext cx="501812" cy="40429"/>
        </a:xfrm>
        <a:custGeom>
          <a:avLst/>
          <a:gdLst/>
          <a:ahLst/>
          <a:cxnLst/>
          <a:rect l="0" t="0" r="0" b="0"/>
          <a:pathLst>
            <a:path>
              <a:moveTo>
                <a:pt x="0" y="20214"/>
              </a:moveTo>
              <a:lnTo>
                <a:pt x="501812" y="2021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35083" y="1853500"/>
        <a:ext cx="25090" cy="25090"/>
      </dsp:txXfrm>
    </dsp:sp>
    <dsp:sp modelId="{07E4835C-3EF1-4791-8E94-FFAF4280F2A5}">
      <dsp:nvSpPr>
        <dsp:cNvPr id="0" name=""/>
        <dsp:cNvSpPr/>
      </dsp:nvSpPr>
      <dsp:spPr>
        <a:xfrm>
          <a:off x="2951368" y="1757808"/>
          <a:ext cx="1018698" cy="50934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t>Nominal</a:t>
          </a:r>
          <a:br>
            <a:rPr lang="en-US" sz="900" kern="1200"/>
          </a:br>
          <a:r>
            <a:rPr lang="en-US" sz="900" kern="1200"/>
            <a:t>(Mode</a:t>
          </a:r>
          <a:br>
            <a:rPr lang="en-US" sz="900" kern="1200"/>
          </a:br>
          <a:r>
            <a:rPr lang="en-US" sz="900" kern="1200"/>
            <a:t>No Spread)</a:t>
          </a:r>
        </a:p>
      </dsp:txBody>
      <dsp:txXfrm>
        <a:off x="2966286" y="1772726"/>
        <a:ext cx="988862" cy="479513"/>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D78CC5-4C61-4972-8B5A-5D64729A530F}">
      <dsp:nvSpPr>
        <dsp:cNvPr id="0" name=""/>
        <dsp:cNvSpPr/>
      </dsp:nvSpPr>
      <dsp:spPr>
        <a:xfrm>
          <a:off x="2261" y="1010231"/>
          <a:ext cx="1023833" cy="51191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Dependent Variable</a:t>
          </a:r>
        </a:p>
      </dsp:txBody>
      <dsp:txXfrm>
        <a:off x="17255" y="1025225"/>
        <a:ext cx="993845" cy="481928"/>
      </dsp:txXfrm>
    </dsp:sp>
    <dsp:sp modelId="{5B4E33FC-5246-4299-AD49-6062F700D5F2}">
      <dsp:nvSpPr>
        <dsp:cNvPr id="0" name=""/>
        <dsp:cNvSpPr/>
      </dsp:nvSpPr>
      <dsp:spPr>
        <a:xfrm rot="18289469">
          <a:off x="872291" y="953644"/>
          <a:ext cx="717140" cy="36386"/>
        </a:xfrm>
        <a:custGeom>
          <a:avLst/>
          <a:gdLst/>
          <a:ahLst/>
          <a:cxnLst/>
          <a:rect l="0" t="0" r="0" b="0"/>
          <a:pathLst>
            <a:path>
              <a:moveTo>
                <a:pt x="0" y="18193"/>
              </a:moveTo>
              <a:lnTo>
                <a:pt x="717140" y="18193"/>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12933" y="953909"/>
        <a:ext cx="35857" cy="35857"/>
      </dsp:txXfrm>
    </dsp:sp>
    <dsp:sp modelId="{25849D66-BBBA-40A2-A773-74BC30F8DBB3}">
      <dsp:nvSpPr>
        <dsp:cNvPr id="0" name=""/>
        <dsp:cNvSpPr/>
      </dsp:nvSpPr>
      <dsp:spPr>
        <a:xfrm>
          <a:off x="1435628" y="421527"/>
          <a:ext cx="1023833" cy="51191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Quantitative</a:t>
          </a:r>
        </a:p>
      </dsp:txBody>
      <dsp:txXfrm>
        <a:off x="1450622" y="436521"/>
        <a:ext cx="993845" cy="481928"/>
      </dsp:txXfrm>
    </dsp:sp>
    <dsp:sp modelId="{B53CF769-DFCA-486A-AE53-57C872949B79}">
      <dsp:nvSpPr>
        <dsp:cNvPr id="0" name=""/>
        <dsp:cNvSpPr/>
      </dsp:nvSpPr>
      <dsp:spPr>
        <a:xfrm rot="19457599">
          <a:off x="2412057" y="512116"/>
          <a:ext cx="504341" cy="36386"/>
        </a:xfrm>
        <a:custGeom>
          <a:avLst/>
          <a:gdLst/>
          <a:ahLst/>
          <a:cxnLst/>
          <a:rect l="0" t="0" r="0" b="0"/>
          <a:pathLst>
            <a:path>
              <a:moveTo>
                <a:pt x="0" y="18193"/>
              </a:moveTo>
              <a:lnTo>
                <a:pt x="504341" y="18193"/>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51619" y="517701"/>
        <a:ext cx="25217" cy="25217"/>
      </dsp:txXfrm>
    </dsp:sp>
    <dsp:sp modelId="{7DC1A1C9-EF2D-429D-8B08-B764A2639834}">
      <dsp:nvSpPr>
        <dsp:cNvPr id="0" name=""/>
        <dsp:cNvSpPr/>
      </dsp:nvSpPr>
      <dsp:spPr>
        <a:xfrm>
          <a:off x="2868994" y="127175"/>
          <a:ext cx="1023833" cy="511916"/>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Normal Distribution</a:t>
          </a:r>
          <a:br>
            <a:rPr lang="en-US" sz="1100" kern="1200"/>
          </a:br>
          <a:r>
            <a:rPr lang="en-US" sz="1100" kern="1200"/>
            <a:t>(Parametric)</a:t>
          </a:r>
        </a:p>
      </dsp:txBody>
      <dsp:txXfrm>
        <a:off x="2883988" y="142169"/>
        <a:ext cx="993845" cy="481928"/>
      </dsp:txXfrm>
    </dsp:sp>
    <dsp:sp modelId="{2E82E654-7C73-44E9-9CE8-94DC1B75ED27}">
      <dsp:nvSpPr>
        <dsp:cNvPr id="0" name=""/>
        <dsp:cNvSpPr/>
      </dsp:nvSpPr>
      <dsp:spPr>
        <a:xfrm rot="2142401">
          <a:off x="2412057" y="806468"/>
          <a:ext cx="504341" cy="36386"/>
        </a:xfrm>
        <a:custGeom>
          <a:avLst/>
          <a:gdLst/>
          <a:ahLst/>
          <a:cxnLst/>
          <a:rect l="0" t="0" r="0" b="0"/>
          <a:pathLst>
            <a:path>
              <a:moveTo>
                <a:pt x="0" y="18193"/>
              </a:moveTo>
              <a:lnTo>
                <a:pt x="504341" y="18193"/>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51619" y="812053"/>
        <a:ext cx="25217" cy="25217"/>
      </dsp:txXfrm>
    </dsp:sp>
    <dsp:sp modelId="{CFA6288F-0B32-43D2-A33A-1D76EAE983DA}">
      <dsp:nvSpPr>
        <dsp:cNvPr id="0" name=""/>
        <dsp:cNvSpPr/>
      </dsp:nvSpPr>
      <dsp:spPr>
        <a:xfrm>
          <a:off x="2868994" y="715879"/>
          <a:ext cx="1023833" cy="511916"/>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Skewed Data</a:t>
          </a:r>
          <a:br>
            <a:rPr lang="en-US" sz="1100" kern="1200"/>
          </a:br>
          <a:r>
            <a:rPr lang="en-US" sz="1100" kern="1200"/>
            <a:t>(Nonparametric)</a:t>
          </a:r>
        </a:p>
      </dsp:txBody>
      <dsp:txXfrm>
        <a:off x="2883988" y="730873"/>
        <a:ext cx="993845" cy="481928"/>
      </dsp:txXfrm>
    </dsp:sp>
    <dsp:sp modelId="{697F2994-8952-4D07-808B-EABDC5DDB431}">
      <dsp:nvSpPr>
        <dsp:cNvPr id="0" name=""/>
        <dsp:cNvSpPr/>
      </dsp:nvSpPr>
      <dsp:spPr>
        <a:xfrm rot="3310531">
          <a:off x="872291" y="1542348"/>
          <a:ext cx="717140" cy="36386"/>
        </a:xfrm>
        <a:custGeom>
          <a:avLst/>
          <a:gdLst/>
          <a:ahLst/>
          <a:cxnLst/>
          <a:rect l="0" t="0" r="0" b="0"/>
          <a:pathLst>
            <a:path>
              <a:moveTo>
                <a:pt x="0" y="18193"/>
              </a:moveTo>
              <a:lnTo>
                <a:pt x="717140" y="18193"/>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12933" y="1542613"/>
        <a:ext cx="35857" cy="35857"/>
      </dsp:txXfrm>
    </dsp:sp>
    <dsp:sp modelId="{0CA9B2DA-F7ED-428C-9397-F1653863287F}">
      <dsp:nvSpPr>
        <dsp:cNvPr id="0" name=""/>
        <dsp:cNvSpPr/>
      </dsp:nvSpPr>
      <dsp:spPr>
        <a:xfrm>
          <a:off x="1435628" y="1598935"/>
          <a:ext cx="1023833" cy="51191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Qualitative</a:t>
          </a:r>
        </a:p>
      </dsp:txBody>
      <dsp:txXfrm>
        <a:off x="1450622" y="1613929"/>
        <a:ext cx="993845" cy="481928"/>
      </dsp:txXfrm>
    </dsp:sp>
    <dsp:sp modelId="{D737EFA5-9D6A-438D-B883-C530926349B4}">
      <dsp:nvSpPr>
        <dsp:cNvPr id="0" name=""/>
        <dsp:cNvSpPr/>
      </dsp:nvSpPr>
      <dsp:spPr>
        <a:xfrm rot="19457599">
          <a:off x="2412057" y="1689524"/>
          <a:ext cx="504341" cy="36386"/>
        </a:xfrm>
        <a:custGeom>
          <a:avLst/>
          <a:gdLst/>
          <a:ahLst/>
          <a:cxnLst/>
          <a:rect l="0" t="0" r="0" b="0"/>
          <a:pathLst>
            <a:path>
              <a:moveTo>
                <a:pt x="0" y="18193"/>
              </a:moveTo>
              <a:lnTo>
                <a:pt x="504341" y="18193"/>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51619" y="1695109"/>
        <a:ext cx="25217" cy="25217"/>
      </dsp:txXfrm>
    </dsp:sp>
    <dsp:sp modelId="{61478A31-E656-44CD-8320-83DC457E198B}">
      <dsp:nvSpPr>
        <dsp:cNvPr id="0" name=""/>
        <dsp:cNvSpPr/>
      </dsp:nvSpPr>
      <dsp:spPr>
        <a:xfrm>
          <a:off x="2868994" y="1304583"/>
          <a:ext cx="1023833" cy="511916"/>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Ordinal</a:t>
          </a:r>
          <a:br>
            <a:rPr lang="en-US" sz="1100" kern="1200"/>
          </a:br>
          <a:r>
            <a:rPr lang="en-US" sz="1100" kern="1200"/>
            <a:t>(Nonparametric)</a:t>
          </a:r>
        </a:p>
      </dsp:txBody>
      <dsp:txXfrm>
        <a:off x="2883988" y="1319577"/>
        <a:ext cx="993845" cy="481928"/>
      </dsp:txXfrm>
    </dsp:sp>
    <dsp:sp modelId="{C0570914-C2E4-4CC7-B7F8-73660E5FE126}">
      <dsp:nvSpPr>
        <dsp:cNvPr id="0" name=""/>
        <dsp:cNvSpPr/>
      </dsp:nvSpPr>
      <dsp:spPr>
        <a:xfrm rot="2142401">
          <a:off x="2412057" y="1983876"/>
          <a:ext cx="504341" cy="36386"/>
        </a:xfrm>
        <a:custGeom>
          <a:avLst/>
          <a:gdLst/>
          <a:ahLst/>
          <a:cxnLst/>
          <a:rect l="0" t="0" r="0" b="0"/>
          <a:pathLst>
            <a:path>
              <a:moveTo>
                <a:pt x="0" y="18193"/>
              </a:moveTo>
              <a:lnTo>
                <a:pt x="504341" y="18193"/>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51619" y="1989461"/>
        <a:ext cx="25217" cy="25217"/>
      </dsp:txXfrm>
    </dsp:sp>
    <dsp:sp modelId="{23EAE24E-31B1-4302-B929-B58ED62F549E}">
      <dsp:nvSpPr>
        <dsp:cNvPr id="0" name=""/>
        <dsp:cNvSpPr/>
      </dsp:nvSpPr>
      <dsp:spPr>
        <a:xfrm>
          <a:off x="2868994" y="1893287"/>
          <a:ext cx="1023833" cy="511916"/>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Nominal</a:t>
          </a:r>
          <a:br>
            <a:rPr lang="en-US" sz="1100" kern="1200"/>
          </a:br>
          <a:r>
            <a:rPr lang="en-US" sz="1100" kern="1200"/>
            <a:t>(Chi-square)</a:t>
          </a:r>
        </a:p>
      </dsp:txBody>
      <dsp:txXfrm>
        <a:off x="2883988" y="1908281"/>
        <a:ext cx="993845" cy="481928"/>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2B24E0-BB34-4FE8-BD69-68CD9E25E978}">
      <dsp:nvSpPr>
        <dsp:cNvPr id="0" name=""/>
        <dsp:cNvSpPr/>
      </dsp:nvSpPr>
      <dsp:spPr>
        <a:xfrm>
          <a:off x="1281427" y="2274031"/>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9D5698B-6556-487B-B46E-95AC8B7B56ED}">
      <dsp:nvSpPr>
        <dsp:cNvPr id="0" name=""/>
        <dsp:cNvSpPr/>
      </dsp:nvSpPr>
      <dsp:spPr>
        <a:xfrm>
          <a:off x="1128717" y="2347544"/>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6C861CD-10D9-44CC-927E-9CA8782378E3}">
      <dsp:nvSpPr>
        <dsp:cNvPr id="0" name=""/>
        <dsp:cNvSpPr/>
      </dsp:nvSpPr>
      <dsp:spPr>
        <a:xfrm>
          <a:off x="968716" y="2405611"/>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21CE310-F367-4E5D-B115-A33A8644C0E5}">
      <dsp:nvSpPr>
        <dsp:cNvPr id="0" name=""/>
        <dsp:cNvSpPr/>
      </dsp:nvSpPr>
      <dsp:spPr>
        <a:xfrm>
          <a:off x="2014598" y="1423051"/>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A88C7B-9497-4CB8-8A04-9E2A3B368491}">
      <dsp:nvSpPr>
        <dsp:cNvPr id="0" name=""/>
        <dsp:cNvSpPr/>
      </dsp:nvSpPr>
      <dsp:spPr>
        <a:xfrm>
          <a:off x="1953028" y="1572652"/>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62B695-5D12-45C8-BE62-9251A3373C9F}">
      <dsp:nvSpPr>
        <dsp:cNvPr id="0" name=""/>
        <dsp:cNvSpPr/>
      </dsp:nvSpPr>
      <dsp:spPr>
        <a:xfrm>
          <a:off x="1909280" y="296897"/>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D97B0E-9E0A-4DE1-A5EF-05DE8A00BB9A}">
      <dsp:nvSpPr>
        <dsp:cNvPr id="0" name=""/>
        <dsp:cNvSpPr/>
      </dsp:nvSpPr>
      <dsp:spPr>
        <a:xfrm>
          <a:off x="2021889" y="225386"/>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3BDD20E-887B-4505-B9EA-D2241BCFB819}">
      <dsp:nvSpPr>
        <dsp:cNvPr id="0" name=""/>
        <dsp:cNvSpPr/>
      </dsp:nvSpPr>
      <dsp:spPr>
        <a:xfrm>
          <a:off x="2134497" y="153875"/>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746190-B37F-4F08-85B5-763DD8B12FEC}">
      <dsp:nvSpPr>
        <dsp:cNvPr id="0" name=""/>
        <dsp:cNvSpPr/>
      </dsp:nvSpPr>
      <dsp:spPr>
        <a:xfrm>
          <a:off x="2247106" y="225386"/>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0B3B0E1-D0EA-48DA-A18B-636A90A2FCCB}">
      <dsp:nvSpPr>
        <dsp:cNvPr id="0" name=""/>
        <dsp:cNvSpPr/>
      </dsp:nvSpPr>
      <dsp:spPr>
        <a:xfrm>
          <a:off x="2359714" y="296897"/>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3EB655-7137-4147-9F6C-AF62E9703655}">
      <dsp:nvSpPr>
        <dsp:cNvPr id="0" name=""/>
        <dsp:cNvSpPr/>
      </dsp:nvSpPr>
      <dsp:spPr>
        <a:xfrm>
          <a:off x="2134497" y="304620"/>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0ED4C1F-3CBE-4029-B8A4-6519A0F3E229}">
      <dsp:nvSpPr>
        <dsp:cNvPr id="0" name=""/>
        <dsp:cNvSpPr/>
      </dsp:nvSpPr>
      <dsp:spPr>
        <a:xfrm>
          <a:off x="2134497" y="455651"/>
          <a:ext cx="81013" cy="81013"/>
        </a:xfrm>
        <a:prstGeom prst="ellips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0A00A2E-B5D3-4B4D-B87E-82F2E49FBE7D}">
      <dsp:nvSpPr>
        <dsp:cNvPr id="0" name=""/>
        <dsp:cNvSpPr/>
      </dsp:nvSpPr>
      <dsp:spPr>
        <a:xfrm>
          <a:off x="573776" y="2577984"/>
          <a:ext cx="1747456" cy="46853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9878" tIns="41910" rIns="41910" bIns="41910" numCol="1" spcCol="1270" anchor="ctr" anchorCtr="0">
          <a:noAutofit/>
        </a:bodyPr>
        <a:lstStyle/>
        <a:p>
          <a:pPr marL="0" lvl="0" indent="0" algn="l" defTabSz="488950">
            <a:lnSpc>
              <a:spcPct val="90000"/>
            </a:lnSpc>
            <a:spcBef>
              <a:spcPct val="0"/>
            </a:spcBef>
            <a:spcAft>
              <a:spcPct val="35000"/>
            </a:spcAft>
            <a:buNone/>
          </a:pPr>
          <a:r>
            <a:rPr lang="en-US" sz="1100" kern="1200"/>
            <a:t>Population</a:t>
          </a:r>
          <a:br>
            <a:rPr lang="en-US" sz="1100" kern="1200"/>
          </a:br>
          <a:r>
            <a:rPr lang="en-US" sz="1100" kern="1200"/>
            <a:t>(NY City)</a:t>
          </a:r>
        </a:p>
      </dsp:txBody>
      <dsp:txXfrm>
        <a:off x="596648" y="2600856"/>
        <a:ext cx="1701712" cy="422795"/>
      </dsp:txXfrm>
    </dsp:sp>
    <dsp:sp modelId="{89A9F24C-AEDA-484F-9991-16A55F0C0278}">
      <dsp:nvSpPr>
        <dsp:cNvPr id="0" name=""/>
        <dsp:cNvSpPr/>
      </dsp:nvSpPr>
      <dsp:spPr>
        <a:xfrm>
          <a:off x="89317" y="2118598"/>
          <a:ext cx="810133" cy="81007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46966ED-2FC8-4ACB-B768-ABF4B3D5CA2F}">
      <dsp:nvSpPr>
        <dsp:cNvPr id="0" name=""/>
        <dsp:cNvSpPr/>
      </dsp:nvSpPr>
      <dsp:spPr>
        <a:xfrm>
          <a:off x="1697836" y="1969569"/>
          <a:ext cx="1747456" cy="46853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9878" tIns="41910" rIns="41910" bIns="41910" numCol="1" spcCol="1270" anchor="ctr" anchorCtr="0">
          <a:noAutofit/>
        </a:bodyPr>
        <a:lstStyle/>
        <a:p>
          <a:pPr marL="0" lvl="0" indent="0" algn="l" defTabSz="488950">
            <a:lnSpc>
              <a:spcPct val="90000"/>
            </a:lnSpc>
            <a:spcBef>
              <a:spcPct val="0"/>
            </a:spcBef>
            <a:spcAft>
              <a:spcPct val="35000"/>
            </a:spcAft>
            <a:buNone/>
          </a:pPr>
          <a:r>
            <a:rPr lang="en-US" sz="1100" kern="1200"/>
            <a:t>Sampling Frame</a:t>
          </a:r>
          <a:br>
            <a:rPr lang="en-US" sz="1100" kern="1200"/>
          </a:br>
          <a:r>
            <a:rPr lang="en-US" sz="1100" kern="1200"/>
            <a:t>(Chamber List)</a:t>
          </a:r>
        </a:p>
      </dsp:txBody>
      <dsp:txXfrm>
        <a:off x="1720708" y="1992441"/>
        <a:ext cx="1701712" cy="422795"/>
      </dsp:txXfrm>
    </dsp:sp>
    <dsp:sp modelId="{B7F57119-A65E-448F-9189-9A42476A324E}">
      <dsp:nvSpPr>
        <dsp:cNvPr id="0" name=""/>
        <dsp:cNvSpPr/>
      </dsp:nvSpPr>
      <dsp:spPr>
        <a:xfrm>
          <a:off x="1213376" y="1510183"/>
          <a:ext cx="810133" cy="810075"/>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9810F0-1472-42BF-AFBB-119DE81464E6}">
      <dsp:nvSpPr>
        <dsp:cNvPr id="0" name=""/>
        <dsp:cNvSpPr/>
      </dsp:nvSpPr>
      <dsp:spPr>
        <a:xfrm>
          <a:off x="2213890" y="1046792"/>
          <a:ext cx="1747456" cy="46853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9878" tIns="41910" rIns="41910" bIns="41910" numCol="1" spcCol="1270" anchor="ctr" anchorCtr="0">
          <a:noAutofit/>
        </a:bodyPr>
        <a:lstStyle/>
        <a:p>
          <a:pPr marL="0" lvl="0" indent="0" algn="l" defTabSz="488950">
            <a:lnSpc>
              <a:spcPct val="90000"/>
            </a:lnSpc>
            <a:spcBef>
              <a:spcPct val="0"/>
            </a:spcBef>
            <a:spcAft>
              <a:spcPct val="35000"/>
            </a:spcAft>
            <a:buNone/>
          </a:pPr>
          <a:r>
            <a:rPr lang="en-US" sz="1100" kern="1200"/>
            <a:t>Sample</a:t>
          </a:r>
          <a:br>
            <a:rPr lang="en-US" sz="1100" kern="1200"/>
          </a:br>
          <a:r>
            <a:rPr lang="en-US" sz="1100" kern="1200"/>
            <a:t>(Every 10th Name)</a:t>
          </a:r>
        </a:p>
      </dsp:txBody>
      <dsp:txXfrm>
        <a:off x="2236762" y="1069664"/>
        <a:ext cx="1701712" cy="422795"/>
      </dsp:txXfrm>
    </dsp:sp>
    <dsp:sp modelId="{BCB731B9-8246-4A80-B3E8-5C3C658BC6D6}">
      <dsp:nvSpPr>
        <dsp:cNvPr id="0" name=""/>
        <dsp:cNvSpPr/>
      </dsp:nvSpPr>
      <dsp:spPr>
        <a:xfrm>
          <a:off x="1729431" y="587406"/>
          <a:ext cx="810133" cy="810075"/>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EB96F7-E19D-49C5-8DF6-82029EF64141}">
      <dsp:nvSpPr>
        <dsp:cNvPr id="0" name=""/>
        <dsp:cNvSpPr/>
      </dsp:nvSpPr>
      <dsp:spPr>
        <a:xfrm>
          <a:off x="425470" y="530669"/>
          <a:ext cx="4112879" cy="2125511"/>
        </a:xfrm>
        <a:prstGeom prst="rect">
          <a:avLst/>
        </a:prstGeom>
        <a:solidFill>
          <a:schemeClr val="accent5">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47856E8-5707-4CE3-A3CD-E1187DBEC7FD}">
      <dsp:nvSpPr>
        <dsp:cNvPr id="0" name=""/>
        <dsp:cNvSpPr/>
      </dsp:nvSpPr>
      <dsp:spPr>
        <a:xfrm>
          <a:off x="548383" y="779250"/>
          <a:ext cx="1909888" cy="18183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711200">
            <a:lnSpc>
              <a:spcPct val="90000"/>
            </a:lnSpc>
            <a:spcBef>
              <a:spcPct val="0"/>
            </a:spcBef>
            <a:spcAft>
              <a:spcPct val="35000"/>
            </a:spcAft>
            <a:buNone/>
          </a:pPr>
          <a:r>
            <a:rPr lang="en-US" sz="1600" kern="1200"/>
            <a:t>Strengths</a:t>
          </a:r>
        </a:p>
        <a:p>
          <a:pPr marL="114300" lvl="1" indent="-114300" algn="l" defTabSz="533400">
            <a:lnSpc>
              <a:spcPct val="90000"/>
            </a:lnSpc>
            <a:spcBef>
              <a:spcPct val="0"/>
            </a:spcBef>
            <a:spcAft>
              <a:spcPct val="15000"/>
            </a:spcAft>
            <a:buChar char="•"/>
          </a:pPr>
          <a:r>
            <a:rPr lang="en-US" sz="1200" kern="1200"/>
            <a:t>Measures unobserved data</a:t>
          </a:r>
        </a:p>
        <a:p>
          <a:pPr marL="114300" lvl="1" indent="-114300" algn="l" defTabSz="533400">
            <a:lnSpc>
              <a:spcPct val="90000"/>
            </a:lnSpc>
            <a:spcBef>
              <a:spcPct val="0"/>
            </a:spcBef>
            <a:spcAft>
              <a:spcPct val="15000"/>
            </a:spcAft>
            <a:buChar char="•"/>
          </a:pPr>
          <a:r>
            <a:rPr lang="en-US" sz="1200" kern="1200"/>
            <a:t>Remote data collection</a:t>
          </a:r>
        </a:p>
        <a:p>
          <a:pPr marL="114300" lvl="1" indent="-114300" algn="l" defTabSz="533400">
            <a:lnSpc>
              <a:spcPct val="90000"/>
            </a:lnSpc>
            <a:spcBef>
              <a:spcPct val="0"/>
            </a:spcBef>
            <a:spcAft>
              <a:spcPct val="15000"/>
            </a:spcAft>
            <a:buChar char="•"/>
          </a:pPr>
          <a:r>
            <a:rPr lang="en-US" sz="1200" kern="1200"/>
            <a:t>Results generalizable</a:t>
          </a:r>
        </a:p>
        <a:p>
          <a:pPr marL="114300" lvl="1" indent="-114300" algn="l" defTabSz="533400">
            <a:lnSpc>
              <a:spcPct val="90000"/>
            </a:lnSpc>
            <a:spcBef>
              <a:spcPct val="0"/>
            </a:spcBef>
            <a:spcAft>
              <a:spcPct val="15000"/>
            </a:spcAft>
            <a:buChar char="•"/>
          </a:pPr>
          <a:r>
            <a:rPr lang="en-US" sz="1200" kern="1200"/>
            <a:t>High reliability</a:t>
          </a:r>
        </a:p>
        <a:p>
          <a:pPr marL="114300" lvl="1" indent="-114300" algn="l" defTabSz="533400">
            <a:lnSpc>
              <a:spcPct val="90000"/>
            </a:lnSpc>
            <a:spcBef>
              <a:spcPct val="0"/>
            </a:spcBef>
            <a:spcAft>
              <a:spcPct val="15000"/>
            </a:spcAft>
            <a:buChar char="•"/>
          </a:pPr>
          <a:r>
            <a:rPr lang="en-US" sz="1200" kern="1200"/>
            <a:t>Can detect minor effects</a:t>
          </a:r>
        </a:p>
        <a:p>
          <a:pPr marL="114300" lvl="1" indent="-114300" algn="l" defTabSz="533400">
            <a:lnSpc>
              <a:spcPct val="90000"/>
            </a:lnSpc>
            <a:spcBef>
              <a:spcPct val="0"/>
            </a:spcBef>
            <a:spcAft>
              <a:spcPct val="15000"/>
            </a:spcAft>
            <a:buChar char="•"/>
          </a:pPr>
          <a:r>
            <a:rPr lang="en-US" sz="1200" kern="1200"/>
            <a:t>Economical in time and cost</a:t>
          </a:r>
        </a:p>
      </dsp:txBody>
      <dsp:txXfrm>
        <a:off x="548383" y="779250"/>
        <a:ext cx="1909888" cy="1818348"/>
      </dsp:txXfrm>
    </dsp:sp>
    <dsp:sp modelId="{CCF84AA9-C6D3-449E-9EAF-80D8DC564EE4}">
      <dsp:nvSpPr>
        <dsp:cNvPr id="0" name=""/>
        <dsp:cNvSpPr/>
      </dsp:nvSpPr>
      <dsp:spPr>
        <a:xfrm>
          <a:off x="2500819" y="779250"/>
          <a:ext cx="1909888" cy="18183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711200">
            <a:lnSpc>
              <a:spcPct val="90000"/>
            </a:lnSpc>
            <a:spcBef>
              <a:spcPct val="0"/>
            </a:spcBef>
            <a:spcAft>
              <a:spcPct val="35000"/>
            </a:spcAft>
            <a:buNone/>
          </a:pPr>
          <a:r>
            <a:rPr lang="en-US" sz="1600" kern="1200"/>
            <a:t>Weaknesses</a:t>
          </a:r>
        </a:p>
        <a:p>
          <a:pPr marL="114300" lvl="1" indent="-114300" algn="l" defTabSz="533400">
            <a:lnSpc>
              <a:spcPct val="90000"/>
            </a:lnSpc>
            <a:spcBef>
              <a:spcPct val="0"/>
            </a:spcBef>
            <a:spcAft>
              <a:spcPct val="15000"/>
            </a:spcAft>
            <a:buChar char="•"/>
          </a:pPr>
          <a:r>
            <a:rPr lang="en-US" sz="1200" kern="1200"/>
            <a:t>Subject to many biases</a:t>
          </a:r>
        </a:p>
        <a:p>
          <a:pPr marL="114300" lvl="1" indent="-114300" algn="l" defTabSz="533400">
            <a:lnSpc>
              <a:spcPct val="90000"/>
            </a:lnSpc>
            <a:spcBef>
              <a:spcPct val="0"/>
            </a:spcBef>
            <a:spcAft>
              <a:spcPct val="15000"/>
            </a:spcAft>
            <a:buChar char="•"/>
          </a:pPr>
          <a:r>
            <a:rPr lang="en-US" sz="1200" kern="1200"/>
            <a:t>Cannot change instrument during use</a:t>
          </a:r>
        </a:p>
        <a:p>
          <a:pPr marL="114300" lvl="1" indent="-114300" algn="l" defTabSz="533400">
            <a:lnSpc>
              <a:spcPct val="90000"/>
            </a:lnSpc>
            <a:spcBef>
              <a:spcPct val="0"/>
            </a:spcBef>
            <a:spcAft>
              <a:spcPct val="15000"/>
            </a:spcAft>
            <a:buChar char="•"/>
          </a:pPr>
          <a:r>
            <a:rPr lang="en-US" sz="1200" kern="1200"/>
            <a:t>Questions can be tricky to write</a:t>
          </a:r>
        </a:p>
      </dsp:txBody>
      <dsp:txXfrm>
        <a:off x="2500819" y="779250"/>
        <a:ext cx="1909888" cy="1818348"/>
      </dsp:txXfrm>
    </dsp:sp>
    <dsp:sp modelId="{DA19C505-17D6-4338-BDE2-55F8285A53FD}">
      <dsp:nvSpPr>
        <dsp:cNvPr id="0" name=""/>
        <dsp:cNvSpPr/>
      </dsp:nvSpPr>
      <dsp:spPr>
        <a:xfrm>
          <a:off x="0" y="105307"/>
          <a:ext cx="803666" cy="803666"/>
        </a:xfrm>
        <a:prstGeom prst="plus">
          <a:avLst>
            <a:gd name="adj" fmla="val 32810"/>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12EF3E-FF17-4234-8467-915B5CC5E6EB}">
      <dsp:nvSpPr>
        <dsp:cNvPr id="0" name=""/>
        <dsp:cNvSpPr/>
      </dsp:nvSpPr>
      <dsp:spPr>
        <a:xfrm>
          <a:off x="3971056" y="394325"/>
          <a:ext cx="756391" cy="259208"/>
        </a:xfrm>
        <a:prstGeom prst="rect">
          <a:avLst/>
        </a:prstGeom>
        <a:solidFill>
          <a:schemeClr val="accent5">
            <a:hueOff val="6010703"/>
            <a:satOff val="-26380"/>
            <a:lumOff val="7843"/>
            <a:alphaOff val="0"/>
          </a:schemeClr>
        </a:solidFill>
        <a:ln w="12700" cap="flat" cmpd="sng" algn="ctr">
          <a:solidFill>
            <a:schemeClr val="accent5">
              <a:hueOff val="6010703"/>
              <a:satOff val="-26380"/>
              <a:lumOff val="784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4C865D-65A1-412C-843B-0398898BE73F}">
      <dsp:nvSpPr>
        <dsp:cNvPr id="0" name=""/>
        <dsp:cNvSpPr/>
      </dsp:nvSpPr>
      <dsp:spPr>
        <a:xfrm>
          <a:off x="2481910" y="783138"/>
          <a:ext cx="472" cy="1736698"/>
        </a:xfrm>
        <a:prstGeom prst="line">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4E6A84-FE1B-40C6-87D1-39BAF5B388B8}">
      <dsp:nvSpPr>
        <dsp:cNvPr id="0" name=""/>
        <dsp:cNvSpPr/>
      </dsp:nvSpPr>
      <dsp:spPr>
        <a:xfrm rot="16200000">
          <a:off x="-666123" y="1121752"/>
          <a:ext cx="1676095" cy="2958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60905" bIns="0" numCol="1" spcCol="1270" anchor="t" anchorCtr="0">
          <a:noAutofit/>
        </a:bodyPr>
        <a:lstStyle/>
        <a:p>
          <a:pPr marL="0" lvl="0" indent="0" algn="r" defTabSz="755650">
            <a:lnSpc>
              <a:spcPct val="90000"/>
            </a:lnSpc>
            <a:spcBef>
              <a:spcPct val="0"/>
            </a:spcBef>
            <a:spcAft>
              <a:spcPct val="35000"/>
            </a:spcAft>
            <a:buNone/>
          </a:pPr>
          <a:r>
            <a:rPr lang="en-US" sz="1700" kern="1200"/>
            <a:t>Time</a:t>
          </a:r>
        </a:p>
      </dsp:txBody>
      <dsp:txXfrm>
        <a:off x="-666123" y="1121752"/>
        <a:ext cx="1676095" cy="295828"/>
      </dsp:txXfrm>
    </dsp:sp>
    <dsp:sp modelId="{4D78E3CE-58FC-4AD8-82EF-33051E56B655}">
      <dsp:nvSpPr>
        <dsp:cNvPr id="0" name=""/>
        <dsp:cNvSpPr/>
      </dsp:nvSpPr>
      <dsp:spPr>
        <a:xfrm>
          <a:off x="319838" y="431619"/>
          <a:ext cx="1473541" cy="1676095"/>
        </a:xfrm>
        <a:prstGeom prst="rect">
          <a:avLst/>
        </a:prstGeom>
        <a:solidFill>
          <a:schemeClr val="bg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260905" rIns="120904" bIns="120904" numCol="1" spcCol="1270" anchor="t" anchorCtr="0">
          <a:noAutofit/>
        </a:bodyPr>
        <a:lstStyle/>
        <a:p>
          <a:pPr marL="114300" lvl="1" indent="-114300" algn="l" defTabSz="577850">
            <a:lnSpc>
              <a:spcPct val="90000"/>
            </a:lnSpc>
            <a:spcBef>
              <a:spcPct val="0"/>
            </a:spcBef>
            <a:spcAft>
              <a:spcPct val="15000"/>
            </a:spcAft>
            <a:buChar char="•"/>
          </a:pPr>
          <a:r>
            <a:rPr lang="en-US" sz="1300" kern="1200"/>
            <a:t>Cross-sectional</a:t>
          </a:r>
        </a:p>
        <a:p>
          <a:pPr marL="114300" lvl="1" indent="-114300" algn="l" defTabSz="577850">
            <a:lnSpc>
              <a:spcPct val="90000"/>
            </a:lnSpc>
            <a:spcBef>
              <a:spcPct val="0"/>
            </a:spcBef>
            <a:spcAft>
              <a:spcPct val="15000"/>
            </a:spcAft>
            <a:buChar char="•"/>
          </a:pPr>
          <a:r>
            <a:rPr lang="en-US" sz="1300" kern="1200"/>
            <a:t>Longitudinal</a:t>
          </a:r>
        </a:p>
        <a:p>
          <a:pPr marL="228600" lvl="2" indent="-114300" algn="l" defTabSz="577850">
            <a:lnSpc>
              <a:spcPct val="90000"/>
            </a:lnSpc>
            <a:spcBef>
              <a:spcPct val="0"/>
            </a:spcBef>
            <a:spcAft>
              <a:spcPct val="15000"/>
            </a:spcAft>
            <a:buChar char="•"/>
          </a:pPr>
          <a:r>
            <a:rPr lang="en-US" sz="1300" kern="1200"/>
            <a:t>Trend</a:t>
          </a:r>
        </a:p>
        <a:p>
          <a:pPr marL="228600" lvl="2" indent="-114300" algn="l" defTabSz="577850">
            <a:lnSpc>
              <a:spcPct val="90000"/>
            </a:lnSpc>
            <a:spcBef>
              <a:spcPct val="0"/>
            </a:spcBef>
            <a:spcAft>
              <a:spcPct val="15000"/>
            </a:spcAft>
            <a:buChar char="•"/>
          </a:pPr>
          <a:r>
            <a:rPr lang="en-US" sz="1300" kern="1200"/>
            <a:t>Panel</a:t>
          </a:r>
        </a:p>
        <a:p>
          <a:pPr marL="228600" lvl="2" indent="-114300" algn="l" defTabSz="577850">
            <a:lnSpc>
              <a:spcPct val="90000"/>
            </a:lnSpc>
            <a:spcBef>
              <a:spcPct val="0"/>
            </a:spcBef>
            <a:spcAft>
              <a:spcPct val="15000"/>
            </a:spcAft>
            <a:buChar char="•"/>
          </a:pPr>
          <a:r>
            <a:rPr lang="en-US" sz="1300" kern="1200"/>
            <a:t>Cohort</a:t>
          </a:r>
        </a:p>
        <a:p>
          <a:pPr marL="228600" lvl="2" indent="-114300" algn="l" defTabSz="577850">
            <a:lnSpc>
              <a:spcPct val="90000"/>
            </a:lnSpc>
            <a:spcBef>
              <a:spcPct val="0"/>
            </a:spcBef>
            <a:spcAft>
              <a:spcPct val="15000"/>
            </a:spcAft>
            <a:buChar char="•"/>
          </a:pPr>
          <a:r>
            <a:rPr lang="en-US" sz="1300" kern="1200"/>
            <a:t>Retrospective</a:t>
          </a:r>
        </a:p>
      </dsp:txBody>
      <dsp:txXfrm>
        <a:off x="319838" y="431619"/>
        <a:ext cx="1473541" cy="1676095"/>
      </dsp:txXfrm>
    </dsp:sp>
    <dsp:sp modelId="{DF4B69EB-F072-444C-B504-76A5614E56FE}">
      <dsp:nvSpPr>
        <dsp:cNvPr id="0" name=""/>
        <dsp:cNvSpPr/>
      </dsp:nvSpPr>
      <dsp:spPr>
        <a:xfrm>
          <a:off x="24010" y="41125"/>
          <a:ext cx="591657" cy="591657"/>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7012B73-4E6D-4F4E-9AC5-4810F1E73C4B}">
      <dsp:nvSpPr>
        <dsp:cNvPr id="0" name=""/>
        <dsp:cNvSpPr/>
      </dsp:nvSpPr>
      <dsp:spPr>
        <a:xfrm rot="16200000">
          <a:off x="1484982" y="1121752"/>
          <a:ext cx="1676095" cy="2958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60905" bIns="0" numCol="1" spcCol="1270" anchor="t" anchorCtr="0">
          <a:noAutofit/>
        </a:bodyPr>
        <a:lstStyle/>
        <a:p>
          <a:pPr marL="0" lvl="0" indent="0" algn="r" defTabSz="755650">
            <a:lnSpc>
              <a:spcPct val="90000"/>
            </a:lnSpc>
            <a:spcBef>
              <a:spcPct val="0"/>
            </a:spcBef>
            <a:spcAft>
              <a:spcPct val="35000"/>
            </a:spcAft>
            <a:buNone/>
          </a:pPr>
          <a:r>
            <a:rPr lang="en-US" sz="1700" kern="1200"/>
            <a:t>Administration</a:t>
          </a:r>
        </a:p>
      </dsp:txBody>
      <dsp:txXfrm>
        <a:off x="1484982" y="1121752"/>
        <a:ext cx="1676095" cy="295828"/>
      </dsp:txXfrm>
    </dsp:sp>
    <dsp:sp modelId="{36781C58-8B74-49DB-AD91-E6A623F34434}">
      <dsp:nvSpPr>
        <dsp:cNvPr id="0" name=""/>
        <dsp:cNvSpPr/>
      </dsp:nvSpPr>
      <dsp:spPr>
        <a:xfrm>
          <a:off x="2470944" y="431619"/>
          <a:ext cx="1473541" cy="1676095"/>
        </a:xfrm>
        <a:prstGeom prst="rect">
          <a:avLst/>
        </a:prstGeom>
        <a:solidFill>
          <a:schemeClr val="bg2">
            <a:lumMod val="50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260905" rIns="120904" bIns="120904" numCol="1" spcCol="1270" anchor="t" anchorCtr="0">
          <a:noAutofit/>
        </a:bodyPr>
        <a:lstStyle/>
        <a:p>
          <a:pPr marL="114300" lvl="1" indent="-114300" algn="l" defTabSz="577850">
            <a:lnSpc>
              <a:spcPct val="90000"/>
            </a:lnSpc>
            <a:spcBef>
              <a:spcPct val="0"/>
            </a:spcBef>
            <a:spcAft>
              <a:spcPct val="15000"/>
            </a:spcAft>
            <a:buChar char="•"/>
          </a:pPr>
          <a:r>
            <a:rPr lang="en-US" sz="1300" kern="1200"/>
            <a:t>Printed</a:t>
          </a:r>
        </a:p>
        <a:p>
          <a:pPr marL="114300" lvl="1" indent="-114300" algn="l" defTabSz="577850">
            <a:lnSpc>
              <a:spcPct val="90000"/>
            </a:lnSpc>
            <a:spcBef>
              <a:spcPct val="0"/>
            </a:spcBef>
            <a:spcAft>
              <a:spcPct val="15000"/>
            </a:spcAft>
            <a:buChar char="•"/>
          </a:pPr>
          <a:r>
            <a:rPr lang="en-US" sz="1300" kern="1200"/>
            <a:t>Group</a:t>
          </a:r>
        </a:p>
        <a:p>
          <a:pPr marL="114300" lvl="1" indent="-114300" algn="l" defTabSz="577850">
            <a:lnSpc>
              <a:spcPct val="90000"/>
            </a:lnSpc>
            <a:spcBef>
              <a:spcPct val="0"/>
            </a:spcBef>
            <a:spcAft>
              <a:spcPct val="15000"/>
            </a:spcAft>
            <a:buChar char="•"/>
          </a:pPr>
          <a:r>
            <a:rPr lang="en-US" sz="1300" kern="1200"/>
            <a:t>Online</a:t>
          </a:r>
        </a:p>
        <a:p>
          <a:pPr marL="114300" lvl="1" indent="-114300" algn="l" defTabSz="577850">
            <a:lnSpc>
              <a:spcPct val="90000"/>
            </a:lnSpc>
            <a:spcBef>
              <a:spcPct val="0"/>
            </a:spcBef>
            <a:spcAft>
              <a:spcPct val="15000"/>
            </a:spcAft>
            <a:buChar char="•"/>
          </a:pPr>
          <a:r>
            <a:rPr lang="en-US" sz="1300" kern="1200"/>
            <a:t>Other</a:t>
          </a:r>
        </a:p>
      </dsp:txBody>
      <dsp:txXfrm>
        <a:off x="2470944" y="431619"/>
        <a:ext cx="1473541" cy="1676095"/>
      </dsp:txXfrm>
    </dsp:sp>
    <dsp:sp modelId="{0C9DABA0-886F-4A0E-9F56-C20E0ABF6525}">
      <dsp:nvSpPr>
        <dsp:cNvPr id="0" name=""/>
        <dsp:cNvSpPr/>
      </dsp:nvSpPr>
      <dsp:spPr>
        <a:xfrm>
          <a:off x="2175115" y="41125"/>
          <a:ext cx="591657" cy="591657"/>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4000" r="-2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1512BD-EB34-4352-A631-C9C7C705EAB9}">
      <dsp:nvSpPr>
        <dsp:cNvPr id="0" name=""/>
        <dsp:cNvSpPr/>
      </dsp:nvSpPr>
      <dsp:spPr>
        <a:xfrm>
          <a:off x="258546" y="0"/>
          <a:ext cx="2930194" cy="201168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0A4BE51-C235-4A90-8786-2487A4FF7A99}">
      <dsp:nvSpPr>
        <dsp:cNvPr id="0" name=""/>
        <dsp:cNvSpPr/>
      </dsp:nvSpPr>
      <dsp:spPr>
        <a:xfrm>
          <a:off x="3703" y="603504"/>
          <a:ext cx="1109595" cy="80467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what is being sought</a:t>
          </a:r>
        </a:p>
      </dsp:txBody>
      <dsp:txXfrm>
        <a:off x="42984" y="642785"/>
        <a:ext cx="1031033" cy="726110"/>
      </dsp:txXfrm>
    </dsp:sp>
    <dsp:sp modelId="{64E8B787-EEDF-4BC0-8E63-395430C5A8E3}">
      <dsp:nvSpPr>
        <dsp:cNvPr id="0" name=""/>
        <dsp:cNvSpPr/>
      </dsp:nvSpPr>
      <dsp:spPr>
        <a:xfrm>
          <a:off x="1168846" y="603504"/>
          <a:ext cx="1109595" cy="80467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Draft the questions</a:t>
          </a:r>
        </a:p>
      </dsp:txBody>
      <dsp:txXfrm>
        <a:off x="1208127" y="642785"/>
        <a:ext cx="1031033" cy="726110"/>
      </dsp:txXfrm>
    </dsp:sp>
    <dsp:sp modelId="{41B49137-0B24-4844-8A1A-ECCD8B6DF5B5}">
      <dsp:nvSpPr>
        <dsp:cNvPr id="0" name=""/>
        <dsp:cNvSpPr/>
      </dsp:nvSpPr>
      <dsp:spPr>
        <a:xfrm>
          <a:off x="2333989" y="603504"/>
          <a:ext cx="1109595" cy="80467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Include filter questions</a:t>
          </a:r>
        </a:p>
      </dsp:txBody>
      <dsp:txXfrm>
        <a:off x="2373270" y="642785"/>
        <a:ext cx="1031033" cy="72611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8F5977-B5CE-4332-A540-A8C93225CF83}">
      <dsp:nvSpPr>
        <dsp:cNvPr id="0" name=""/>
        <dsp:cNvSpPr/>
      </dsp:nvSpPr>
      <dsp:spPr>
        <a:xfrm>
          <a:off x="84257" y="125"/>
          <a:ext cx="1287000" cy="7722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Replicability</a:t>
          </a:r>
        </a:p>
      </dsp:txBody>
      <dsp:txXfrm>
        <a:off x="84257" y="125"/>
        <a:ext cx="1287000" cy="772200"/>
      </dsp:txXfrm>
    </dsp:sp>
    <dsp:sp modelId="{385F382B-04CB-4A7B-BE86-AB2953EE89F4}">
      <dsp:nvSpPr>
        <dsp:cNvPr id="0" name=""/>
        <dsp:cNvSpPr/>
      </dsp:nvSpPr>
      <dsp:spPr>
        <a:xfrm>
          <a:off x="1499958" y="125"/>
          <a:ext cx="1287000" cy="772200"/>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Precision</a:t>
          </a:r>
        </a:p>
      </dsp:txBody>
      <dsp:txXfrm>
        <a:off x="1499958" y="125"/>
        <a:ext cx="1287000" cy="772200"/>
      </dsp:txXfrm>
    </dsp:sp>
    <dsp:sp modelId="{C0BE70A1-3406-4F21-8201-EB393155B2F4}">
      <dsp:nvSpPr>
        <dsp:cNvPr id="0" name=""/>
        <dsp:cNvSpPr/>
      </dsp:nvSpPr>
      <dsp:spPr>
        <a:xfrm>
          <a:off x="84257" y="901026"/>
          <a:ext cx="1287000" cy="772200"/>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Falsifiability</a:t>
          </a:r>
        </a:p>
      </dsp:txBody>
      <dsp:txXfrm>
        <a:off x="84257" y="901026"/>
        <a:ext cx="1287000" cy="772200"/>
      </dsp:txXfrm>
    </dsp:sp>
    <dsp:sp modelId="{33E3B33F-7ECF-47DA-8B35-675F8F73E240}">
      <dsp:nvSpPr>
        <dsp:cNvPr id="0" name=""/>
        <dsp:cNvSpPr/>
      </dsp:nvSpPr>
      <dsp:spPr>
        <a:xfrm>
          <a:off x="1499958" y="901026"/>
          <a:ext cx="1287000" cy="772200"/>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t>Parsimony</a:t>
          </a:r>
        </a:p>
      </dsp:txBody>
      <dsp:txXfrm>
        <a:off x="1499958" y="901026"/>
        <a:ext cx="1287000" cy="7722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503ED9-868D-40CA-930B-3BE6AB4695F3}">
      <dsp:nvSpPr>
        <dsp:cNvPr id="0" name=""/>
        <dsp:cNvSpPr/>
      </dsp:nvSpPr>
      <dsp:spPr>
        <a:xfrm>
          <a:off x="900839" y="1238893"/>
          <a:ext cx="875111" cy="754498"/>
        </a:xfrm>
        <a:prstGeom prst="hexagon">
          <a:avLst>
            <a:gd name="adj" fmla="val 25000"/>
            <a:gd name="vf" fmla="val 11547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Explanatory</a:t>
          </a:r>
        </a:p>
      </dsp:txBody>
      <dsp:txXfrm>
        <a:off x="1036640" y="1355977"/>
        <a:ext cx="603509" cy="520330"/>
      </dsp:txXfrm>
    </dsp:sp>
    <dsp:sp modelId="{F0EC6EC8-1690-4B97-B1CD-49E0556BF51D}">
      <dsp:nvSpPr>
        <dsp:cNvPr id="0" name=""/>
        <dsp:cNvSpPr/>
      </dsp:nvSpPr>
      <dsp:spPr>
        <a:xfrm>
          <a:off x="923573" y="1571988"/>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7165F1-C756-4D0C-B669-E44ADBB3F5EB}">
      <dsp:nvSpPr>
        <dsp:cNvPr id="0" name=""/>
        <dsp:cNvSpPr/>
      </dsp:nvSpPr>
      <dsp:spPr>
        <a:xfrm>
          <a:off x="152789" y="833636"/>
          <a:ext cx="875111" cy="754498"/>
        </a:xfrm>
        <a:prstGeom prst="hexagon">
          <a:avLst>
            <a:gd name="adj" fmla="val 25000"/>
            <a:gd name="vf" fmla="val 115470"/>
          </a:avLst>
        </a:prstGeom>
        <a:blipFill>
          <a:blip xmlns:r="http://schemas.openxmlformats.org/officeDocument/2006/relationships" r:embed="rId1"/>
          <a:srcRect/>
          <a:stretch>
            <a:fillRect t="-8000" b="-8000"/>
          </a:stretch>
        </a:blip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165675-C960-42FB-ADAB-63F58FB342E7}">
      <dsp:nvSpPr>
        <dsp:cNvPr id="0" name=""/>
        <dsp:cNvSpPr/>
      </dsp:nvSpPr>
      <dsp:spPr>
        <a:xfrm>
          <a:off x="748550" y="1488465"/>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F1D6BA-D1A7-4AA6-BDA0-5E7AFD0F7DFE}">
      <dsp:nvSpPr>
        <dsp:cNvPr id="0" name=""/>
        <dsp:cNvSpPr/>
      </dsp:nvSpPr>
      <dsp:spPr>
        <a:xfrm>
          <a:off x="1646396" y="824666"/>
          <a:ext cx="875111" cy="754498"/>
        </a:xfrm>
        <a:prstGeom prst="hexagon">
          <a:avLst>
            <a:gd name="adj" fmla="val 25000"/>
            <a:gd name="vf" fmla="val 11547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Descriptive</a:t>
          </a:r>
        </a:p>
      </dsp:txBody>
      <dsp:txXfrm>
        <a:off x="1782197" y="941750"/>
        <a:ext cx="603509" cy="520330"/>
      </dsp:txXfrm>
    </dsp:sp>
    <dsp:sp modelId="{C8CE781F-7837-4D96-86F0-6016A96E2175}">
      <dsp:nvSpPr>
        <dsp:cNvPr id="0" name=""/>
        <dsp:cNvSpPr/>
      </dsp:nvSpPr>
      <dsp:spPr>
        <a:xfrm>
          <a:off x="2244649" y="1478698"/>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D95934B-33B5-4F00-BB42-89BF489F4678}">
      <dsp:nvSpPr>
        <dsp:cNvPr id="0" name=""/>
        <dsp:cNvSpPr/>
      </dsp:nvSpPr>
      <dsp:spPr>
        <a:xfrm>
          <a:off x="2391954" y="1238893"/>
          <a:ext cx="875111" cy="754498"/>
        </a:xfrm>
        <a:prstGeom prst="hexagon">
          <a:avLst>
            <a:gd name="adj" fmla="val 25000"/>
            <a:gd name="vf" fmla="val 115470"/>
          </a:avLst>
        </a:prstGeom>
        <a:blipFill>
          <a:blip xmlns:r="http://schemas.openxmlformats.org/officeDocument/2006/relationships" r:embed="rId2"/>
          <a:srcRect/>
          <a:stretch>
            <a:fillRect t="-8000" b="-8000"/>
          </a:stretch>
        </a:blip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2CC4417-45AC-40E9-9914-D7794CE772FE}">
      <dsp:nvSpPr>
        <dsp:cNvPr id="0" name=""/>
        <dsp:cNvSpPr/>
      </dsp:nvSpPr>
      <dsp:spPr>
        <a:xfrm>
          <a:off x="2414688" y="1571988"/>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5A0ABAD-7CB8-4123-92C7-F5DC050DA631}">
      <dsp:nvSpPr>
        <dsp:cNvPr id="0" name=""/>
        <dsp:cNvSpPr/>
      </dsp:nvSpPr>
      <dsp:spPr>
        <a:xfrm>
          <a:off x="900839" y="412233"/>
          <a:ext cx="875111" cy="754498"/>
        </a:xfrm>
        <a:prstGeom prst="hexagon">
          <a:avLst>
            <a:gd name="adj" fmla="val 25000"/>
            <a:gd name="vf" fmla="val 11547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Exploratory</a:t>
          </a:r>
        </a:p>
      </dsp:txBody>
      <dsp:txXfrm>
        <a:off x="1036640" y="529317"/>
        <a:ext cx="603509" cy="520330"/>
      </dsp:txXfrm>
    </dsp:sp>
    <dsp:sp modelId="{B2550EDF-B249-4205-AD91-8E6FA49EF8BC}">
      <dsp:nvSpPr>
        <dsp:cNvPr id="0" name=""/>
        <dsp:cNvSpPr/>
      </dsp:nvSpPr>
      <dsp:spPr>
        <a:xfrm>
          <a:off x="1494108" y="428579"/>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98EEB00-6E2D-4439-9220-EB8A86E51A58}">
      <dsp:nvSpPr>
        <dsp:cNvPr id="0" name=""/>
        <dsp:cNvSpPr/>
      </dsp:nvSpPr>
      <dsp:spPr>
        <a:xfrm>
          <a:off x="1646396" y="0"/>
          <a:ext cx="875111" cy="754498"/>
        </a:xfrm>
        <a:prstGeom prst="hexagon">
          <a:avLst>
            <a:gd name="adj" fmla="val 25000"/>
            <a:gd name="vf" fmla="val 115470"/>
          </a:avLst>
        </a:prstGeom>
        <a:blipFill>
          <a:blip xmlns:r="http://schemas.openxmlformats.org/officeDocument/2006/relationships" r:embed="rId3"/>
          <a:srcRect/>
          <a:stretch>
            <a:fillRect t="-8000" b="-8000"/>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084AB22-365E-432B-92BC-70F53658397E}">
      <dsp:nvSpPr>
        <dsp:cNvPr id="0" name=""/>
        <dsp:cNvSpPr/>
      </dsp:nvSpPr>
      <dsp:spPr>
        <a:xfrm>
          <a:off x="1672245" y="331301"/>
          <a:ext cx="102459" cy="88307"/>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3C957E-5964-4677-B96C-C84DFEE180E9}">
      <dsp:nvSpPr>
        <dsp:cNvPr id="0" name=""/>
        <dsp:cNvSpPr/>
      </dsp:nvSpPr>
      <dsp:spPr>
        <a:xfrm>
          <a:off x="1143000" y="0"/>
          <a:ext cx="3200400" cy="3200400"/>
        </a:xfrm>
        <a:prstGeom prst="diamond">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3805B3BD-E083-4524-9E30-68FFF1E134C2}">
      <dsp:nvSpPr>
        <dsp:cNvPr id="0" name=""/>
        <dsp:cNvSpPr/>
      </dsp:nvSpPr>
      <dsp:spPr>
        <a:xfrm>
          <a:off x="1447038" y="304038"/>
          <a:ext cx="1248156" cy="124815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t>Radical Structure</a:t>
          </a:r>
        </a:p>
      </dsp:txBody>
      <dsp:txXfrm>
        <a:off x="1507968" y="364968"/>
        <a:ext cx="1126296" cy="1126296"/>
      </dsp:txXfrm>
    </dsp:sp>
    <dsp:sp modelId="{A2E8595E-31C7-4217-B85E-C0504A42707B}">
      <dsp:nvSpPr>
        <dsp:cNvPr id="0" name=""/>
        <dsp:cNvSpPr/>
      </dsp:nvSpPr>
      <dsp:spPr>
        <a:xfrm>
          <a:off x="2791206" y="304038"/>
          <a:ext cx="1248156" cy="1248156"/>
        </a:xfrm>
        <a:prstGeom prst="roundRect">
          <a:avLst/>
        </a:prstGeom>
        <a:gradFill rotWithShape="0">
          <a:gsLst>
            <a:gs pos="0">
              <a:schemeClr val="accent5">
                <a:hueOff val="2003568"/>
                <a:satOff val="-8793"/>
                <a:lumOff val="2614"/>
                <a:alphaOff val="0"/>
                <a:satMod val="103000"/>
                <a:lumMod val="102000"/>
                <a:tint val="94000"/>
              </a:schemeClr>
            </a:gs>
            <a:gs pos="50000">
              <a:schemeClr val="accent5">
                <a:hueOff val="2003568"/>
                <a:satOff val="-8793"/>
                <a:lumOff val="2614"/>
                <a:alphaOff val="0"/>
                <a:satMod val="110000"/>
                <a:lumMod val="100000"/>
                <a:shade val="100000"/>
              </a:schemeClr>
            </a:gs>
            <a:gs pos="100000">
              <a:schemeClr val="accent5">
                <a:hueOff val="2003568"/>
                <a:satOff val="-8793"/>
                <a:lumOff val="26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t>Radical Humanism</a:t>
          </a:r>
        </a:p>
      </dsp:txBody>
      <dsp:txXfrm>
        <a:off x="2852136" y="364968"/>
        <a:ext cx="1126296" cy="1126296"/>
      </dsp:txXfrm>
    </dsp:sp>
    <dsp:sp modelId="{F2D79B20-909E-484F-A37F-D76C91D0F31F}">
      <dsp:nvSpPr>
        <dsp:cNvPr id="0" name=""/>
        <dsp:cNvSpPr/>
      </dsp:nvSpPr>
      <dsp:spPr>
        <a:xfrm>
          <a:off x="1447038" y="1648206"/>
          <a:ext cx="1248156" cy="1248156"/>
        </a:xfrm>
        <a:prstGeom prst="roundRect">
          <a:avLst/>
        </a:prstGeom>
        <a:gradFill rotWithShape="0">
          <a:gsLst>
            <a:gs pos="0">
              <a:schemeClr val="accent5">
                <a:hueOff val="4007135"/>
                <a:satOff val="-17587"/>
                <a:lumOff val="5229"/>
                <a:alphaOff val="0"/>
                <a:satMod val="103000"/>
                <a:lumMod val="102000"/>
                <a:tint val="94000"/>
              </a:schemeClr>
            </a:gs>
            <a:gs pos="50000">
              <a:schemeClr val="accent5">
                <a:hueOff val="4007135"/>
                <a:satOff val="-17587"/>
                <a:lumOff val="5229"/>
                <a:alphaOff val="0"/>
                <a:satMod val="110000"/>
                <a:lumMod val="100000"/>
                <a:shade val="100000"/>
              </a:schemeClr>
            </a:gs>
            <a:gs pos="100000">
              <a:schemeClr val="accent5">
                <a:hueOff val="4007135"/>
                <a:satOff val="-17587"/>
                <a:lumOff val="522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t>Functionalism</a:t>
          </a:r>
        </a:p>
      </dsp:txBody>
      <dsp:txXfrm>
        <a:off x="1507968" y="1709136"/>
        <a:ext cx="1126296" cy="1126296"/>
      </dsp:txXfrm>
    </dsp:sp>
    <dsp:sp modelId="{DA0A9B93-0632-4446-8B1B-C3FECEFCF48F}">
      <dsp:nvSpPr>
        <dsp:cNvPr id="0" name=""/>
        <dsp:cNvSpPr/>
      </dsp:nvSpPr>
      <dsp:spPr>
        <a:xfrm>
          <a:off x="2791206" y="1648206"/>
          <a:ext cx="1248156" cy="1248156"/>
        </a:xfrm>
        <a:prstGeom prst="roundRect">
          <a:avLst/>
        </a:prstGeom>
        <a:gradFill rotWithShape="0">
          <a:gsLst>
            <a:gs pos="0">
              <a:schemeClr val="accent5">
                <a:hueOff val="6010703"/>
                <a:satOff val="-26380"/>
                <a:lumOff val="7843"/>
                <a:alphaOff val="0"/>
                <a:satMod val="103000"/>
                <a:lumMod val="102000"/>
                <a:tint val="94000"/>
              </a:schemeClr>
            </a:gs>
            <a:gs pos="50000">
              <a:schemeClr val="accent5">
                <a:hueOff val="6010703"/>
                <a:satOff val="-26380"/>
                <a:lumOff val="7843"/>
                <a:alphaOff val="0"/>
                <a:satMod val="110000"/>
                <a:lumMod val="100000"/>
                <a:shade val="100000"/>
              </a:schemeClr>
            </a:gs>
            <a:gs pos="100000">
              <a:schemeClr val="accent5">
                <a:hueOff val="6010703"/>
                <a:satOff val="-26380"/>
                <a:lumOff val="784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t>Interpretivism</a:t>
          </a:r>
        </a:p>
      </dsp:txBody>
      <dsp:txXfrm>
        <a:off x="2852136" y="1709136"/>
        <a:ext cx="1126296" cy="112629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C56228-DCD4-4DD9-BE7F-3C4DD7CD33D4}">
      <dsp:nvSpPr>
        <dsp:cNvPr id="0" name=""/>
        <dsp:cNvSpPr/>
      </dsp:nvSpPr>
      <dsp:spPr>
        <a:xfrm rot="5400000">
          <a:off x="321664" y="681109"/>
          <a:ext cx="658607" cy="1095908"/>
        </a:xfrm>
        <a:prstGeom prst="corner">
          <a:avLst>
            <a:gd name="adj1" fmla="val 16120"/>
            <a:gd name="adj2" fmla="val 1611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C841F1A8-B88F-48D4-B3A7-E0EF8FD95B29}">
      <dsp:nvSpPr>
        <dsp:cNvPr id="0" name=""/>
        <dsp:cNvSpPr/>
      </dsp:nvSpPr>
      <dsp:spPr>
        <a:xfrm>
          <a:off x="211726" y="1008549"/>
          <a:ext cx="989392" cy="8672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a:t>Constructs</a:t>
          </a:r>
        </a:p>
      </dsp:txBody>
      <dsp:txXfrm>
        <a:off x="211726" y="1008549"/>
        <a:ext cx="989392" cy="867260"/>
      </dsp:txXfrm>
    </dsp:sp>
    <dsp:sp modelId="{B80BB4A4-BCE6-4123-919F-ED2F0BAFEF90}">
      <dsp:nvSpPr>
        <dsp:cNvPr id="0" name=""/>
        <dsp:cNvSpPr/>
      </dsp:nvSpPr>
      <dsp:spPr>
        <a:xfrm>
          <a:off x="1014440" y="600427"/>
          <a:ext cx="186677" cy="186677"/>
        </a:xfrm>
        <a:prstGeom prst="triangle">
          <a:avLst>
            <a:gd name="adj" fmla="val 100000"/>
          </a:avLst>
        </a:prstGeom>
        <a:gradFill rotWithShape="0">
          <a:gsLst>
            <a:gs pos="0">
              <a:schemeClr val="accent5">
                <a:hueOff val="1001784"/>
                <a:satOff val="-4397"/>
                <a:lumOff val="1307"/>
                <a:alphaOff val="0"/>
                <a:satMod val="103000"/>
                <a:lumMod val="102000"/>
                <a:tint val="94000"/>
              </a:schemeClr>
            </a:gs>
            <a:gs pos="50000">
              <a:schemeClr val="accent5">
                <a:hueOff val="1001784"/>
                <a:satOff val="-4397"/>
                <a:lumOff val="1307"/>
                <a:alphaOff val="0"/>
                <a:satMod val="110000"/>
                <a:lumMod val="100000"/>
                <a:shade val="100000"/>
              </a:schemeClr>
            </a:gs>
            <a:gs pos="100000">
              <a:schemeClr val="accent5">
                <a:hueOff val="1001784"/>
                <a:satOff val="-4397"/>
                <a:lumOff val="1307"/>
                <a:alphaOff val="0"/>
                <a:lumMod val="99000"/>
                <a:satMod val="120000"/>
                <a:shade val="78000"/>
              </a:schemeClr>
            </a:gs>
          </a:gsLst>
          <a:lin ang="5400000" scaled="0"/>
        </a:gradFill>
        <a:ln w="6350" cap="flat" cmpd="sng" algn="ctr">
          <a:solidFill>
            <a:schemeClr val="accent5">
              <a:hueOff val="1001784"/>
              <a:satOff val="-4397"/>
              <a:lumOff val="1307"/>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3F0F92F9-2828-47D0-AA35-25AEE49C508C}">
      <dsp:nvSpPr>
        <dsp:cNvPr id="0" name=""/>
        <dsp:cNvSpPr/>
      </dsp:nvSpPr>
      <dsp:spPr>
        <a:xfrm rot="5400000">
          <a:off x="1532873" y="381394"/>
          <a:ext cx="658607" cy="1095908"/>
        </a:xfrm>
        <a:prstGeom prst="corner">
          <a:avLst>
            <a:gd name="adj1" fmla="val 16120"/>
            <a:gd name="adj2" fmla="val 16110"/>
          </a:avLst>
        </a:prstGeom>
        <a:gradFill rotWithShape="0">
          <a:gsLst>
            <a:gs pos="0">
              <a:schemeClr val="accent5">
                <a:hueOff val="2003568"/>
                <a:satOff val="-8793"/>
                <a:lumOff val="2614"/>
                <a:alphaOff val="0"/>
                <a:satMod val="103000"/>
                <a:lumMod val="102000"/>
                <a:tint val="94000"/>
              </a:schemeClr>
            </a:gs>
            <a:gs pos="50000">
              <a:schemeClr val="accent5">
                <a:hueOff val="2003568"/>
                <a:satOff val="-8793"/>
                <a:lumOff val="2614"/>
                <a:alphaOff val="0"/>
                <a:satMod val="110000"/>
                <a:lumMod val="100000"/>
                <a:shade val="100000"/>
              </a:schemeClr>
            </a:gs>
            <a:gs pos="100000">
              <a:schemeClr val="accent5">
                <a:hueOff val="2003568"/>
                <a:satOff val="-8793"/>
                <a:lumOff val="2614"/>
                <a:alphaOff val="0"/>
                <a:lumMod val="99000"/>
                <a:satMod val="120000"/>
                <a:shade val="78000"/>
              </a:schemeClr>
            </a:gs>
          </a:gsLst>
          <a:lin ang="5400000" scaled="0"/>
        </a:gradFill>
        <a:ln w="6350" cap="flat" cmpd="sng" algn="ctr">
          <a:solidFill>
            <a:schemeClr val="accent5">
              <a:hueOff val="2003568"/>
              <a:satOff val="-8793"/>
              <a:lumOff val="2614"/>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61B1479E-C322-447A-BB44-51DC0F0E25F9}">
      <dsp:nvSpPr>
        <dsp:cNvPr id="0" name=""/>
        <dsp:cNvSpPr/>
      </dsp:nvSpPr>
      <dsp:spPr>
        <a:xfrm>
          <a:off x="1422935" y="708834"/>
          <a:ext cx="989392" cy="8672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a:t>Propositions</a:t>
          </a:r>
        </a:p>
      </dsp:txBody>
      <dsp:txXfrm>
        <a:off x="1422935" y="708834"/>
        <a:ext cx="989392" cy="867260"/>
      </dsp:txXfrm>
    </dsp:sp>
    <dsp:sp modelId="{5BE68422-445C-497C-8CF0-1182FD4D1B69}">
      <dsp:nvSpPr>
        <dsp:cNvPr id="0" name=""/>
        <dsp:cNvSpPr/>
      </dsp:nvSpPr>
      <dsp:spPr>
        <a:xfrm>
          <a:off x="2225649" y="300712"/>
          <a:ext cx="186677" cy="186677"/>
        </a:xfrm>
        <a:prstGeom prst="triangle">
          <a:avLst>
            <a:gd name="adj" fmla="val 100000"/>
          </a:avLst>
        </a:prstGeom>
        <a:gradFill rotWithShape="0">
          <a:gsLst>
            <a:gs pos="0">
              <a:schemeClr val="accent5">
                <a:hueOff val="3005351"/>
                <a:satOff val="-13190"/>
                <a:lumOff val="3921"/>
                <a:alphaOff val="0"/>
                <a:satMod val="103000"/>
                <a:lumMod val="102000"/>
                <a:tint val="94000"/>
              </a:schemeClr>
            </a:gs>
            <a:gs pos="50000">
              <a:schemeClr val="accent5">
                <a:hueOff val="3005351"/>
                <a:satOff val="-13190"/>
                <a:lumOff val="3921"/>
                <a:alphaOff val="0"/>
                <a:satMod val="110000"/>
                <a:lumMod val="100000"/>
                <a:shade val="100000"/>
              </a:schemeClr>
            </a:gs>
            <a:gs pos="100000">
              <a:schemeClr val="accent5">
                <a:hueOff val="3005351"/>
                <a:satOff val="-13190"/>
                <a:lumOff val="3921"/>
                <a:alphaOff val="0"/>
                <a:lumMod val="99000"/>
                <a:satMod val="120000"/>
                <a:shade val="78000"/>
              </a:schemeClr>
            </a:gs>
          </a:gsLst>
          <a:lin ang="5400000" scaled="0"/>
        </a:gradFill>
        <a:ln w="6350" cap="flat" cmpd="sng" algn="ctr">
          <a:solidFill>
            <a:schemeClr val="accent5">
              <a:hueOff val="3005351"/>
              <a:satOff val="-13190"/>
              <a:lumOff val="3921"/>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6F7058EA-3366-4E52-8D62-60E20E4E20DD}">
      <dsp:nvSpPr>
        <dsp:cNvPr id="0" name=""/>
        <dsp:cNvSpPr/>
      </dsp:nvSpPr>
      <dsp:spPr>
        <a:xfrm rot="5400000">
          <a:off x="2744082" y="81679"/>
          <a:ext cx="658607" cy="1095908"/>
        </a:xfrm>
        <a:prstGeom prst="corner">
          <a:avLst>
            <a:gd name="adj1" fmla="val 16120"/>
            <a:gd name="adj2" fmla="val 16110"/>
          </a:avLst>
        </a:prstGeom>
        <a:gradFill rotWithShape="0">
          <a:gsLst>
            <a:gs pos="0">
              <a:schemeClr val="accent5">
                <a:hueOff val="4007135"/>
                <a:satOff val="-17587"/>
                <a:lumOff val="5229"/>
                <a:alphaOff val="0"/>
                <a:satMod val="103000"/>
                <a:lumMod val="102000"/>
                <a:tint val="94000"/>
              </a:schemeClr>
            </a:gs>
            <a:gs pos="50000">
              <a:schemeClr val="accent5">
                <a:hueOff val="4007135"/>
                <a:satOff val="-17587"/>
                <a:lumOff val="5229"/>
                <a:alphaOff val="0"/>
                <a:satMod val="110000"/>
                <a:lumMod val="100000"/>
                <a:shade val="100000"/>
              </a:schemeClr>
            </a:gs>
            <a:gs pos="100000">
              <a:schemeClr val="accent5">
                <a:hueOff val="4007135"/>
                <a:satOff val="-17587"/>
                <a:lumOff val="5229"/>
                <a:alphaOff val="0"/>
                <a:lumMod val="99000"/>
                <a:satMod val="120000"/>
                <a:shade val="78000"/>
              </a:schemeClr>
            </a:gs>
          </a:gsLst>
          <a:lin ang="5400000" scaled="0"/>
        </a:gradFill>
        <a:ln w="6350" cap="flat" cmpd="sng" algn="ctr">
          <a:solidFill>
            <a:schemeClr val="accent5">
              <a:hueOff val="4007135"/>
              <a:satOff val="-17587"/>
              <a:lumOff val="5229"/>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78F57E7C-9900-4623-AB1D-A982D721E839}">
      <dsp:nvSpPr>
        <dsp:cNvPr id="0" name=""/>
        <dsp:cNvSpPr/>
      </dsp:nvSpPr>
      <dsp:spPr>
        <a:xfrm>
          <a:off x="2634144" y="409120"/>
          <a:ext cx="989392" cy="8672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a:t>Logic</a:t>
          </a:r>
        </a:p>
      </dsp:txBody>
      <dsp:txXfrm>
        <a:off x="2634144" y="409120"/>
        <a:ext cx="989392" cy="867260"/>
      </dsp:txXfrm>
    </dsp:sp>
    <dsp:sp modelId="{0772F24F-7779-41E5-AD60-29C77729BEFF}">
      <dsp:nvSpPr>
        <dsp:cNvPr id="0" name=""/>
        <dsp:cNvSpPr/>
      </dsp:nvSpPr>
      <dsp:spPr>
        <a:xfrm>
          <a:off x="3436859" y="997"/>
          <a:ext cx="186677" cy="186677"/>
        </a:xfrm>
        <a:prstGeom prst="triangle">
          <a:avLst>
            <a:gd name="adj" fmla="val 100000"/>
          </a:avLst>
        </a:prstGeom>
        <a:gradFill rotWithShape="0">
          <a:gsLst>
            <a:gs pos="0">
              <a:schemeClr val="accent5">
                <a:hueOff val="5008919"/>
                <a:satOff val="-21983"/>
                <a:lumOff val="6536"/>
                <a:alphaOff val="0"/>
                <a:satMod val="103000"/>
                <a:lumMod val="102000"/>
                <a:tint val="94000"/>
              </a:schemeClr>
            </a:gs>
            <a:gs pos="50000">
              <a:schemeClr val="accent5">
                <a:hueOff val="5008919"/>
                <a:satOff val="-21983"/>
                <a:lumOff val="6536"/>
                <a:alphaOff val="0"/>
                <a:satMod val="110000"/>
                <a:lumMod val="100000"/>
                <a:shade val="100000"/>
              </a:schemeClr>
            </a:gs>
            <a:gs pos="100000">
              <a:schemeClr val="accent5">
                <a:hueOff val="5008919"/>
                <a:satOff val="-21983"/>
                <a:lumOff val="6536"/>
                <a:alphaOff val="0"/>
                <a:lumMod val="99000"/>
                <a:satMod val="120000"/>
                <a:shade val="78000"/>
              </a:schemeClr>
            </a:gs>
          </a:gsLst>
          <a:lin ang="5400000" scaled="0"/>
        </a:gradFill>
        <a:ln w="6350" cap="flat" cmpd="sng" algn="ctr">
          <a:solidFill>
            <a:schemeClr val="accent5">
              <a:hueOff val="5008919"/>
              <a:satOff val="-21983"/>
              <a:lumOff val="6536"/>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7C2B6AEC-4503-4C84-BD89-A849EBBB497A}">
      <dsp:nvSpPr>
        <dsp:cNvPr id="0" name=""/>
        <dsp:cNvSpPr/>
      </dsp:nvSpPr>
      <dsp:spPr>
        <a:xfrm rot="5400000">
          <a:off x="3955291" y="-218035"/>
          <a:ext cx="658607" cy="1095908"/>
        </a:xfrm>
        <a:prstGeom prst="corner">
          <a:avLst>
            <a:gd name="adj1" fmla="val 16120"/>
            <a:gd name="adj2" fmla="val 16110"/>
          </a:avLst>
        </a:prstGeom>
        <a:gradFill rotWithShape="0">
          <a:gsLst>
            <a:gs pos="0">
              <a:schemeClr val="accent5">
                <a:hueOff val="6010703"/>
                <a:satOff val="-26380"/>
                <a:lumOff val="7843"/>
                <a:alphaOff val="0"/>
                <a:satMod val="103000"/>
                <a:lumMod val="102000"/>
                <a:tint val="94000"/>
              </a:schemeClr>
            </a:gs>
            <a:gs pos="50000">
              <a:schemeClr val="accent5">
                <a:hueOff val="6010703"/>
                <a:satOff val="-26380"/>
                <a:lumOff val="7843"/>
                <a:alphaOff val="0"/>
                <a:satMod val="110000"/>
                <a:lumMod val="100000"/>
                <a:shade val="100000"/>
              </a:schemeClr>
            </a:gs>
            <a:gs pos="100000">
              <a:schemeClr val="accent5">
                <a:hueOff val="6010703"/>
                <a:satOff val="-26380"/>
                <a:lumOff val="7843"/>
                <a:alphaOff val="0"/>
                <a:lumMod val="99000"/>
                <a:satMod val="120000"/>
                <a:shade val="78000"/>
              </a:schemeClr>
            </a:gs>
          </a:gsLst>
          <a:lin ang="5400000" scaled="0"/>
        </a:gradFill>
        <a:ln w="6350" cap="flat" cmpd="sng" algn="ctr">
          <a:solidFill>
            <a:schemeClr val="accent5">
              <a:hueOff val="6010703"/>
              <a:satOff val="-26380"/>
              <a:lumOff val="7843"/>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55275B0-C06F-46F6-9870-482E64EC31FB}">
      <dsp:nvSpPr>
        <dsp:cNvPr id="0" name=""/>
        <dsp:cNvSpPr/>
      </dsp:nvSpPr>
      <dsp:spPr>
        <a:xfrm>
          <a:off x="3845353" y="109405"/>
          <a:ext cx="989392" cy="8672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a:t>Assumptions</a:t>
          </a:r>
        </a:p>
      </dsp:txBody>
      <dsp:txXfrm>
        <a:off x="3845353" y="109405"/>
        <a:ext cx="989392" cy="86726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005BC3-3B43-4AD0-A577-8ECBE7F9449F}">
      <dsp:nvSpPr>
        <dsp:cNvPr id="0" name=""/>
        <dsp:cNvSpPr/>
      </dsp:nvSpPr>
      <dsp:spPr>
        <a:xfrm rot="16200000">
          <a:off x="404622" y="-404622"/>
          <a:ext cx="918972" cy="1728216"/>
        </a:xfrm>
        <a:prstGeom prst="round1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b="0" kern="1200"/>
            <a:t>Logical Consistency</a:t>
          </a:r>
        </a:p>
      </dsp:txBody>
      <dsp:txXfrm rot="5400000">
        <a:off x="0" y="0"/>
        <a:ext cx="1728216" cy="689229"/>
      </dsp:txXfrm>
    </dsp:sp>
    <dsp:sp modelId="{4D7453A8-796C-4F0C-BE49-6231A01AD07E}">
      <dsp:nvSpPr>
        <dsp:cNvPr id="0" name=""/>
        <dsp:cNvSpPr/>
      </dsp:nvSpPr>
      <dsp:spPr>
        <a:xfrm>
          <a:off x="1728216" y="0"/>
          <a:ext cx="1728216" cy="918972"/>
        </a:xfrm>
        <a:prstGeom prst="round1Rect">
          <a:avLst/>
        </a:prstGeom>
        <a:gradFill rotWithShape="0">
          <a:gsLst>
            <a:gs pos="0">
              <a:schemeClr val="accent5">
                <a:hueOff val="2003568"/>
                <a:satOff val="-8793"/>
                <a:lumOff val="2614"/>
                <a:alphaOff val="0"/>
                <a:satMod val="103000"/>
                <a:lumMod val="102000"/>
                <a:tint val="94000"/>
              </a:schemeClr>
            </a:gs>
            <a:gs pos="50000">
              <a:schemeClr val="accent5">
                <a:hueOff val="2003568"/>
                <a:satOff val="-8793"/>
                <a:lumOff val="2614"/>
                <a:alphaOff val="0"/>
                <a:satMod val="110000"/>
                <a:lumMod val="100000"/>
                <a:shade val="100000"/>
              </a:schemeClr>
            </a:gs>
            <a:gs pos="100000">
              <a:schemeClr val="accent5">
                <a:hueOff val="2003568"/>
                <a:satOff val="-8793"/>
                <a:lumOff val="261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b="0" kern="1200"/>
            <a:t>Explanatory Power</a:t>
          </a:r>
        </a:p>
      </dsp:txBody>
      <dsp:txXfrm>
        <a:off x="1728216" y="0"/>
        <a:ext cx="1728216" cy="689229"/>
      </dsp:txXfrm>
    </dsp:sp>
    <dsp:sp modelId="{31A5130D-1799-4D57-9F42-7958AC3CB7BF}">
      <dsp:nvSpPr>
        <dsp:cNvPr id="0" name=""/>
        <dsp:cNvSpPr/>
      </dsp:nvSpPr>
      <dsp:spPr>
        <a:xfrm rot="10800000">
          <a:off x="0" y="918972"/>
          <a:ext cx="1728216" cy="918972"/>
        </a:xfrm>
        <a:prstGeom prst="round1Rect">
          <a:avLst/>
        </a:prstGeom>
        <a:gradFill rotWithShape="0">
          <a:gsLst>
            <a:gs pos="0">
              <a:schemeClr val="accent5">
                <a:hueOff val="4007135"/>
                <a:satOff val="-17587"/>
                <a:lumOff val="5229"/>
                <a:alphaOff val="0"/>
                <a:satMod val="103000"/>
                <a:lumMod val="102000"/>
                <a:tint val="94000"/>
              </a:schemeClr>
            </a:gs>
            <a:gs pos="50000">
              <a:schemeClr val="accent5">
                <a:hueOff val="4007135"/>
                <a:satOff val="-17587"/>
                <a:lumOff val="5229"/>
                <a:alphaOff val="0"/>
                <a:satMod val="110000"/>
                <a:lumMod val="100000"/>
                <a:shade val="100000"/>
              </a:schemeClr>
            </a:gs>
            <a:gs pos="100000">
              <a:schemeClr val="accent5">
                <a:hueOff val="4007135"/>
                <a:satOff val="-17587"/>
                <a:lumOff val="5229"/>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b="0" kern="1200"/>
            <a:t>Falsifiability</a:t>
          </a:r>
        </a:p>
      </dsp:txBody>
      <dsp:txXfrm rot="10800000">
        <a:off x="0" y="1148715"/>
        <a:ext cx="1728216" cy="689229"/>
      </dsp:txXfrm>
    </dsp:sp>
    <dsp:sp modelId="{8C8B2C8F-09E8-4AF1-8780-1E724A48B6DA}">
      <dsp:nvSpPr>
        <dsp:cNvPr id="0" name=""/>
        <dsp:cNvSpPr/>
      </dsp:nvSpPr>
      <dsp:spPr>
        <a:xfrm rot="5400000">
          <a:off x="2132838" y="514350"/>
          <a:ext cx="918972" cy="1728216"/>
        </a:xfrm>
        <a:prstGeom prst="round1Rect">
          <a:avLst/>
        </a:prstGeom>
        <a:gradFill rotWithShape="0">
          <a:gsLst>
            <a:gs pos="0">
              <a:schemeClr val="accent5">
                <a:hueOff val="6010703"/>
                <a:satOff val="-26380"/>
                <a:lumOff val="7843"/>
                <a:alphaOff val="0"/>
                <a:satMod val="103000"/>
                <a:lumMod val="102000"/>
                <a:tint val="94000"/>
              </a:schemeClr>
            </a:gs>
            <a:gs pos="50000">
              <a:schemeClr val="accent5">
                <a:hueOff val="6010703"/>
                <a:satOff val="-26380"/>
                <a:lumOff val="7843"/>
                <a:alphaOff val="0"/>
                <a:satMod val="110000"/>
                <a:lumMod val="100000"/>
                <a:shade val="100000"/>
              </a:schemeClr>
            </a:gs>
            <a:gs pos="100000">
              <a:schemeClr val="accent5">
                <a:hueOff val="6010703"/>
                <a:satOff val="-26380"/>
                <a:lumOff val="784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en-US" sz="1600" b="0" kern="1200"/>
            <a:t>Parsimony</a:t>
          </a:r>
        </a:p>
      </dsp:txBody>
      <dsp:txXfrm rot="-5400000">
        <a:off x="1728216" y="1148714"/>
        <a:ext cx="1728216" cy="689229"/>
      </dsp:txXfrm>
    </dsp:sp>
    <dsp:sp modelId="{FF29618C-B607-4695-87DE-A86A7ACB5E02}">
      <dsp:nvSpPr>
        <dsp:cNvPr id="0" name=""/>
        <dsp:cNvSpPr/>
      </dsp:nvSpPr>
      <dsp:spPr>
        <a:xfrm>
          <a:off x="1209751" y="689229"/>
          <a:ext cx="1036929" cy="459486"/>
        </a:xfrm>
        <a:prstGeom prst="roundRect">
          <a:avLst/>
        </a:prstGeom>
        <a:gradFill rotWithShape="0">
          <a:gsLst>
            <a:gs pos="0">
              <a:schemeClr val="accent5">
                <a:tint val="40000"/>
                <a:hueOff val="0"/>
                <a:satOff val="0"/>
                <a:lumOff val="0"/>
                <a:alphaOff val="0"/>
                <a:satMod val="103000"/>
                <a:lumMod val="102000"/>
                <a:tint val="94000"/>
              </a:schemeClr>
            </a:gs>
            <a:gs pos="50000">
              <a:schemeClr val="accent5">
                <a:tint val="40000"/>
                <a:hueOff val="0"/>
                <a:satOff val="0"/>
                <a:lumOff val="0"/>
                <a:alphaOff val="0"/>
                <a:satMod val="110000"/>
                <a:lumMod val="100000"/>
                <a:shade val="100000"/>
              </a:schemeClr>
            </a:gs>
            <a:gs pos="100000">
              <a:schemeClr val="accent5">
                <a:tint val="4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t>Theory</a:t>
          </a:r>
        </a:p>
      </dsp:txBody>
      <dsp:txXfrm>
        <a:off x="1232181" y="711659"/>
        <a:ext cx="992069" cy="41462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3535A8-998A-4B11-8128-E1CFE05E1DEC}">
      <dsp:nvSpPr>
        <dsp:cNvPr id="0" name=""/>
        <dsp:cNvSpPr/>
      </dsp:nvSpPr>
      <dsp:spPr>
        <a:xfrm>
          <a:off x="2109"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Theory</a:t>
          </a:r>
        </a:p>
      </dsp:txBody>
      <dsp:txXfrm>
        <a:off x="18318" y="425294"/>
        <a:ext cx="889962" cy="521010"/>
      </dsp:txXfrm>
    </dsp:sp>
    <dsp:sp modelId="{4FF7A2B4-1534-4939-82B7-3C55CDE176A5}">
      <dsp:nvSpPr>
        <dsp:cNvPr id="0" name=""/>
        <dsp:cNvSpPr/>
      </dsp:nvSpPr>
      <dsp:spPr>
        <a:xfrm>
          <a:off x="1016728" y="571424"/>
          <a:ext cx="195544" cy="228750"/>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1016728" y="617174"/>
        <a:ext cx="136881" cy="137250"/>
      </dsp:txXfrm>
    </dsp:sp>
    <dsp:sp modelId="{AAB6D061-B93D-49F3-9375-01CAD420FBFE}">
      <dsp:nvSpPr>
        <dsp:cNvPr id="0" name=""/>
        <dsp:cNvSpPr/>
      </dsp:nvSpPr>
      <dsp:spPr>
        <a:xfrm>
          <a:off x="1293442"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Hypothesis</a:t>
          </a:r>
        </a:p>
      </dsp:txBody>
      <dsp:txXfrm>
        <a:off x="1309651" y="425294"/>
        <a:ext cx="889962" cy="521010"/>
      </dsp:txXfrm>
    </dsp:sp>
    <dsp:sp modelId="{266C193F-4919-4E10-ACF9-DA63EA5184C6}">
      <dsp:nvSpPr>
        <dsp:cNvPr id="0" name=""/>
        <dsp:cNvSpPr/>
      </dsp:nvSpPr>
      <dsp:spPr>
        <a:xfrm>
          <a:off x="2308061" y="571424"/>
          <a:ext cx="195544" cy="228750"/>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308061" y="617174"/>
        <a:ext cx="136881" cy="137250"/>
      </dsp:txXfrm>
    </dsp:sp>
    <dsp:sp modelId="{622716C2-C1B6-4D09-94BC-76920D602B80}">
      <dsp:nvSpPr>
        <dsp:cNvPr id="0" name=""/>
        <dsp:cNvSpPr/>
      </dsp:nvSpPr>
      <dsp:spPr>
        <a:xfrm>
          <a:off x="2584776"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Patterns</a:t>
          </a:r>
        </a:p>
      </dsp:txBody>
      <dsp:txXfrm>
        <a:off x="2600985" y="425294"/>
        <a:ext cx="889962" cy="521010"/>
      </dsp:txXfrm>
    </dsp:sp>
    <dsp:sp modelId="{DCDFC8EE-3380-4226-8133-319BBC916B11}">
      <dsp:nvSpPr>
        <dsp:cNvPr id="0" name=""/>
        <dsp:cNvSpPr/>
      </dsp:nvSpPr>
      <dsp:spPr>
        <a:xfrm>
          <a:off x="3599395" y="571424"/>
          <a:ext cx="195544" cy="228750"/>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3599395" y="617174"/>
        <a:ext cx="136881" cy="137250"/>
      </dsp:txXfrm>
    </dsp:sp>
    <dsp:sp modelId="{A8E97905-CAFD-4F32-A12D-8D83D993DB49}">
      <dsp:nvSpPr>
        <dsp:cNvPr id="0" name=""/>
        <dsp:cNvSpPr/>
      </dsp:nvSpPr>
      <dsp:spPr>
        <a:xfrm>
          <a:off x="3876109"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Observations</a:t>
          </a:r>
        </a:p>
      </dsp:txBody>
      <dsp:txXfrm>
        <a:off x="3892318" y="425294"/>
        <a:ext cx="889962" cy="52101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FAF84B-E84F-4E3F-8938-E68544D608B9}">
      <dsp:nvSpPr>
        <dsp:cNvPr id="0" name=""/>
        <dsp:cNvSpPr/>
      </dsp:nvSpPr>
      <dsp:spPr>
        <a:xfrm>
          <a:off x="2109"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Confirmation</a:t>
          </a:r>
        </a:p>
      </dsp:txBody>
      <dsp:txXfrm>
        <a:off x="18318" y="425294"/>
        <a:ext cx="889962" cy="521010"/>
      </dsp:txXfrm>
    </dsp:sp>
    <dsp:sp modelId="{B74EA64A-9E18-4B97-8D0E-99A283DEDF4C}">
      <dsp:nvSpPr>
        <dsp:cNvPr id="0" name=""/>
        <dsp:cNvSpPr/>
      </dsp:nvSpPr>
      <dsp:spPr>
        <a:xfrm>
          <a:off x="1016728" y="571424"/>
          <a:ext cx="195544" cy="228750"/>
        </a:xfrm>
        <a:prstGeom prst="righ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1016728" y="617174"/>
        <a:ext cx="136881" cy="137250"/>
      </dsp:txXfrm>
    </dsp:sp>
    <dsp:sp modelId="{004E589F-68EF-4564-8801-EC8D9F43C88F}">
      <dsp:nvSpPr>
        <dsp:cNvPr id="0" name=""/>
        <dsp:cNvSpPr/>
      </dsp:nvSpPr>
      <dsp:spPr>
        <a:xfrm>
          <a:off x="1293442"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Observations</a:t>
          </a:r>
        </a:p>
      </dsp:txBody>
      <dsp:txXfrm>
        <a:off x="1309651" y="425294"/>
        <a:ext cx="889962" cy="521010"/>
      </dsp:txXfrm>
    </dsp:sp>
    <dsp:sp modelId="{F9ACF4BC-9475-4753-A307-FEE09CFA9D1E}">
      <dsp:nvSpPr>
        <dsp:cNvPr id="0" name=""/>
        <dsp:cNvSpPr/>
      </dsp:nvSpPr>
      <dsp:spPr>
        <a:xfrm>
          <a:off x="2308061" y="571424"/>
          <a:ext cx="195544" cy="228750"/>
        </a:xfrm>
        <a:prstGeom prst="righ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308061" y="617174"/>
        <a:ext cx="136881" cy="137250"/>
      </dsp:txXfrm>
    </dsp:sp>
    <dsp:sp modelId="{DDE00278-4BB9-4084-9987-FADE24911F64}">
      <dsp:nvSpPr>
        <dsp:cNvPr id="0" name=""/>
        <dsp:cNvSpPr/>
      </dsp:nvSpPr>
      <dsp:spPr>
        <a:xfrm>
          <a:off x="2584776"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Hypothesis</a:t>
          </a:r>
        </a:p>
      </dsp:txBody>
      <dsp:txXfrm>
        <a:off x="2600985" y="425294"/>
        <a:ext cx="889962" cy="521010"/>
      </dsp:txXfrm>
    </dsp:sp>
    <dsp:sp modelId="{39FA5A11-9A6A-49C1-BD86-58C39233E19C}">
      <dsp:nvSpPr>
        <dsp:cNvPr id="0" name=""/>
        <dsp:cNvSpPr/>
      </dsp:nvSpPr>
      <dsp:spPr>
        <a:xfrm>
          <a:off x="3599395" y="571424"/>
          <a:ext cx="195544" cy="228750"/>
        </a:xfrm>
        <a:prstGeom prst="rightArrow">
          <a:avLst>
            <a:gd name="adj1" fmla="val 60000"/>
            <a:gd name="adj2" fmla="val 50000"/>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3599395" y="617174"/>
        <a:ext cx="136881" cy="137250"/>
      </dsp:txXfrm>
    </dsp:sp>
    <dsp:sp modelId="{E8CD6A48-86C2-4F75-9F71-38F93E927180}">
      <dsp:nvSpPr>
        <dsp:cNvPr id="0" name=""/>
        <dsp:cNvSpPr/>
      </dsp:nvSpPr>
      <dsp:spPr>
        <a:xfrm>
          <a:off x="3876109" y="409085"/>
          <a:ext cx="922380" cy="553428"/>
        </a:xfrm>
        <a:prstGeom prst="roundRect">
          <a:avLst>
            <a:gd name="adj" fmla="val 10000"/>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Theory</a:t>
          </a:r>
        </a:p>
      </dsp:txBody>
      <dsp:txXfrm>
        <a:off x="3892318" y="425294"/>
        <a:ext cx="889962" cy="521010"/>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2.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13.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1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arrow3">
  <dgm:title val=""/>
  <dgm:desc val=""/>
  <dgm:catLst>
    <dgm:cat type="relationship" pri="5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none"/>
      <dgm:param type="vertAlign" val="none"/>
    </dgm:alg>
    <dgm:shape xmlns:r="http://schemas.openxmlformats.org/officeDocument/2006/relationships" r:blip="">
      <dgm:adjLst/>
    </dgm:shape>
    <dgm:presOf/>
    <dgm:choose name="Name0">
      <dgm:if name="Name1" func="var" arg="dir" op="equ" val="norm">
        <dgm:choose name="Name2">
          <dgm:if name="Name3"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l" for="ch" forName="downArrow" refType="w" fact="0.1"/>
              <dgm:constr type="t" for="ch" forName="downArrow" refType="h" fact="0.05"/>
              <dgm:constr type="lOff" for="ch" forName="downArrow" refType="w" fact="0.02"/>
              <dgm:constr type="w" for="ch" forName="downArrowText" refType="w" fact="0.32"/>
              <dgm:constr type="h" for="ch" forName="downArrowText" refType="h" fact="0.42"/>
              <dgm:constr type="t" for="ch" forName="downArrowText"/>
              <dgm:constr type="r" for="ch" forName="downArrowText" refType="w" fact="0.85"/>
              <dgm:constr type="w" for="ch" forName="upArrow" refType="w" fact="0.3"/>
              <dgm:constr type="h" for="ch" forName="upArrow" refType="h" fact="0.4"/>
              <dgm:constr type="b" for="ch" forName="upArrow" refType="h" fact="0.95"/>
              <dgm:constr type="r" for="ch" forName="upArrow" refType="w" fact="0.9"/>
              <dgm:constr type="rOff" for="ch" forName="upArrow" refType="w" fact="-0.02"/>
              <dgm:constr type="w" for="ch" forName="upArrowText" refType="w" fact="0.32"/>
              <dgm:constr type="h" for="ch" forName="upArrowText" refType="h" fact="0.42"/>
              <dgm:constr type="b" for="ch" forName="upArrowText" refType="h"/>
              <dgm:constr type="l" for="ch" forName="upArrowText" refType="w" fact="0.15"/>
              <dgm:constr type="primFontSz" for="ch" ptType="node" op="equ" val="65"/>
            </dgm:constrLst>
          </dgm:if>
          <dgm:else name="Name4">
            <dgm:constrLst>
              <dgm:constr type="w" for="ch" forName="downArrow" refType="w" fact="0.4"/>
              <dgm:constr type="h" for="ch" forName="downArrow" refType="h" fact="0.8"/>
              <dgm:constr type="l" for="ch" forName="downArrow" refType="w" fact="0.02"/>
              <dgm:constr type="t" for="ch" forName="downArrow" refType="h" fact="0.05"/>
              <dgm:constr type="lOff" for="ch" forName="downArrow" refType="w" fact="0.02"/>
              <dgm:constr type="w" for="ch" forName="downArrowText" refType="w" fact="0.5"/>
              <dgm:constr type="h" for="ch" forName="downArrowText" refType="h"/>
              <dgm:constr type="t" for="ch" forName="downArrowText"/>
              <dgm:constr type="r" for="ch" forName="downArrowText" refType="w"/>
              <dgm:constr type="primFontSz" for="ch" ptType="node" op="equ" val="65"/>
            </dgm:constrLst>
          </dgm:else>
        </dgm:choose>
      </dgm:if>
      <dgm:else name="Name5">
        <dgm:choose name="Name6">
          <dgm:if name="Name7"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r" for="ch" forName="downArrow" refType="w" fact="0.9"/>
              <dgm:constr type="t" for="ch" forName="downArrow" refType="h" fact="0.05"/>
              <dgm:constr type="rOff" for="ch" forName="downArrow" refType="w" fact="-0.02"/>
              <dgm:constr type="w" for="ch" forName="downArrowText" refType="w" fact="0.32"/>
              <dgm:constr type="h" for="ch" forName="downArrowText" refType="h" fact="0.42"/>
              <dgm:constr type="t" for="ch" forName="downArrowText"/>
              <dgm:constr type="l" for="ch" forName="downArrowText" refType="w" fact="0.15"/>
              <dgm:constr type="w" for="ch" forName="upArrow" refType="w" fact="0.3"/>
              <dgm:constr type="h" for="ch" forName="upArrow" refType="h" fact="0.4"/>
              <dgm:constr type="b" for="ch" forName="upArrow" refType="h" fact="0.95"/>
              <dgm:constr type="l" for="ch" forName="upArrow" refType="w" fact="0.1"/>
              <dgm:constr type="lOff" for="ch" forName="upArrow" refType="w" fact="0.02"/>
              <dgm:constr type="w" for="ch" forName="upArrowText" refType="w" fact="0.32"/>
              <dgm:constr type="h" for="ch" forName="upArrowText" refType="h" fact="0.42"/>
              <dgm:constr type="b" for="ch" forName="upArrowText" refType="h"/>
              <dgm:constr type="r" for="ch" forName="upArrowText" refType="w" fact="0.85"/>
              <dgm:constr type="primFontSz" for="ch" ptType="node" op="equ" val="65"/>
            </dgm:constrLst>
          </dgm:if>
          <dgm:else name="Name8">
            <dgm:constrLst>
              <dgm:constr type="w" for="ch" forName="downArrow" refType="w" fact="0.4"/>
              <dgm:constr type="h" for="ch" forName="downArrow" refType="h" fact="0.8"/>
              <dgm:constr type="r" for="ch" forName="downArrow" refType="w" fact="0.98"/>
              <dgm:constr type="t" for="ch" forName="downArrow" refType="h" fact="0.05"/>
              <dgm:constr type="rOff" for="ch" forName="downArrow" refType="w" fact="-0.02"/>
              <dgm:constr type="w" for="ch" forName="downArrowText" refType="w" fact="0.5"/>
              <dgm:constr type="h" for="ch" forName="downArrowText" refType="h"/>
              <dgm:constr type="t" for="ch" forName="downArrowText"/>
              <dgm:constr type="l" for="ch" forName="downArrowText"/>
              <dgm:constr type="primFontSz" for="ch" ptType="node" op="equ" val="65"/>
            </dgm:constrLst>
          </dgm:else>
        </dgm:choose>
      </dgm:else>
    </dgm:choose>
    <dgm:ruleLst/>
    <dgm:choose name="Name9">
      <dgm:if name="Name10" axis="ch" ptType="node" func="cnt" op="gte" val="2">
        <dgm:layoutNode name="divider" styleLbl="fgShp">
          <dgm:alg type="sp"/>
          <dgm:choose name="Name11">
            <dgm:if name="Name12" func="var" arg="dir" op="equ" val="norm">
              <dgm:shape xmlns:r="http://schemas.openxmlformats.org/officeDocument/2006/relationships" rot="-5" type="mathMinus" r:blip="">
                <dgm:adjLst/>
              </dgm:shape>
            </dgm:if>
            <dgm:else name="Name13">
              <dgm:shape xmlns:r="http://schemas.openxmlformats.org/officeDocument/2006/relationships" rot="5" type="mathMinus" r:blip="">
                <dgm:adjLst/>
              </dgm:shape>
            </dgm:else>
          </dgm:choose>
          <dgm:presOf/>
          <dgm:constrLst/>
          <dgm:ruleLst/>
        </dgm:layoutNode>
      </dgm:if>
      <dgm:else name="Name14"/>
    </dgm:choose>
    <dgm:forEach name="Name15" axis="ch" ptType="node" cnt="1">
      <dgm:layoutNode name="downArrow" styleLbl="node1">
        <dgm:alg type="sp"/>
        <dgm:shape xmlns:r="http://schemas.openxmlformats.org/officeDocument/2006/relationships" type="downArrow" r:blip="">
          <dgm:adjLst/>
        </dgm:shape>
        <dgm:presOf/>
        <dgm:constrLst/>
        <dgm:ruleLst/>
      </dgm:layoutNode>
      <dgm:layoutNode name="down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forEach name="Name16" axis="ch" ptType="node" st="2" cnt="1">
      <dgm:layoutNode name="upArrow" styleLbl="node1">
        <dgm:alg type="sp"/>
        <dgm:shape xmlns:r="http://schemas.openxmlformats.org/officeDocument/2006/relationships" type="upArrow" r:blip="">
          <dgm:adjLst/>
        </dgm:shape>
        <dgm:presOf/>
        <dgm:constrLst/>
        <dgm:ruleLst/>
      </dgm:layoutNode>
      <dgm:layoutNode name="up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layoutNode>
</dgm:layoutDef>
</file>

<file path=word/diagrams/layout16.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0.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layout23.xml><?xml version="1.0" encoding="utf-8"?>
<dgm:layoutDef xmlns:dgm="http://schemas.openxmlformats.org/drawingml/2006/diagram" xmlns:a="http://schemas.openxmlformats.org/drawingml/2006/main" uniqueId="urn:microsoft.com/office/officeart/2009/3/layout/PlusandMinus">
  <dgm:title val=""/>
  <dgm:desc val=""/>
  <dgm:catLst>
    <dgm:cat type="relationship" pri="3600"/>
  </dgm:catLst>
  <dgm:samp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clrData>
  <dgm:layoutNode name="Name0">
    <dgm:varLst>
      <dgm:chMax val="2"/>
      <dgm:chPref val="2"/>
      <dgm:dir/>
      <dgm:animOne/>
      <dgm:resizeHandles val="exact"/>
    </dgm:varLst>
    <dgm:alg type="composite">
      <dgm:param type="ar" val="1.8238"/>
    </dgm:alg>
    <dgm:shape xmlns:r="http://schemas.openxmlformats.org/officeDocument/2006/relationships" r:blip="">
      <dgm:adjLst/>
    </dgm:shape>
    <dgm:choose name="Name1">
      <dgm:if name="Name2" func="var" arg="dir" op="equ" val="norm">
        <dgm:constrLst>
          <dgm:constr type="primFontSz" for="des" ptType="node" op="equ" val="65"/>
          <dgm:constr type="l" for="ch" forName="Background" refType="w" fact="0.09"/>
          <dgm:constr type="t" for="ch" forName="Background" refType="h" fact="0.1641"/>
          <dgm:constr type="w" for="ch" forName="Background" refType="w" fact="0.87"/>
          <dgm:constr type="h" for="ch" forName="Background" refType="h" fact="0.82"/>
          <dgm:constr type="l" for="ch" forName="ParentText1" refType="w" fact="0.116"/>
          <dgm:constr type="t" for="ch" forName="ParentText1" refType="h" fact="0.26"/>
          <dgm:constr type="w" for="ch" forName="ParentText1" refType="w" fact="0.404"/>
          <dgm:constr type="h" for="ch" forName="ParentText1" refType="h" fact="0.7015"/>
          <dgm:constr type="l" for="ch" forName="ParentText2" refType="w" fact="0.529"/>
          <dgm:constr type="t" for="ch" forName="ParentText2" refType="h" fact="0.26"/>
          <dgm:constr type="w" for="ch" forName="ParentText2" refType="w" fact="0.404"/>
          <dgm:constr type="h" for="ch" forName="ParentText2" refType="h" fact="0.7015"/>
          <dgm:constr type="l" for="ch" forName="Plus" refType="w" fact="0"/>
          <dgm:constr type="t" for="ch" forName="Plus" refType="h" fact="0"/>
          <dgm:constr type="w" for="ch" forName="Plus" refType="w" fact="0.17"/>
          <dgm:constr type="h" for="ch" forName="Plus" refType="w" refFor="ch" refForName="Plus"/>
          <dgm:constr type="l" for="ch" forName="Minus" refType="w" fact="0.84"/>
          <dgm:constr type="t" for="ch" forName="Minus" refType="h" fact="0.1115"/>
          <dgm:constr type="w" for="ch" forName="Minus" refType="w" fact="0.16"/>
          <dgm:constr type="h" for="ch" forName="Minus" refType="h" fact="0.1"/>
          <dgm:constr type="l" for="ch" forName="Divider" refType="w" fact="0.525"/>
          <dgm:constr type="t" for="ch" forName="Divider" refType="h" fact="0.2615"/>
          <dgm:constr type="w" for="ch" forName="Divider" refType="w" fact="0.0001"/>
          <dgm:constr type="h" for="ch" forName="Divider" refType="h" fact="0.67"/>
        </dgm:constrLst>
      </dgm:if>
      <dgm:else name="Name3">
        <dgm:constrLst>
          <dgm:constr type="primFontSz" for="des" ptType="node" op="equ" val="65"/>
          <dgm:constr type="r" for="ch" forName="Background" refType="w" fact="-0.09"/>
          <dgm:constr type="t" for="ch" forName="Background" refType="h" fact="0.1641"/>
          <dgm:constr type="w" for="ch" forName="Background" refType="w" fact="0.87"/>
          <dgm:constr type="h" for="ch" forName="Background" refType="h" fact="0.82"/>
          <dgm:constr type="r" for="ch" forName="ParentText1" refType="w" fact="-0.116"/>
          <dgm:constr type="t" for="ch" forName="ParentText1" refType="h" fact="0.26"/>
          <dgm:constr type="w" for="ch" forName="ParentText1" refType="w" fact="0.404"/>
          <dgm:constr type="h" for="ch" forName="ParentText1" refType="h" fact="0.7015"/>
          <dgm:constr type="r" for="ch" forName="ParentText2" refType="w" fact="-0.529"/>
          <dgm:constr type="t" for="ch" forName="ParentText2" refType="h" fact="0.26"/>
          <dgm:constr type="w" for="ch" forName="ParentText2" refType="w" fact="0.404"/>
          <dgm:constr type="h" for="ch" forName="ParentText2" refType="h" fact="0.7015"/>
          <dgm:constr type="r" for="ch" forName="Plus" refType="w" fact="0"/>
          <dgm:constr type="t" for="ch" forName="Plus" refType="h" fact="0"/>
          <dgm:constr type="w" for="ch" forName="Plus" refType="w" fact="0.17"/>
          <dgm:constr type="h" for="ch" forName="Plus" refType="w" refFor="ch" refForName="Plus"/>
          <dgm:constr type="r" for="ch" forName="Minus" refType="w" fact="-0.84"/>
          <dgm:constr type="t" for="ch" forName="Minus" refType="h" fact="0.1115"/>
          <dgm:constr type="w" for="ch" forName="Minus" refType="w" fact="0.16"/>
          <dgm:constr type="h" for="ch" forName="Minus" refType="h" fact="0.1"/>
          <dgm:constr type="r" for="ch" forName="Divider" refType="w" fact="-0.525"/>
          <dgm:constr type="t" for="ch" forName="Divider" refType="h" fact="0.2615"/>
          <dgm:constr type="w" for="ch" forName="Divider" refType="w" fact="0.0001"/>
          <dgm:constr type="h" for="ch" forName="Divider" refType="h" fact="0.67"/>
        </dgm:constrLst>
      </dgm:else>
    </dgm:choose>
    <dgm:layoutNode name="Background" styleLbl="bgImgPlace1">
      <dgm:alg type="sp"/>
      <dgm:shape xmlns:r="http://schemas.openxmlformats.org/officeDocument/2006/relationships" type="rect" r:blip="">
        <dgm:adjLst/>
      </dgm:shape>
      <dgm:presOf/>
    </dgm:layoutNode>
    <dgm:layoutNode name="ParentText1"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1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Text2"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2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lus" styleLbl="alignNode1">
      <dgm:alg type="sp"/>
      <dgm:shape xmlns:r="http://schemas.openxmlformats.org/officeDocument/2006/relationships" type="plus" r:blip="">
        <dgm:adjLst>
          <dgm:adj idx="1" val="0.3281"/>
        </dgm:adjLst>
      </dgm:shape>
      <dgm:presOf/>
    </dgm:layoutNode>
    <dgm:layoutNode name="Minus" styleLbl="alignNode1">
      <dgm:alg type="sp"/>
      <dgm:shape xmlns:r="http://schemas.openxmlformats.org/officeDocument/2006/relationships" type="rect" r:blip="">
        <dgm:adjLst/>
      </dgm:shape>
      <dgm:presOf/>
    </dgm:layoutNode>
    <dgm:layoutNode name="Divider" styleLbl="parChTrans1D1">
      <dgm:alg type="sp"/>
      <dgm:shape xmlns:r="http://schemas.openxmlformats.org/officeDocument/2006/relationships" type="line" r:blip="">
        <dgm:adjLst/>
      </dgm:shape>
      <dgm:presOf/>
    </dgm:layoutNode>
  </dgm:layoutNode>
</dgm:layoutDef>
</file>

<file path=word/diagrams/layout24.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8.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June 2024</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Volume>34</b:Volume>
    <b:BIBTEX_Entry>article</b:BIBTEX_Entry>
    <b:SourceType>JournalArticle</b:SourceType>
    <b:Title>Number of siblings and friendship nominations among adolescents</b:Title>
    <b:Tag>bobbitt-zeher_number_2013</b:Tag>
    <b:Author>
      <b:Author>
        <b:NameList>
          <b:Person>
            <b:Last>Bobbitt-Zeher</b:Last>
            <b:First>Donna</b:First>
          </b:Person>
          <b:Person>
            <b:Last>Downey</b:Last>
            <b:Middle>B.</b:Middle>
            <b:First>Douglas</b:First>
          </b:Person>
        </b:NameList>
      </b:Author>
    </b:Author>
    <b:Pages>1175–1193</b:Pages>
    <b:Year>2013</b:Year>
    <b:JournalName>Journal of Family Issues</b:JournalName>
    <b:Number>9</b:Number>
    <b:RefOrder>2</b:RefOrder>
  </b:Source>
  <b:Source>
    <b:BIBTEX_Entry>book</b:BIBTEX_Entry>
    <b:SourceType>Book</b:SourceType>
    <b:Title>In the shadow of illness: Parents and siblings of the chronically ill child</b:Title>
    <b:Tag>bluebond-langner_shadow_2000</b:Tag>
    <b:Publisher>Princeton University Press</b:Publisher>
    <b:Author>
      <b:Author>
        <b:NameList>
          <b:Person>
            <b:Last>Bluebond-Langner</b:Last>
            <b:First>Myra</b:First>
          </b:Person>
        </b:NameList>
      </b:Author>
    </b:Author>
    <b:Year>2000</b:Year>
    <b:RefOrder>3</b:RefOrder>
  </b:Source>
  <b:Source>
    <b:Volume>28</b:Volume>
    <b:BIBTEX_Entry>article</b:BIBTEX_Entry>
    <b:SourceType>JournalArticle</b:SourceType>
    <b:Title>Racial violence in the United States</b:Title>
    <b:Tag>blee_racial_2005</b:Tag>
    <b:Author>
      <b:Author>
        <b:NameList>
          <b:Person>
            <b:Last>Blee</b:Last>
            <b:Middle>M.</b:Middle>
            <b:First>Kathleen</b:First>
          </b:Person>
        </b:NameList>
      </b:Author>
    </b:Author>
    <b:Pages>599–619</b:Pages>
    <b:Year>2005</b:Year>
    <b:JournalName>Ethnic and Racial Studies</b:JournalName>
    <b:Number>4</b:Number>
    <b:RefOrder>4</b:RefOrder>
  </b:Source>
  <b:Source>
    <b:BIBTEX_Entry>book</b:BIBTEX_Entry>
    <b:SourceType>Book</b:SourceType>
    <b:Title>Principles of sociological inquiry–qualitative and quantitative methods</b:Title>
    <b:Tag>blackstone_principles_2012</b:Tag>
    <b:Publisher>The Saylor Foundation</b:Publisher>
    <b:Author>
      <b:Author>
        <b:NameList>
          <b:Person>
            <b:Last>Blackstone</b:Last>
            <b:First>Amy</b:First>
          </b:Person>
        </b:NameList>
      </b:Author>
    </b:Author>
    <b:Year>2012</b:Year>
    <b:RefOrder>5</b:RefOrder>
  </b:Source>
  <b:Source>
    <b:BIBTEX_Entry>book</b:BIBTEX_Entry>
    <b:SourceType>Book</b:SourceType>
    <b:Title>The Belmont report: Ethical principles and guidelines for the protection of human subjects of research</b:Title>
    <b:Tag>biomedical_belmont_1978</b:Tag>
    <b:Publisher>Superintendent of Documents</b:Publisher>
    <b:Author>
      <b:Author>
        <b:NameList>
          <b:Person>
            <b:Last>Biomedical</b:Last>
            <b:Middle>Commission for the Proptection of Human Subjects of</b:Middle>
            <b:First>National</b:First>
          </b:Person>
          <b:Person>
            <b:Last>Behavioral Research</b:Last>
            <b:First>Md</b:First>
          </b:Person>
        </b:NameList>
      </b:Author>
    </b:Author>
    <b:Year>1978</b:Year>
    <b:RefOrder>1</b:RefOrder>
  </b:Source>
  <b:Source>
    <b:BIBTEX_Entry>article</b:BIBTEX_Entry>
    <b:SourceType>JournalArticle</b:SourceType>
    <b:Title>Using grounded theory method for theory building in operations management research</b:Title>
    <b:Tag>binder_using_2010</b:Tag>
    <b:Author>
      <b:Author>
        <b:NameList>
          <b:Person>
            <b:Last>Binder</b:Last>
            <b:First>Mario</b:First>
          </b:Person>
          <b:Person>
            <b:Last>Edwards</b:Last>
            <b:Middle>S.</b:Middle>
            <b:First>John</b:First>
          </b:Person>
        </b:NameList>
      </b:Author>
    </b:Author>
    <b:Year>2010</b:Year>
    <b:JournalName>International Journal of Operations &amp; Production Management</b:JournalName>
    <b:RefOrder>6</b:RefOrder>
  </b:Source>
  <b:Source>
    <b:BIBTEX_Entry>article</b:BIBTEX_Entry>
    <b:SourceType>JournalArticle</b:SourceType>
    <b:Title>Social science research: Principles, methods, and practices</b:Title>
    <b:Tag>bhattacherjee_social_2012</b:Tag>
    <b:Author>
      <b:Author>
        <b:NameList>
          <b:Person>
            <b:Last>Bhattacherjee</b:Last>
            <b:First>Anol</b:First>
          </b:Person>
        </b:NameList>
      </b:Author>
    </b:Author>
    <b:Year>2012</b:Year>
    <b:RefOrder>7</b:RefOrder>
  </b:Source>
  <b:Source>
    <b:Volume>40</b:Volume>
    <b:BIBTEX_Entry>article</b:BIBTEX_Entry>
    <b:SourceType>JournalArticle</b:SourceType>
    <b:Title>Communication channels and word of mouth: How the medium shapes the message</b:Title>
    <b:Tag>berger_communication_2013</b:Tag>
    <b:Author>
      <b:Author>
        <b:NameList>
          <b:Person>
            <b:Last>Berger</b:Last>
            <b:First>Jonah</b:First>
          </b:Person>
          <b:Person>
            <b:Last>Iyengar</b:Last>
            <b:First>Raghuram</b:First>
          </b:Person>
        </b:NameList>
      </b:Author>
    </b:Author>
    <b:Pages>567–579</b:Pages>
    <b:Year>2013</b:Year>
    <b:JournalName>Journal of consumer research</b:JournalName>
    <b:Number>3</b:Number>
    <b:RefOrder>8</b:RefOrder>
  </b:Source>
  <b:Source>
    <b:BIBTEX_Entry>article</b:BIBTEX_Entry>
    <b:SourceType>JournalArticle</b:SourceType>
    <b:Title>The case research strategy in studies of information systems</b:Title>
    <b:Tag>benbasat_case_1987</b:Tag>
    <b:Author>
      <b:Author>
        <b:NameList>
          <b:Person>
            <b:Last>Benbasat</b:Last>
            <b:First>Izak</b:First>
          </b:Person>
          <b:Person>
            <b:Last>Goldstein</b:Last>
            <b:Middle>K.</b:Middle>
            <b:First>David</b:First>
          </b:Person>
          <b:Person>
            <b:Last>Mead</b:Last>
            <b:First>Melissa</b:First>
          </b:Person>
        </b:NameList>
      </b:Author>
    </b:Author>
    <b:Pages>369–386</b:Pages>
    <b:Year>1987</b:Year>
    <b:JournalName>MIS quarterly</b:JournalName>
    <b:RefOrder>9</b:RefOrder>
  </b:Source>
  <b:Source>
    <b:BIBTEX_Entry>book</b:BIBTEX_Entry>
    <b:SourceType>Book</b:SourceType>
    <b:Title>Business research methods</b:Title>
    <b:Tag>bell_business_2015</b:Tag>
    <b:Publisher>Oxford university press</b:Publisher>
    <b:Author>
      <b:Author>
        <b:NameList>
          <b:Person>
            <b:Last>Bell</b:Last>
            <b:First>Emma</b:First>
          </b:Person>
          <b:Person>
            <b:Last>Bryman</b:Last>
            <b:First>Alan</b:First>
          </b:Person>
        </b:NameList>
      </b:Author>
    </b:Author>
    <b:Year>2015</b:Year>
    <b:RefOrder>10</b:RefOrder>
  </b:Source>
  <b:Source>
    <b:Volume>28</b:Volume>
    <b:BIBTEX_Entry>article</b:BIBTEX_Entry>
    <b:SourceType>JournalArticle</b:SourceType>
    <b:Title>Consumer self-confidence: Refinements in conceptualization and measurement</b:Title>
    <b:Tag>bearden_consumer_2001</b:Tag>
    <b:Author>
      <b:Author>
        <b:NameList>
          <b:Person>
            <b:Last>Bearden</b:Last>
            <b:Middle>O.</b:Middle>
            <b:First>William</b:First>
          </b:Person>
          <b:Person>
            <b:Last>Hardesty</b:Last>
            <b:Middle>M.</b:Middle>
            <b:First>David</b:First>
          </b:Person>
          <b:Person>
            <b:Last>Rose</b:Last>
            <b:Middle>L.</b:Middle>
            <b:First>Randall</b:First>
          </b:Person>
        </b:NameList>
      </b:Author>
    </b:Author>
    <b:Pages>121–134</b:Pages>
    <b:Year>2001</b:Year>
    <b:JournalName>Journal of consumer research</b:JournalName>
    <b:Number>1</b:Number>
    <b:RefOrder>11</b:RefOrder>
  </b:Source>
  <b:Source>
    <b:Volume>43</b:Volume>
    <b:BIBTEX_Entry>article</b:BIBTEX_Entry>
    <b:SourceType>JournalArticle</b:SourceType>
    <b:Title>Why companies go green: A model of ecological responsiveness</b:Title>
    <b:Tag>bansal_why_2000</b:Tag>
    <b:Author>
      <b:Author>
        <b:NameList>
          <b:Person>
            <b:Last>Bansal</b:Last>
            <b:First>Pratima</b:First>
          </b:Person>
          <b:Person>
            <b:Last>Roth</b:Last>
            <b:First>Kendall</b:First>
          </b:Person>
        </b:NameList>
      </b:Author>
    </b:Author>
    <b:Pages>717–736</b:Pages>
    <b:Year>2000</b:Year>
    <b:JournalName>Academy of management journal</b:JournalName>
    <b:Number>4</b:Number>
    <b:RefOrder>12</b:RefOrder>
  </b:Source>
  <b:Source>
    <b:Volume>55</b:Volume>
    <b:BIBTEX_Entry>article</b:BIBTEX_Entry>
    <b:SourceType>JournalArticle</b:SourceType>
    <b:Title>Observation: A complex research method</b:Title>
    <b:Tag>baker_observation_2006</b:Tag>
    <b:Author>
      <b:Author>
        <b:NameList>
          <b:Person>
            <b:Last>Baker</b:Last>
            <b:First>Lynda</b:First>
          </b:Person>
        </b:NameList>
      </b:Author>
    </b:Author>
    <b:Pages>171–189</b:Pages>
    <b:Year>2006</b:Year>
    <b:JournalName>Library trends</b:JournalName>
    <b:Number>1</b:Number>
    <b:RefOrder>13</b:RefOrder>
  </b:Source>
  <b:Source>
    <b:Volume>14</b:Volume>
    <b:BIBTEX_Entry>article</b:BIBTEX_Entry>
    <b:SourceType>JournalArticle</b:SourceType>
    <b:Title>Organizational theories: Some criteria for evaluation</b:Title>
    <b:Tag>bacharach_organizational_1989</b:Tag>
    <b:Author>
      <b:Author>
        <b:NameList>
          <b:Person>
            <b:Last>Bacharach</b:Last>
            <b:Middle>B.</b:Middle>
            <b:First>Samuel</b:First>
          </b:Person>
        </b:NameList>
      </b:Author>
    </b:Author>
    <b:Pages>496–515</b:Pages>
    <b:Year>1989</b:Year>
    <b:JournalName>Academy of management review</b:JournalName>
    <b:Number>4</b:Number>
    <b:RefOrder>14</b:RefOrder>
  </b:Source>
  <b:Source>
    <b:Volume>320</b:Volume>
    <b:BIBTEX_Entry>article</b:BIBTEX_Entry>
    <b:SourceType>JournalArticle</b:SourceType>
    <b:Title>Unobtrusive research</b:Title>
    <b:Tag>babbie_unobtrusive_2010</b:Tag>
    <b:Author>
      <b:Author>
        <b:NameList>
          <b:Person>
            <b:Last>Babbie</b:Last>
            <b:First>Earl</b:First>
          </b:Person>
          <b:Person>
            <b:Last>Wagenaar</b:Last>
            <b:First>T.</b:First>
          </b:Person>
        </b:NameList>
      </b:Author>
    </b:Author>
    <b:Year>2010</b:Year>
    <b:JournalName>The practice of social research</b:JournalName>
    <b:RefOrder>15</b:RefOrder>
  </b:Source>
  <b:Source>
    <b:BIBTEX_Entry>article</b:BIBTEX_Entry>
    <b:SourceType>JournalArticle</b:SourceType>
    <b:Title>The practice of social research (ed.)</b:Title>
    <b:Tag>babbie_practice_2010</b:Tag>
    <b:Author>
      <b:Author>
        <b:NameList>
          <b:Person>
            <b:Last>Babbie</b:Last>
            <b:First>Earl</b:First>
          </b:Person>
        </b:NameList>
      </b:Author>
    </b:Author>
    <b:Year>2010</b:Year>
    <b:JournalName>Wadsworth: Nelson Education Ltd</b:JournalName>
    <b:RefOrder>16</b:RefOrder>
  </b:Source>
  <b:Source>
    <b:BIBTEX_Entry>online</b:BIBTEX_Entry>
    <b:SourceType>InternetSite</b:SourceType>
    <b:Title>Code of Marketing Research Standards</b:Title>
    <b:Tag>association_code_2018</b:Tag>
    <b:URL>https://www.insightsassociation.org/issues-policies/mra-code-marketing-research-standards</b:URL>
    <b:Author>
      <b:Author>
        <b:NameList>
          <b:Person>
            <b:Last>Association</b:Last>
            <b:Middle>Research</b:Middle>
            <b:First>Marketing</b:First>
          </b:Person>
        </b:NameList>
      </b:Author>
    </b:Author>
    <b:Year>2018</b:Year>
    <b:InternetSiteTitle>Code of Marketing Research Standards</b:InternetSiteTitle>
    <b:RefOrder>17</b:RefOrder>
  </b:Source>
  <b:Source>
    <b:Volume>63</b:Volume>
    <b:BIBTEX_Entry>article</b:BIBTEX_Entry>
    <b:SourceType>JournalArticle</b:SourceType>
    <b:Title>The neglected 95%: why American psychology needs to become less American.</b:Title>
    <b:Tag>arnett_neglected_2008</b:Tag>
    <b:Author>
      <b:Author>
        <b:NameList>
          <b:Person>
            <b:Last>Arnett</b:Last>
            <b:Middle>J.</b:Middle>
            <b:First>Jeffrey</b:First>
          </b:Person>
        </b:NameList>
      </b:Author>
    </b:Author>
    <b:Pages>602</b:Pages>
    <b:Year>2008</b:Year>
    <b:JournalName>American Psychologist</b:JournalName>
    <b:Number>7</b:Number>
    <b:RefOrder>18</b:RefOrder>
  </b:Source>
  <b:Source>
    <b:Volume>18</b:Volume>
    <b:BIBTEX_Entry>article</b:BIBTEX_Entry>
    <b:SourceType>JournalArticle</b:SourceType>
    <b:Title>The Influence of Power Shifts in Data Collection and Analysis Stages: A Focus on Qualitative Research Interview.</b:Title>
    <b:Tag>anyan_influence_2013</b:Tag>
    <b:Author>
      <b:Author>
        <b:NameList>
          <b:Person>
            <b:Last>Anyan</b:Last>
            <b:First>Frederick</b:First>
          </b:Person>
        </b:NameList>
      </b:Author>
    </b:Author>
    <b:Pages>36</b:Pages>
    <b:Year>2013</b:Year>
    <b:JournalName>Qualitative Report</b:JournalName>
    <b:RefOrder>19</b:RefOrder>
  </b:Source>
  <b:Source>
    <b:Volume>104</b:Volume>
    <b:BIBTEX_Entry>article</b:BIBTEX_Entry>
    <b:SourceType>JournalArticle</b:SourceType>
    <b:Title>The short-run and long-run effects of behavioral interventions: Experimental evidence from energy conservation</b:Title>
    <b:Tag>allcott_short-run_2014</b:Tag>
    <b:Author>
      <b:Author>
        <b:NameList>
          <b:Person>
            <b:Last>Allcott</b:Last>
            <b:First>Hunt</b:First>
          </b:Person>
          <b:Person>
            <b:Last>Rogers</b:Last>
            <b:First>Todd</b:First>
          </b:Person>
        </b:NameList>
      </b:Author>
    </b:Author>
    <b:Pages>3003–37</b:Pages>
    <b:Year>2014</b:Year>
    <b:JournalName>American Economic Review</b:JournalName>
    <b:Number>10</b:Number>
    <b:RefOrder>20</b:RefOrder>
  </b:Source>
  <b:Source>
    <b:BIBTEX_Entry>incollection</b:BIBTEX_Entry>
    <b:SourceType>BookSection</b:SourceType>
    <b:Title>The market for “lemons”: Quality uncertainty and the market mechanism</b:Title>
    <b:Tag>akerlof_market_1978</b:Tag>
    <b:Publisher>Elsevier</b:Publisher>
    <b:BookTitle>Uncertainty in Economics</b:BookTitle>
    <b:Author>
      <b:Author>
        <b:NameList>
          <b:Person>
            <b:Last>Akerlof</b:Last>
            <b:Middle>A.</b:Middle>
            <b:First>George</b:First>
          </b:Person>
        </b:NameList>
      </b:Author>
    </b:Author>
    <b:Pages>235–251</b:Pages>
    <b:Year>1978</b:Year>
    <b:ConferenceName>Uncertainty in Economics</b:ConferenceName>
    <b:RefOrder>21</b:RefOrder>
  </b:Source>
  <b:Source>
    <b:BIBTEX_Entry>online</b:BIBTEX_Entry>
    <b:SourceType>InternetSite</b:SourceType>
    <b:Title>Grandma's Cooking Secret</b:Title>
    <b:Tag>snopes_grandmas_2005</b:Tag>
    <b:URL>https://www.snopes.com/fact-check/grandmas-cooking-secret/</b:URL>
    <b:Author>
      <b:Author>
        <b:Corporate>Snopes</b:Corporate>
      </b:Author>
    </b:Author>
    <b:Year>2005</b:Year>
    <b:InternetSiteTitle>Grandma's Cooking Secret</b:InternetSiteTitle>
    <b:RefOrder>22</b:RefOrder>
  </b:Source>
  <b:Source>
    <b:BIBTEX_Entry>article</b:BIBTEX_Entry>
    <b:SourceType>JournalArticle</b:SourceType>
    <b:Title>Reflections on the Stanford prison experiment: Genesis, transformations, consequences</b:Title>
    <b:Tag>zimbardo_reflections_2000</b:Tag>
    <b:Author>
      <b:Author>
        <b:NameList>
          <b:Person>
            <b:Last>Zimbardo</b:Last>
            <b:Middle>G.</b:Middle>
            <b:First>Philip</b:First>
          </b:Person>
          <b:Person>
            <b:Last>Maslach</b:Last>
            <b:First>Christina</b:First>
          </b:Person>
          <b:Person>
            <b:Last>Haney</b:Last>
            <b:First>Craig</b:First>
          </b:Person>
        </b:NameList>
      </b:Author>
    </b:Author>
    <b:Pages>193–237</b:Pages>
    <b:Year>2000</b:Year>
    <b:JournalName>Obedience to authority: Current perspectives on the Milgram paradigm</b:JournalName>
    <b:RefOrder>23</b:RefOrder>
  </b:Source>
  <b:Source>
    <b:Volume>33</b:Volume>
    <b:BIBTEX_Entry>article</b:BIBTEX_Entry>
    <b:SourceType>JournalArticle</b:SourceType>
    <b:Title>Critical success factors for small business: Perceptions of South Pacific entrepreneurs</b:Title>
    <b:Tag>yusuf_critical_1995</b:Tag>
    <b:Author>
      <b:Author>
        <b:NameList>
          <b:Person>
            <b:Last>Yusuf</b:Last>
            <b:First>Attahir</b:First>
          </b:Person>
        </b:NameList>
      </b:Author>
    </b:Author>
    <b:Pages>68</b:Pages>
    <b:Year>1995</b:Year>
    <b:JournalName>Journal of small business management</b:JournalName>
    <b:Number>2</b:Number>
    <b:RefOrder>24</b:RefOrder>
  </b:Source>
  <b:Source>
    <b:BIBTEX_Entry>book</b:BIBTEX_Entry>
    <b:SourceType>Book</b:SourceType>
    <b:Title>Case study research and applications: Design and methods</b:Title>
    <b:Tag>yin_case_2017</b:Tag>
    <b:Publisher>Sage publications</b:Publisher>
    <b:Author>
      <b:Author>
        <b:NameList>
          <b:Person>
            <b:Last>Yin</b:Last>
            <b:Middle>K.</b:Middle>
            <b:First>Robert</b:First>
          </b:Person>
        </b:NameList>
      </b:Author>
    </b:Author>
    <b:Year>2017</b:Year>
    <b:RefOrder>25</b:RefOrder>
  </b:Source>
  <b:Source>
    <b:Volume>22</b:Volume>
    <b:BIBTEX_Entry>article</b:BIBTEX_Entry>
    <b:SourceType>JournalArticle</b:SourceType>
    <b:Title>Comparing focus group and individual responses on sensitive topics: a study of water decision makers in a desert city</b:Title>
    <b:Tag>wutich_comparing_2010</b:Tag>
    <b:Author>
      <b:Author>
        <b:NameList>
          <b:Person>
            <b:Last>Wutich</b:Last>
            <b:First>Amber</b:First>
          </b:Person>
          <b:Person>
            <b:Last>Lant</b:Last>
            <b:First>Timothy</b:First>
          </b:Person>
          <b:Person>
            <b:Last>White</b:Last>
            <b:Middle>D.</b:Middle>
            <b:First>Dave</b:First>
          </b:Person>
          <b:Person>
            <b:Last>Larson</b:Last>
            <b:Middle>L.</b:Middle>
            <b:First>Kelli</b:First>
          </b:Person>
          <b:Person>
            <b:Last>Gartin</b:Last>
            <b:First>Meredith</b:First>
          </b:Person>
        </b:NameList>
      </b:Author>
    </b:Author>
    <b:Pages>88–110</b:Pages>
    <b:Year>2010</b:Year>
    <b:JournalName>Field Methods</b:JournalName>
    <b:Number>1</b:Number>
    <b:RefOrder>26</b:RefOrder>
  </b:Source>
  <b:Source>
    <b:Volume>31</b:Volume>
    <b:BIBTEX_Entry>article</b:BIBTEX_Entry>
    <b:SourceType>JournalArticle</b:SourceType>
    <b:Title>An empirical examination of the relationship between nonresponse rate and nonresponse bias</b:Title>
    <b:Tag>wright_empirical_2015</b:Tag>
    <b:Author>
      <b:Author>
        <b:NameList>
          <b:Person>
            <b:Last>Wright</b:Last>
            <b:First>Graham</b:First>
          </b:Person>
        </b:NameList>
      </b:Author>
    </b:Author>
    <b:Pages>305–315</b:Pages>
    <b:Year>2015</b:Year>
    <b:JournalName>Statistical Journal of the IAOS</b:JournalName>
    <b:Number>2</b:Number>
    <b:RefOrder>27</b:RefOrder>
  </b:Source>
  <b:Source>
    <b:Volume>9</b:Volume>
    <b:BIBTEX_Entry>article</b:BIBTEX_Entry>
    <b:SourceType>JournalArticle</b:SourceType>
    <b:Title>Examining social and emerging media use in public relations practice: A ten-year longitudinal analysis</b:Title>
    <b:Tag>wright_examining_2015</b:Tag>
    <b:Author>
      <b:Author>
        <b:NameList>
          <b:Person>
            <b:Last>Wright</b:Last>
            <b:Middle>K.</b:Middle>
            <b:First>Donald</b:First>
          </b:Person>
          <b:Person>
            <b:Last>Hinson</b:Last>
            <b:Middle>Drifka</b:Middle>
            <b:First>Michelle</b:First>
          </b:Person>
        </b:NameList>
      </b:Author>
    </b:Author>
    <b:Pages>1–26</b:Pages>
    <b:Year>2015</b:Year>
    <b:JournalName>Public relations journal</b:JournalName>
    <b:Number>2</b:Number>
    <b:RefOrder>28</b:RefOrder>
  </b:Source>
  <b:Source>
    <b:BIBTEX_Entry>book</b:BIBTEX_Entry>
    <b:SourceType>Book</b:SourceType>
    <b:Title>Ethnography: A way of seeing</b:Title>
    <b:Tag>wolcott_ethnography_1999</b:Tag>
    <b:Publisher>Rowman Altamira</b:Publisher>
    <b:Author>
      <b:Author>
        <b:NameList>
          <b:Person>
            <b:Last>Wolcott</b:Last>
            <b:Middle>F.</b:Middle>
            <b:First>Harry</b:First>
          </b:Person>
        </b:NameList>
      </b:Author>
    </b:Author>
    <b:Year>1999</b:Year>
    <b:RefOrder>29</b:RefOrder>
  </b:Source>
  <b:Source>
    <b:Volume>14</b:Volume>
    <b:BIBTEX_Entry>article</b:BIBTEX_Entry>
    <b:SourceType>JournalArticle</b:SourceType>
    <b:Title>What constitutes a theoretical contribution?</b:Title>
    <b:Tag>whetten_what_1989</b:Tag>
    <b:Author>
      <b:Author>
        <b:NameList>
          <b:Person>
            <b:Last>Whetten</b:Last>
            <b:Middle>A.</b:Middle>
            <b:First>David</b:First>
          </b:Person>
        </b:NameList>
      </b:Author>
    </b:Author>
    <b:Pages>490–495</b:Pages>
    <b:Year>1989</b:Year>
    <b:JournalName>Academy of management review</b:JournalName>
    <b:Number>4</b:Number>
    <b:RefOrder>30</b:RefOrder>
  </b:Source>
  <b:Source>
    <b:Volume>20</b:Volume>
    <b:BIBTEX_Entry>article</b:BIBTEX_Entry>
    <b:SourceType>JournalArticle</b:SourceType>
    <b:Title>Understanding bike-sharing systems using data mining: Exploring activity patterns</b:Title>
    <b:Tag>vogel_understanding_2011</b:Tag>
    <b:Author>
      <b:Author>
        <b:NameList>
          <b:Person>
            <b:Last>Vogel</b:Last>
            <b:First>Patrick</b:First>
          </b:Person>
          <b:Person>
            <b:Last>Greiser</b:Last>
            <b:First>Torsten</b:First>
          </b:Person>
          <b:Person>
            <b:Last>Mattfeld</b:Last>
            <b:Middle>Christian</b:Middle>
            <b:First>Dirk</b:First>
          </b:Person>
        </b:NameList>
      </b:Author>
    </b:Author>
    <b:Pages>514–523</b:Pages>
    <b:Year>2011</b:Year>
    <b:JournalName>Procedia-Social and Behavioral Sciences</b:JournalName>
    <b:RefOrder>31</b:RefOrder>
  </b:Source>
  <b:Source>
    <b:Volume>37</b:Volume>
    <b:BIBTEX_Entry>article</b:BIBTEX_Entry>
    <b:SourceType>JournalArticle</b:SourceType>
    <b:Title>Bridging the qualitative-quantitative divide: Guidelines for conducting mixed methods research in information systems.</b:Title>
    <b:Tag>venkatesh_bridging_2013</b:Tag>
    <b:Author>
      <b:Author>
        <b:NameList>
          <b:Person>
            <b:Last>Venkatesh</b:Last>
            <b:First>Viswanath</b:First>
          </b:Person>
          <b:Person>
            <b:Last>Brown</b:Last>
            <b:Middle>A.</b:Middle>
            <b:First>Susan</b:First>
          </b:Person>
          <b:Person>
            <b:Last>Bala</b:Last>
            <b:First>Hillol</b:First>
          </b:Person>
        </b:NameList>
      </b:Author>
    </b:Author>
    <b:Year>2013</b:Year>
    <b:JournalName>MIS quarterly</b:JournalName>
    <b:Number>1</b:Number>
    <b:RefOrder>32</b:RefOrder>
  </b:Source>
  <b:Source>
    <b:Volume>17</b:Volume>
    <b:BIBTEX_Entry>article</b:BIBTEX_Entry>
    <b:SourceType>JournalArticle</b:SourceType>
    <b:Title>Fraud and misconduct in science: the stem cell seduction</b:Title>
    <b:Tag>van_der_heyden_fraud_2009</b:Tag>
    <b:Author>
      <b:Author>
        <b:NameList>
          <b:Person>
            <b:Last>Van der Heyden</b:Last>
            <b:Middle>A. G.</b:Middle>
            <b:First>Martin</b:First>
          </b:Person>
          <b:Person>
            <b:Last>van de Derks Ven</b:Last>
            <b:First>T.</b:First>
          </b:Person>
          <b:Person>
            <b:Last>Opthof</b:Last>
            <b:First>T.</b:First>
          </b:Person>
        </b:NameList>
      </b:Author>
    </b:Author>
    <b:Pages>25–29</b:Pages>
    <b:Year>2009</b:Year>
    <b:JournalName>Netherlands Heart Journal</b:JournalName>
    <b:Number>1</b:Number>
    <b:RefOrder>33</b:RefOrder>
  </b:Source>
  <b:Source>
    <b:Volume>13</b:Volume>
    <b:BIBTEX_Entry>article</b:BIBTEX_Entry>
    <b:SourceType>JournalArticle</b:SourceType>
    <b:Title>A general typology of research designs featuring mixed methods</b:Title>
    <b:Tag>teddlie_general_2006</b:Tag>
    <b:Author>
      <b:Author>
        <b:NameList>
          <b:Person>
            <b:Last>Teddlie</b:Last>
            <b:First>Charles</b:First>
          </b:Person>
          <b:Person>
            <b:Last>Tashakkori</b:Last>
            <b:First>Abbas</b:First>
          </b:Person>
        </b:NameList>
      </b:Author>
    </b:Author>
    <b:Pages>12–28</b:Pages>
    <b:Year>2006</b:Year>
    <b:JournalName>Research in the Schools</b:JournalName>
    <b:Number>1</b:Number>
    <b:RefOrder>34</b:RefOrder>
  </b:Source>
  <b:Source>
    <b:Volume>11</b:Volume>
    <b:BIBTEX_Entry>article</b:BIBTEX_Entry>
    <b:SourceType>JournalArticle</b:SourceType>
    <b:Title>The intimate insider: negotiating the ethics of friendship when doing insider research</b:Title>
    <b:Tag>taylor_intimate_2011</b:Tag>
    <b:Author>
      <b:Author>
        <b:NameList>
          <b:Person>
            <b:Last>Taylor</b:Last>
            <b:First>Jodie</b:First>
          </b:Person>
        </b:NameList>
      </b:Author>
    </b:Author>
    <b:Pages>3–22</b:Pages>
    <b:Year>2011</b:Year>
    <b:JournalName>Qualitative research</b:JournalName>
    <b:Number>1</b:Number>
    <b:RefOrder>35</b:RefOrder>
  </b:Source>
  <b:Source>
    <b:Volume>46</b:Volume>
    <b:BIBTEX_Entry>book</b:BIBTEX_Entry>
    <b:SourceType>Book</b:SourceType>
    <b:Title>Mixed methodology: Combining qualitative and quantitative approaches</b:Title>
    <b:Tag>tashakkori_mixed_1998</b:Tag>
    <b:Publisher>Sage</b:Publisher>
    <b:Author>
      <b:Author>
        <b:NameList>
          <b:Person>
            <b:Last>Tashakkori</b:Last>
            <b:First>Abbas</b:First>
          </b:Person>
          <b:Person>
            <b:Last>Teddlie</b:Last>
            <b:First>Charles</b:First>
          </b:Person>
          <b:Person>
            <b:Last>Teddlie</b:Last>
            <b:Middle>B.</b:Middle>
            <b:First>Charles</b:First>
          </b:Person>
        </b:NameList>
      </b:Author>
    </b:Author>
    <b:Year>1998</b:Year>
    <b:RefOrder>36</b:RefOrder>
  </b:Source>
  <b:Source>
    <b:BIBTEX_Entry>article</b:BIBTEX_Entry>
    <b:SourceType>JournalArticle</b:SourceType>
    <b:Title>What theory is not</b:Title>
    <b:Tag>sutton_what_1995</b:Tag>
    <b:Author>
      <b:Author>
        <b:NameList>
          <b:Person>
            <b:Last>Sutton</b:Last>
            <b:Middle>I.</b:Middle>
            <b:First>Robert</b:First>
          </b:Person>
          <b:Person>
            <b:Last>Staw</b:Last>
            <b:Middle>M.</b:Middle>
            <b:First>Barry</b:First>
          </b:Person>
        </b:NameList>
      </b:Author>
    </b:Author>
    <b:Pages>371–384</b:Pages>
    <b:Year>1995</b:Year>
    <b:JournalName>Administrative science quarterly</b:JournalName>
    <b:RefOrder>37</b:RefOrder>
  </b:Source>
  <b:Source>
    <b:BIBTEX_Entry>article</b:BIBTEX_Entry>
    <b:SourceType>JournalArticle</b:SourceType>
    <b:Title>From food desert to food mirage: Race, social class, and food shopping in a gentrifying neighborhood</b:Title>
    <b:Tag>sullivan_food_2014</b:Tag>
    <b:Author>
      <b:Author>
        <b:NameList>
          <b:Person>
            <b:Last>Sullivan</b:Last>
            <b:Middle>Monroe</b:Middle>
            <b:First>Daniel</b:First>
          </b:Person>
        </b:NameList>
      </b:Author>
    </b:Author>
    <b:Year>2014</b:Year>
    <b:JournalName>Advances in Applied Sociology</b:JournalName>
    <b:RefOrder>38</b:RefOrder>
  </b:Source>
  <b:Source>
    <b:Volume>17</b:Volume>
    <b:BIBTEX_Entry>article</b:BIBTEX_Entry>
    <b:SourceType>JournalArticle</b:SourceType>
    <b:Title>Grounded theory methodology</b:Title>
    <b:Tag>strauss_grounded_1994</b:Tag>
    <b:Author>
      <b:Author>
        <b:NameList>
          <b:Person>
            <b:Last>Strauss</b:Last>
            <b:First>Anselm</b:First>
          </b:Person>
          <b:Person>
            <b:Last>Corbin</b:Last>
            <b:First>Juliet</b:First>
          </b:Person>
        </b:NameList>
      </b:Author>
    </b:Author>
    <b:Pages>273–85</b:Pages>
    <b:Year>1994</b:Year>
    <b:JournalName>Handbook of qualitative research</b:JournalName>
    <b:RefOrder>39</b:RefOrder>
  </b:Source>
  <b:Source>
    <b:BIBTEX_Entry>book</b:BIBTEX_Entry>
    <b:SourceType>Book</b:SourceType>
    <b:Title>Basics of qualitative research: Procedures and techniques for developing grounded theory</b:Title>
    <b:Tag>strauss_basics_1998</b:Tag>
    <b:Publisher>Thousand Oaks, CA: Sage</b:Publisher>
    <b:Author>
      <b:Author>
        <b:NameList>
          <b:Person>
            <b:Last>Strauss</b:Last>
            <b:First>Anselm</b:First>
          </b:Person>
          <b:Person>
            <b:Last>Corbin</b:Last>
            <b:First>Juliet</b:First>
          </b:Person>
        </b:NameList>
      </b:Author>
    </b:Author>
    <b:Year>1998</b:Year>
    <b:RefOrder>40</b:RefOrder>
  </b:Source>
  <b:Source>
    <b:BIBTEX_Entry>article</b:BIBTEX_Entry>
    <b:SourceType>JournalArticle</b:SourceType>
    <b:Title>On the theory of scales of measurement</b:Title>
    <b:Tag>stevens_theory_1946</b:Tag>
    <b:Author>
      <b:Author>
        <b:NameList>
          <b:Person>
            <b:Last>Stevens</b:Last>
            <b:Middle>Smith</b:Middle>
            <b:First>Stanley</b:First>
          </b:Person>
          <b:Person>
            <b:Last>others</b:Last>
          </b:Person>
        </b:NameList>
      </b:Author>
    </b:Author>
    <b:Year>1946</b:Year>
    <b:RefOrder>41</b:RefOrder>
  </b:Source>
  <b:Source>
    <b:BIBTEX_Entry>article</b:BIBTEX_Entry>
    <b:SourceType>JournalArticle</b:SourceType>
    <b:Title>The theory imperative</b:Title>
    <b:Tag>steinfield_theory_1990</b:Tag>
    <b:Author>
      <b:Author>
        <b:NameList>
          <b:Person>
            <b:Last>Steinfield</b:Last>
            <b:Middle>W.</b:Middle>
            <b:First>Charles</b:First>
          </b:Person>
          <b:Person>
            <b:Last>Fulk</b:Last>
            <b:First>Janet</b:First>
          </b:Person>
        </b:NameList>
      </b:Author>
    </b:Author>
    <b:Pages>13–25</b:Pages>
    <b:Year>1990</b:Year>
    <b:JournalName>Organizations and communication technology</b:JournalName>
    <b:RefOrder>42</b:RefOrder>
  </b:Source>
  <b:Source>
    <b:BIBTEX_Entry>article</b:BIBTEX_Entry>
    <b:SourceType>JournalArticle</b:SourceType>
    <b:Title>P. 1980. Participant observation</b:Title>
    <b:Tag>spradley_p_2016</b:Tag>
    <b:Author>
      <b:Author>
        <b:NameList>
          <b:Person>
            <b:Last>Spradley</b:Last>
            <b:First>James</b:First>
          </b:Person>
        </b:NameList>
      </b:Author>
    </b:Author>
    <b:Year>2016</b:Year>
    <b:JournalName>Wadsworth, Belmont, USA</b:JournalName>
    <b:RefOrder>43</b:RefOrder>
  </b:Source>
  <b:Source>
    <b:Volume>35</b:Volume>
    <b:BIBTEX_Entry>article</b:BIBTEX_Entry>
    <b:SourceType>JournalArticle</b:SourceType>
    <b:Title>Employees’ perception of diversity climate: role of psychological contract</b:Title>
    <b:Tag>sia_employees_2009</b:Tag>
    <b:Author>
      <b:Author>
        <b:NameList>
          <b:Person>
            <b:Last>Sia</b:Last>
            <b:Middle>Kumar</b:Middle>
            <b:First>Surendra</b:First>
          </b:Person>
          <b:Person>
            <b:Last>Bhardwaj</b:Last>
            <b:First>Gopa</b:First>
          </b:Person>
        </b:NameList>
      </b:Author>
    </b:Author>
    <b:Pages>305–312</b:Pages>
    <b:Year>2009</b:Year>
    <b:JournalName>Journal of the Indian Academy of Applied Psychology</b:JournalName>
    <b:Number>2</b:Number>
    <b:RefOrder>44</b:RefOrder>
  </b:Source>
  <b:Source>
    <b:Volume>8</b:Volume>
    <b:BIBTEX_Entry>article</b:BIBTEX_Entry>
    <b:SourceType>JournalArticle</b:SourceType>
    <b:Title>Using Q method in qualitative research</b:Title>
    <b:Tag>shinebourne_using_2009</b:Tag>
    <b:Author>
      <b:Author>
        <b:NameList>
          <b:Person>
            <b:Last>Shinebourne</b:Last>
            <b:First>Pnina</b:First>
          </b:Person>
        </b:NameList>
      </b:Author>
    </b:Author>
    <b:Pages>93–97</b:Pages>
    <b:Year>2009</b:Year>
    <b:JournalName>International Journal of Qualitative Methods</b:JournalName>
    <b:Number>1</b:Number>
    <b:RefOrder>45</b:RefOrder>
  </b:Source>
  <b:Source>
    <b:BIBTEX_Entry>article</b:BIBTEX_Entry>
    <b:SourceType>JournalArticle</b:SourceType>
    <b:Title>The specific deterrent effects of arrest for domestic assault</b:Title>
    <b:Tag>sherman_specific_1984</b:Tag>
    <b:Author>
      <b:Author>
        <b:NameList>
          <b:Person>
            <b:Last>Sherman</b:Last>
            <b:Middle>W.</b:Middle>
            <b:First>Lawrence</b:First>
          </b:Person>
          <b:Person>
            <b:Last>Berk</b:Last>
            <b:Middle>A.</b:Middle>
            <b:First>Richard</b:First>
          </b:Person>
        </b:NameList>
      </b:Author>
    </b:Author>
    <b:Pages>261–272</b:Pages>
    <b:Year>1984</b:Year>
    <b:JournalName>American sociological review</b:JournalName>
    <b:RefOrder>46</b:RefOrder>
  </b:Source>
  <b:Source>
    <b:Volume>19</b:Volume>
    <b:BIBTEX_Entry>article</b:BIBTEX_Entry>
    <b:SourceType>JournalArticle</b:SourceType>
    <b:Title>Social media, social me: A content analysis of beauty companies’ use of Facebook in marketing and branding</b:Title>
    <b:Tag>shen_social_2013</b:Tag>
    <b:Author>
      <b:Author>
        <b:NameList>
          <b:Person>
            <b:Last>Shen</b:Last>
            <b:First>Bin</b:First>
          </b:Person>
          <b:Person>
            <b:Last>Bissell</b:Last>
            <b:First>Kimberly</b:First>
          </b:Person>
        </b:NameList>
      </b:Author>
    </b:Author>
    <b:Pages>629–651</b:Pages>
    <b:Year>2013</b:Year>
    <b:JournalName>Journal of Promotion Management</b:JournalName>
    <b:Number>5</b:Number>
    <b:RefOrder>47</b:RefOrder>
  </b:Source>
  <b:Source>
    <b:Volume>74</b:Volume>
    <b:BIBTEX_Entry>article</b:BIBTEX_Entry>
    <b:SourceType>JournalArticle</b:SourceType>
    <b:Title>Fraud, conflict of interest, and other enforcement issues in clinical research</b:Title>
    <b:Tag>sheehan_fraud_2007</b:Tag>
    <b:Author>
      <b:Author>
        <b:NameList>
          <b:Person>
            <b:Last>Sheehan</b:Last>
            <b:Middle>G.</b:Middle>
            <b:First>James</b:First>
          </b:Person>
        </b:NameList>
      </b:Author>
    </b:Author>
    <b:Pages>S63</b:Pages>
    <b:Year>2007</b:Year>
    <b:JournalName>Cleveland Clinic journal of medicine</b:JournalName>
    <b:RefOrder>48</b:RefOrder>
  </b:Source>
  <b:Source>
    <b:Volume>43</b:Volume>
    <b:BIBTEX_Entry>article</b:BIBTEX_Entry>
    <b:SourceType>JournalArticle</b:SourceType>
    <b:Title>Managerial interpretations and organizational context as predictors of corporate choice of environmental strategy</b:Title>
    <b:Tag>sharma_managerial_2000</b:Tag>
    <b:Author>
      <b:Author>
        <b:NameList>
          <b:Person>
            <b:Last>Sharma</b:Last>
            <b:First>Sanjay</b:First>
          </b:Person>
        </b:NameList>
      </b:Author>
    </b:Author>
    <b:Pages>681–697</b:Pages>
    <b:Year>2000</b:Year>
    <b:JournalName>Academy of Management journal</b:JournalName>
    <b:Number>4</b:Number>
    <b:RefOrder>49</b:RefOrder>
  </b:Source>
  <b:Source>
    <b:BIBTEX_Entry>article</b:BIBTEX_Entry>
    <b:SourceType>JournalArticle</b:SourceType>
    <b:Title>An inside view of qualitative research</b:Title>
    <b:Tag>shaffir_inside_1991</b:Tag>
    <b:Author>
      <b:Author>
        <b:NameList>
          <b:Person>
            <b:Last>Shaffir</b:Last>
            <b:First>W.</b:First>
          </b:Person>
          <b:Person>
            <b:Last>Stebbins</b:Last>
            <b:Middle>A.</b:Middle>
            <b:First>R.</b:First>
          </b:Person>
        </b:NameList>
      </b:Author>
    </b:Author>
    <b:Year>1991</b:Year>
    <b:JournalName>Fieldwork, Experiencing</b:JournalName>
    <b:RefOrder>50</b:RefOrder>
  </b:Source>
  <b:Source>
    <b:Volume>29</b:Volume>
    <b:BIBTEX_Entry>article</b:BIBTEX_Entry>
    <b:SourceType>JournalArticle</b:SourceType>
    <b:Title>Understanding compensation practice variations across firms: The impact of national culture</b:Title>
    <b:Tag>schuler_understanding_1998</b:Tag>
    <b:Author>
      <b:Author>
        <b:NameList>
          <b:Person>
            <b:Last>Schuler</b:Last>
            <b:Middle>S.</b:Middle>
            <b:First>Randall</b:First>
          </b:Person>
          <b:Person>
            <b:Last>Rogovsky</b:Last>
            <b:First>Nikolai</b:First>
          </b:Person>
        </b:NameList>
      </b:Author>
    </b:Author>
    <b:Pages>159–177</b:Pages>
    <b:Year>1998</b:Year>
    <b:JournalName>Journal of International Business Studies</b:JournalName>
    <b:Number>1</b:Number>
    <b:RefOrder>51</b:RefOrder>
  </b:Source>
  <b:Source>
    <b:Volume>22</b:Volume>
    <b:BIBTEX_Entry>article</b:BIBTEX_Entry>
    <b:SourceType>JournalArticle</b:SourceType>
    <b:Title>On the pragmatics of qualitative assessment</b:Title>
    <b:Tag>schilling_pragmatics_2006</b:Tag>
    <b:Author>
      <b:Author>
        <b:NameList>
          <b:Person>
            <b:Last>Schilling</b:Last>
            <b:First>Jan</b:First>
          </b:Person>
        </b:NameList>
      </b:Author>
    </b:Author>
    <b:Pages>28–37</b:Pages>
    <b:Year>2006</b:Year>
    <b:JournalName>European journal of psychological assessment</b:JournalName>
    <b:Number>1</b:Number>
    <b:RefOrder>52</b:RefOrder>
  </b:Source>
  <b:Source>
    <b:BIBTEX_Entry>book</b:BIBTEX_Entry>
    <b:SourceType>Book</b:SourceType>
    <b:Title>Eco-warriors: Understanding the radical environmental movement</b:Title>
    <b:Tag>scarce_eco-warriors_2016</b:Tag>
    <b:Publisher>Routledge</b:Publisher>
    <b:Author>
      <b:Author>
        <b:NameList>
          <b:Person>
            <b:Last>Scarce</b:Last>
            <b:First>Rik</b:First>
          </b:Person>
        </b:NameList>
      </b:Author>
    </b:Author>
    <b:Year>2016</b:Year>
    <b:RefOrder>53</b:RefOrder>
  </b:Source>
  <b:Source>
    <b:Volume>7</b:Volume>
    <b:BIBTEX_Entry>article</b:BIBTEX_Entry>
    <b:SourceType>JournalArticle</b:SourceType>
    <b:Title>Ethical challenges of researchers in qualitative studies: the necessity to develop a specific guideline</b:Title>
    <b:Tag>sanjari_ethical_2014</b:Tag>
    <b:Author>
      <b:Author>
        <b:NameList>
          <b:Person>
            <b:Last>Sanjari</b:Last>
            <b:First>Mahnaz</b:First>
          </b:Person>
          <b:Person>
            <b:Last>Bahramnezhad</b:Last>
            <b:First>Fatemeh</b:First>
          </b:Person>
          <b:Person>
            <b:Last>Fomani</b:Last>
            <b:Middle>Khoshnava</b:Middle>
            <b:First>Fatemeh</b:First>
          </b:Person>
          <b:Person>
            <b:Last>Shoghi</b:Last>
            <b:First>Mahnaz</b:First>
          </b:Person>
          <b:Person>
            <b:Last>Cheraghi</b:Last>
            <b:Middle>Ali</b:Middle>
            <b:First>Mohammad</b:First>
          </b:Person>
        </b:NameList>
      </b:Author>
    </b:Author>
    <b:Year>2014</b:Year>
    <b:JournalName>Journal of medical ethics and history of medicine</b:JournalName>
    <b:RefOrder>54</b:RefOrder>
  </b:Source>
  <b:Source>
    <b:Volume>66</b:Volume>
    <b:BIBTEX_Entry>article</b:BIBTEX_Entry>
    <b:SourceType>JournalArticle</b:SourceType>
    <b:Title>Doing well by doing good: A quantitative investigation of the litter effect</b:Title>
    <b:Tag>roper_doing_2013</b:Tag>
    <b:Author>
      <b:Author>
        <b:NameList>
          <b:Person>
            <b:Last>Roper</b:Last>
            <b:First>Stuart</b:First>
          </b:Person>
          <b:Person>
            <b:Last>Parker</b:Last>
            <b:First>Cathy</b:First>
          </b:Person>
        </b:NameList>
      </b:Author>
    </b:Author>
    <b:Pages>2262–2268</b:Pages>
    <b:Year>2013</b:Year>
    <b:JournalName>Journal of Business Research</b:JournalName>
    <b:Number>11</b:Number>
    <b:RefOrder>55</b:RefOrder>
  </b:Source>
  <b:Source>
    <b:Volume>32</b:Volume>
    <b:BIBTEX_Entry>article</b:BIBTEX_Entry>
    <b:SourceType>JournalArticle</b:SourceType>
    <b:Title>Do low survey response rates bias results? Evidence from Japan</b:Title>
    <b:Tag>rindfuss_low_2015</b:Tag>
    <b:Author>
      <b:Author>
        <b:NameList>
          <b:Person>
            <b:Last>Rindfuss</b:Last>
            <b:Middle>R.</b:Middle>
            <b:First>Ronald</b:First>
          </b:Person>
          <b:Person>
            <b:Last>Choe</b:Last>
            <b:Middle>K.</b:Middle>
            <b:First>Minja</b:First>
          </b:Person>
          <b:Person>
            <b:Last>Tsuya</b:Last>
            <b:Middle>O.</b:Middle>
            <b:First>Noriko</b:First>
          </b:Person>
          <b:Person>
            <b:Last>Bumpass</b:Last>
            <b:Middle>L.</b:Middle>
            <b:First>Larry</b:First>
          </b:Person>
          <b:Person>
            <b:Last>Tamaki</b:Last>
            <b:First>Emi</b:First>
          </b:Person>
        </b:NameList>
      </b:Author>
    </b:Author>
    <b:Pages>797–828</b:Pages>
    <b:Year>2015</b:Year>
    <b:JournalName>Demographic Research</b:JournalName>
    <b:RefOrder>56</b:RefOrder>
  </b:Source>
  <b:Source>
    <b:Volume>18</b:Volume>
    <b:BIBTEX_Entry>inproceedings</b:BIBTEX_Entry>
    <b:SourceType>ConferenceProceedings</b:SourceType>
    <b:Title>Edward Jenner and the history of smallpox and vaccination</b:Title>
    <b:Tag>riedel_edward_2005</b:Tag>
    <b:Publisher>Taylor &amp; Francis</b:Publisher>
    <b:BookTitle>Baylor University Medical Center Proceedings</b:BookTitle>
    <b:Author>
      <b:Author>
        <b:NameList>
          <b:Person>
            <b:Last>Riedel</b:Last>
            <b:First>Stefan</b:First>
          </b:Person>
        </b:NameList>
      </b:Author>
    </b:Author>
    <b:Pages>21–25</b:Pages>
    <b:Year>2005</b:Year>
    <b:ConferenceName>Baylor University Medical Center Proceedings</b:ConferenceName>
    <b:RefOrder>57</b:RefOrder>
  </b:Source>
  <b:Source>
    <b:Volume>37</b:Volume>
    <b:BIBTEX_Entry>article</b:BIBTEX_Entry>
    <b:SourceType>JournalArticle</b:SourceType>
    <b:Title>A practical guide to collaborative qualitative data analysis</b:Title>
    <b:Tag>richards_practical_2018</b:Tag>
    <b:Author>
      <b:Author>
        <b:NameList>
          <b:Person>
            <b:Last>Richards</b:Last>
            <b:Middle>Andrew R.</b:Middle>
            <b:First>K.</b:First>
          </b:Person>
          <b:Person>
            <b:Last>Hemphill</b:Last>
            <b:Middle>A.</b:Middle>
            <b:First>Michael</b:First>
          </b:Person>
        </b:NameList>
      </b:Author>
    </b:Author>
    <b:Pages>225–231</b:Pages>
    <b:Year>2018</b:Year>
    <b:JournalName>Journal of Teaching in Physical Education</b:JournalName>
    <b:Number>2</b:Number>
    <b:RefOrder>58</b:RefOrder>
  </b:Source>
  <b:Source>
    <b:BIBTEX_Entry>book</b:BIBTEX_Entry>
    <b:SourceType>Book</b:SourceType>
    <b:Title>Examining Tuskegee: The infamous syphilis study and its legacy</b:Title>
    <b:Tag>reverby_examining_2009</b:Tag>
    <b:Publisher>Univ of North Carolina Press</b:Publisher>
    <b:Author>
      <b:Author>
        <b:NameList>
          <b:Person>
            <b:Last>Reverby</b:Last>
            <b:Middle>M.</b:Middle>
            <b:First>Susan</b:First>
          </b:Person>
        </b:NameList>
      </b:Author>
    </b:Author>
    <b:Year>2009</b:Year>
    <b:RefOrder>59</b:RefOrder>
  </b:Source>
  <b:Source>
    <b:Volume>14</b:Volume>
    <b:BIBTEX_Entry>article</b:BIBTEX_Entry>
    <b:SourceType>JournalArticle</b:SourceType>
    <b:Title>A comparison of group differences in food consumption using household refuse</b:Title>
    <b:Tag>reilly_comparison_1987</b:Tag>
    <b:Author>
      <b:Author>
        <b:NameList>
          <b:Person>
            <b:Last>Reilly</b:Last>
            <b:Middle>D.</b:Middle>
            <b:First>Michael</b:First>
          </b:Person>
          <b:Person>
            <b:Last>Wallendorf</b:Last>
            <b:First>Melanie</b:First>
          </b:Person>
        </b:NameList>
      </b:Author>
    </b:Author>
    <b:Pages>289–294</b:Pages>
    <b:Year>1987</b:Year>
    <b:JournalName>Journal of Consumer Research</b:JournalName>
    <b:Number>2</b:Number>
    <b:RefOrder>60</b:RefOrder>
  </b:Source>
  <b:Source>
    <b:BIBTEX_Entry>book</b:BIBTEX_Entry>
    <b:SourceType>Book</b:SourceType>
    <b:Title>Saving capitalism: For the many, not the few</b:Title>
    <b:Tag>reich_saving_2016</b:Tag>
    <b:Publisher>Vintage</b:Publisher>
    <b:Author>
      <b:Author>
        <b:NameList>
          <b:Person>
            <b:Last>Reich</b:Last>
            <b:Middle>B.</b:Middle>
            <b:First>Robert</b:First>
          </b:Person>
        </b:NameList>
      </b:Author>
    </b:Author>
    <b:Year>2016</b:Year>
    <b:RefOrder>61</b:RefOrder>
  </b:Source>
  <b:Source>
    <b:Volume>2</b:Volume>
    <b:BIBTEX_Entry>article</b:BIBTEX_Entry>
    <b:SourceType>JournalArticle</b:SourceType>
    <b:Title>Data Mining Techniques</b:Title>
    <b:Tag>raval_data_2012</b:Tag>
    <b:Author>
      <b:Author>
        <b:NameList>
          <b:Person>
            <b:Last>Raval</b:Last>
            <b:Middle>M.</b:Middle>
            <b:First>Kalyani</b:First>
          </b:Person>
        </b:NameList>
      </b:Author>
    </b:Author>
    <b:Year>2012</b:Year>
    <b:JournalName>International Journal of Advanced Research in Computer Science and Software Engineering</b:JournalName>
    <b:Number>10</b:Number>
    <b:RefOrder>62</b:RefOrder>
  </b:Source>
  <b:Source>
    <b:Volume>52</b:Volume>
    <b:BIBTEX_Entry>article</b:BIBTEX_Entry>
    <b:SourceType>JournalArticle</b:SourceType>
    <b:Title>Qualitative research in counseling psychology: A primer on research paradigms and philosophy of science.</b:Title>
    <b:Tag>ponterotto_qualitative_2005</b:Tag>
    <b:Author>
      <b:Author>
        <b:NameList>
          <b:Person>
            <b:Last>Ponterotto</b:Last>
            <b:Middle>G.</b:Middle>
            <b:First>Joseph</b:First>
          </b:Person>
        </b:NameList>
      </b:Author>
    </b:Author>
    <b:Pages>126</b:Pages>
    <b:Year>2005</b:Year>
    <b:JournalName>Journal of counseling psychology</b:JournalName>
    <b:Number>2</b:Number>
    <b:RefOrder>63</b:RefOrder>
  </b:Source>
  <b:Source>
    <b:BIBTEX_Entry>online</b:BIBTEX_Entry>
    <b:SourceType>InternetSite</b:SourceType>
    <b:Title>Election 2016</b:Title>
    <b:Tag>politics_election_2016</b:Tag>
    <b:URL>https://www.cnn.com/election/2016/results/exit-polls</b:URL>
    <b:Author>
      <b:Author>
        <b:NameList>
          <b:Person>
            <b:Last>Politics</b:Last>
            <b:Middle>N. N.</b:Middle>
            <b:First>C.</b:First>
          </b:Person>
        </b:NameList>
      </b:Author>
    </b:Author>
    <b:Year>2016</b:Year>
    <b:InternetSiteTitle>Election 2016</b:InternetSiteTitle>
    <b:RefOrder>64</b:RefOrder>
  </b:Source>
  <b:Source>
    <b:Volume>73</b:Volume>
    <b:BIBTEX_Entry>article</b:BIBTEX_Entry>
    <b:SourceType>JournalArticle</b:SourceType>
    <b:Title>Opting out? Cohort differences in professional women's employment rates from 1960 to 2005</b:Title>
    <b:Tag>percheski_opting_2008</b:Tag>
    <b:Author>
      <b:Author>
        <b:NameList>
          <b:Person>
            <b:Last>Percheski</b:Last>
            <b:First>Christine</b:First>
          </b:Person>
        </b:NameList>
      </b:Author>
    </b:Author>
    <b:Pages>497–517</b:Pages>
    <b:Year>2008</b:Year>
    <b:JournalName>American sociological review</b:JournalName>
    <b:Number>3</b:Number>
    <b:RefOrder>65</b:RefOrder>
  </b:Source>
  <b:Source>
    <b:Volume>46</b:Volume>
    <b:BIBTEX_Entry>article</b:BIBTEX_Entry>
    <b:SourceType>JournalArticle</b:SourceType>
    <b:Title>Success factors for destination marketing web sites: A qualitative meta-analysis</b:Title>
    <b:Tag>park_success_2007</b:Tag>
    <b:Author>
      <b:Author>
        <b:NameList>
          <b:Person>
            <b:Last>Park</b:Last>
            <b:Middle>A.</b:Middle>
            <b:First>Young</b:First>
          </b:Person>
          <b:Person>
            <b:Last>Gretzel</b:Last>
            <b:First>Ulrike</b:First>
          </b:Person>
        </b:NameList>
      </b:Author>
    </b:Author>
    <b:Pages>46–63</b:Pages>
    <b:Year>2007</b:Year>
    <b:JournalName>Journal of travel research</b:JournalName>
    <b:Number>1</b:Number>
    <b:RefOrder>66</b:RefOrder>
  </b:Source>
  <b:Source>
    <b:Volume>9</b:Volume>
    <b:BIBTEX_Entry>article</b:BIBTEX_Entry>
    <b:SourceType>JournalArticle</b:SourceType>
    <b:Title>Religious groups and work values: A focus on Buddhism, Christianity, Hinduism, and Islam</b:Title>
    <b:Tag>parboteeah_religious_2009</b:Tag>
    <b:Author>
      <b:Author>
        <b:NameList>
          <b:Person>
            <b:Last>Parboteeah</b:Last>
            <b:Middle>Praveen</b:Middle>
            <b:First>K.</b:First>
          </b:Person>
          <b:Person>
            <b:Last>Paik</b:Last>
            <b:First>Yongsun</b:First>
          </b:Person>
          <b:Person>
            <b:Last>Cullen</b:Last>
            <b:Middle>B.</b:Middle>
            <b:First>John</b:First>
          </b:Person>
        </b:NameList>
      </b:Author>
    </b:Author>
    <b:Pages>51–67</b:Pages>
    <b:Year>2009</b:Year>
    <b:JournalName>International Journal of Cross Cultural Management</b:JournalName>
    <b:Number>1</b:Number>
    <b:RefOrder>67</b:RefOrder>
  </b:Source>
  <b:Source>
    <b:BIBTEX_Entry>article</b:BIBTEX_Entry>
    <b:SourceType>JournalArticle</b:SourceType>
    <b:Title>Market basket analysis insights to support category management</b:Title>
    <b:Tag>musalem_market_2018</b:Tag>
    <b:Author>
      <b:Author>
        <b:NameList>
          <b:Person>
            <b:Last>Musalem</b:Last>
            <b:First>Andres</b:First>
          </b:Person>
          <b:Person>
            <b:Last>Aburto</b:Last>
            <b:First>Luis</b:First>
          </b:Person>
          <b:Person>
            <b:Last>Bosch</b:Last>
            <b:First>Maximo</b:First>
          </b:Person>
        </b:NameList>
      </b:Author>
    </b:Author>
    <b:Year>2018</b:Year>
    <b:JournalName>European Journal of Marketing</b:JournalName>
    <b:RefOrder>68</b:RefOrder>
  </b:Source>
  <b:Source>
    <b:Volume>22</b:Volume>
    <b:BIBTEX_Entry>article</b:BIBTEX_Entry>
    <b:SourceType>JournalArticle</b:SourceType>
    <b:Title>Focus groups</b:Title>
    <b:Tag>morgan_focus_1996</b:Tag>
    <b:Author>
      <b:Author>
        <b:NameList>
          <b:Person>
            <b:Last>Morgan</b:Last>
            <b:Middle>L.</b:Middle>
            <b:First>David</b:First>
          </b:Person>
        </b:NameList>
      </b:Author>
    </b:Author>
    <b:Pages>129–152</b:Pages>
    <b:Year>1996</b:Year>
    <b:JournalName>Annual review of sociology</b:JournalName>
    <b:Number>1</b:Number>
    <b:RefOrder>69</b:RefOrder>
  </b:Source>
  <b:Source>
    <b:Volume>18</b:Volume>
    <b:BIBTEX_Entry>article</b:BIBTEX_Entry>
    <b:SourceType>JournalArticle</b:SourceType>
    <b:Title>Managerial work: Analysis from observation</b:Title>
    <b:Tag>mintzberg_managerial_1971</b:Tag>
    <b:Author>
      <b:Author>
        <b:NameList>
          <b:Person>
            <b:Last>Mintzberg</b:Last>
            <b:First>Henry</b:First>
          </b:Person>
        </b:NameList>
      </b:Author>
    </b:Author>
    <b:Pages>B–97</b:Pages>
    <b:Year>1971</b:Year>
    <b:JournalName>Management science</b:JournalName>
    <b:Number>2</b:Number>
    <b:RefOrder>70</b:RefOrder>
  </b:Source>
  <b:Source>
    <b:BIBTEX_Entry>online</b:BIBTEX_Entry>
    <b:SourceType>InternetSite</b:SourceType>
    <b:Title>Youth Development Study</b:Title>
    <b:Tag>minnesota_youth_2018</b:Tag>
    <b:URL>https://cla.umn.edu/sociology/graduate/collaboration-opportunities/youth-development-study</b:URL>
    <b:Author>
      <b:Author>
        <b:NameList>
          <b:Person>
            <b:Last>Minnesota</b:Last>
            <b:Middle>of</b:Middle>
            <b:First>University</b:First>
          </b:Person>
        </b:NameList>
      </b:Author>
    </b:Author>
    <b:Year>2018</b:Year>
    <b:InternetSiteTitle>Youth Development Study</b:InternetSiteTitle>
    <b:RefOrder>71</b:RefOrder>
  </b:Source>
  <b:Source>
    <b:Volume>67</b:Volume>
    <b:BIBTEX_Entry>article</b:BIBTEX_Entry>
    <b:SourceType>JournalArticle</b:SourceType>
    <b:Title>Behavioral study of obedience.</b:Title>
    <b:Tag>milgram_behavioral_1963</b:Tag>
    <b:Author>
      <b:Author>
        <b:NameList>
          <b:Person>
            <b:Last>Milgram</b:Last>
            <b:First>Stanley</b:First>
          </b:Person>
        </b:NameList>
      </b:Author>
    </b:Author>
    <b:Pages>371</b:Pages>
    <b:Year>1963</b:Year>
    <b:JournalName>The Journal of abnormal and social psychology</b:JournalName>
    <b:Number>4</b:Number>
    <b:RefOrder>72</b:RefOrder>
  </b:Source>
  <b:Source>
    <b:Volume>4</b:Volume>
    <b:BIBTEX_Entry>book</b:BIBTEX_Entry>
    <b:SourceType>Book</b:SourceType>
    <b:Title>Taking the field: Women, men, and sports</b:Title>
    <b:Tag>messner_taking_2002</b:Tag>
    <b:Publisher>U of Minnesota Press</b:Publisher>
    <b:Author>
      <b:Author>
        <b:NameList>
          <b:Person>
            <b:Last>Messner</b:Last>
            <b:Middle>A.</b:Middle>
            <b:First>Michael</b:First>
          </b:Person>
        </b:NameList>
      </b:Author>
    </b:Author>
    <b:Year>2002</b:Year>
    <b:RefOrder>73</b:RefOrder>
  </b:Source>
  <b:Source>
    <b:Volume>51</b:Volume>
    <b:BIBTEX_Entry>article</b:BIBTEX_Entry>
    <b:SourceType>JournalArticle</b:SourceType>
    <b:Title>The focused interview</b:Title>
    <b:Tag>merton_focused_1946</b:Tag>
    <b:Author>
      <b:Author>
        <b:NameList>
          <b:Person>
            <b:Last>Merton</b:Last>
            <b:Middle>K.</b:Middle>
            <b:First>Robert</b:First>
          </b:Person>
          <b:Person>
            <b:Last>Kendall</b:Last>
            <b:Middle>L.</b:Middle>
            <b:First>Patricia</b:First>
          </b:Person>
        </b:NameList>
      </b:Author>
    </b:Author>
    <b:Pages>541–557</b:Pages>
    <b:Year>1946</b:Year>
    <b:JournalName>American journal of Sociology</b:JournalName>
    <b:Number>6</b:Number>
    <b:RefOrder>74</b:RefOrder>
  </b:Source>
  <b:Source>
    <b:BIBTEX_Entry>article</b:BIBTEX_Entry>
    <b:SourceType>JournalArticle</b:SourceType>
    <b:Title>Maker of heart device kept flaw from doctors</b:Title>
    <b:Tag>meier_maker_2005</b:Tag>
    <b:Author>
      <b:Author>
        <b:NameList>
          <b:Person>
            <b:Last>Meier</b:Last>
            <b:First>Barry</b:First>
          </b:Person>
        </b:NameList>
      </b:Author>
    </b:Author>
    <b:Year>2005</b:Year>
    <b:JournalName>New York Times</b:JournalName>
    <b:RefOrder>75</b:RefOrder>
  </b:Source>
  <b:Source>
    <b:BIBTEX_Entry>book</b:BIBTEX_Entry>
    <b:SourceType>Book</b:SourceType>
    <b:Title>Communication for Business Success</b:Title>
    <b:Tag>mclean_communication_2012</b:Tag>
    <b:Author>
      <b:Author>
        <b:NameList>
          <b:Person>
            <b:Last>McLean</b:Last>
            <b:First>Scott</b:First>
          </b:Person>
        </b:NameList>
      </b:Author>
    </b:Author>
    <b:Year>2012</b:Year>
    <b:RefOrder>76</b:RefOrder>
  </b:Source>
  <b:Source>
    <b:Volume>63</b:Volume>
    <b:BIBTEX_Entry>article</b:BIBTEX_Entry>
    <b:SourceType>JournalArticle</b:SourceType>
    <b:Title>Employee reactions to office redesign: A naturally occurring quasi-field experiment in a multi-generational setting</b:Title>
    <b:Tag>mcelroy_employee_2010</b:Tag>
    <b:Author>
      <b:Author>
        <b:NameList>
          <b:Person>
            <b:Last>McElroy</b:Last>
            <b:Middle>C.</b:Middle>
            <b:First>James</b:First>
          </b:Person>
          <b:Person>
            <b:Last>Morrow</b:Last>
            <b:Middle>C.</b:Middle>
            <b:First>Paula</b:First>
          </b:Person>
        </b:NameList>
      </b:Author>
    </b:Author>
    <b:Pages>609–636</b:Pages>
    <b:Year>2010</b:Year>
    <b:JournalName>Human relations</b:JournalName>
    <b:Number>5</b:Number>
    <b:RefOrder>77</b:RefOrder>
  </b:Source>
  <b:Source>
    <b:Volume>12</b:Volume>
    <b:BIBTEX_Entry>article</b:BIBTEX_Entry>
    <b:SourceType>JournalArticle</b:SourceType>
    <b:Title>Plagiarism-A survey.</b:Title>
    <b:Tag>maurer_plagiarism-survey_2006</b:Tag>
    <b:Author>
      <b:Author>
        <b:NameList>
          <b:Person>
            <b:Last>Maurer</b:Last>
            <b:Middle>A.</b:Middle>
            <b:First>Hermann</b:First>
          </b:Person>
          <b:Person>
            <b:Last>Kappe</b:Last>
            <b:First>Frank</b:First>
          </b:Person>
          <b:Person>
            <b:Last>Zaka</b:Last>
            <b:First>Bilal</b:First>
          </b:Person>
        </b:NameList>
      </b:Author>
    </b:Author>
    <b:Pages>1050–1084</b:Pages>
    <b:Year>2006</b:Year>
    <b:JournalName>J. UCS</b:JournalName>
    <b:Number>8</b:Number>
    <b:RefOrder>78</b:RefOrder>
  </b:Source>
  <b:Source>
    <b:Volume>3</b:Volume>
    <b:BIBTEX_Entry>article</b:BIBTEX_Entry>
    <b:SourceType>JournalArticle</b:SourceType>
    <b:Title>Contribution to the Critique of Hegel’s Philosophy of Law</b:Title>
    <b:Tag>marx_contribution_1971</b:Tag>
    <b:Author>
      <b:Author>
        <b:NameList>
          <b:Person>
            <b:Last>Marx</b:Last>
            <b:First>Karl</b:First>
          </b:Person>
        </b:NameList>
      </b:Author>
    </b:Author>
    <b:Year>1971</b:Year>
    <b:JournalName>Introduction”. Marx and Engels Collected Works</b:JournalName>
    <b:RefOrder>79</b:RefOrder>
  </b:Source>
  <b:Source>
    <b:Volume>6</b:Volume>
    <b:BIBTEX_Entry>article</b:BIBTEX_Entry>
    <b:SourceType>JournalArticle</b:SourceType>
    <b:Title>Families, food, and pester power: beyond the blame game?</b:Title>
    <b:Tag>marshall_families_2007</b:Tag>
    <b:Author>
      <b:Author>
        <b:NameList>
          <b:Person>
            <b:Last>Marshall</b:Last>
            <b:First>David</b:First>
          </b:Person>
          <b:Person>
            <b:Last>O'Donohoe</b:Last>
            <b:First>Stephanie</b:First>
          </b:Person>
          <b:Person>
            <b:Last>Kline</b:Last>
            <b:First>Stephen</b:First>
          </b:Person>
        </b:NameList>
      </b:Author>
    </b:Author>
    <b:Pages>164–181</b:Pages>
    <b:Year>2007</b:Year>
    <b:JournalName>Journal of Consumer Behaviour: An International Research Review</b:JournalName>
    <b:Number>4</b:Number>
    <b:RefOrder>80</b:RefOrder>
  </b:Source>
  <b:Source>
    <b:Volume>14</b:Volume>
    <b:BIBTEX_Entry>article</b:BIBTEX_Entry>
    <b:SourceType>JournalArticle</b:SourceType>
    <b:Title>Toward a “critical mass” theory of interactive media: Universal access, interdependence and diffusion</b:Title>
    <b:Tag>markus_toward_1987</b:Tag>
    <b:Author>
      <b:Author>
        <b:NameList>
          <b:Person>
            <b:Last>Markus</b:Last>
            <b:Middle>Lynne</b:Middle>
            <b:First>M.</b:First>
          </b:Person>
        </b:NameList>
      </b:Author>
    </b:Author>
    <b:Pages>491–511</b:Pages>
    <b:Year>1987</b:Year>
    <b:JournalName>Communication research</b:JournalName>
    <b:Number>5</b:Number>
    <b:RefOrder>81</b:RefOrder>
  </b:Source>
  <b:Source>
    <b:BIBTEX_Entry>book</b:BIBTEX_Entry>
    <b:SourceType>Book</b:SourceType>
    <b:Title>Argonauts of the western Pacific</b:Title>
    <b:Tag>malinowski_argonauts_2014</b:Tag>
    <b:Publisher>Routledge</b:Publisher>
    <b:Author>
      <b:Author>
        <b:NameList>
          <b:Person>
            <b:Last>Malinowski</b:Last>
            <b:First>Bronislaw</b:First>
          </b:Person>
        </b:NameList>
      </b:Author>
    </b:Author>
    <b:Year>2014</b:Year>
    <b:RefOrder>82</b:RefOrder>
  </b:Source>
  <b:Source>
    <b:BIBTEX_Entry>thesis</b:BIBTEX_Entry>
    <b:SourceType>Misc</b:SourceType>
    <b:Title>A theory of thriving for small business owners: A grounded theory study</b:Title>
    <b:Tag>macera_theory_2016</b:Tag>
    <b:Institution>Capella University</b:Institution>
    <b:Author>
      <b:Author>
        <b:NameList>
          <b:Person>
            <b:Last>Macera</b:Last>
            <b:Middle>L.</b:Middle>
            <b:First>Jessica</b:First>
          </b:Person>
        </b:NameList>
      </b:Author>
    </b:Author>
    <b:Year>2016</b:Year>
    <b:ThesisType>phdthesis</b:ThesisType>
    <b:PublicationTitle>A theory of thriving for small business owners: A grounded theory study</b:PublicationTitle>
    <b:RefOrder>83</b:RefOrder>
  </b:Source>
  <b:Source>
    <b:Volume>24</b:Volume>
    <b:BIBTEX_Entry>article</b:BIBTEX_Entry>
    <b:SourceType>JournalArticle</b:SourceType>
    <b:Title>Analytic ethnography: Features, failings, and futures</b:Title>
    <b:Tag>lofland_analytic_1995</b:Tag>
    <b:Author>
      <b:Author>
        <b:NameList>
          <b:Person>
            <b:Last>Lofland</b:Last>
            <b:First>John</b:First>
          </b:Person>
        </b:NameList>
      </b:Author>
    </b:Author>
    <b:Pages>30–67</b:Pages>
    <b:Year>1995</b:Year>
    <b:JournalName>Journal of contemporary ethnography</b:JournalName>
    <b:Number>1</b:Number>
    <b:RefOrder>84</b:RefOrder>
  </b:Source>
  <b:Source>
    <b:BIBTEX_Entry>article</b:BIBTEX_Entry>
    <b:SourceType>JournalArticle</b:SourceType>
    <b:Title>Naturalistic inquiry</b:Title>
    <b:Tag>lincoln_naturalistic_1985</b:Tag>
    <b:Author>
      <b:Author>
        <b:NameList>
          <b:Person>
            <b:Last>Lincoln</b:Last>
            <b:Middle>S.</b:Middle>
            <b:First>Yvonna</b:First>
          </b:Person>
        </b:NameList>
      </b:Author>
    </b:Author>
    <b:Year>1985</b:Year>
    <b:JournalName>The Blackwell Encyclopedia of Sociology</b:JournalName>
    <b:RefOrder>85</b:RefOrder>
  </b:Source>
  <b:Source>
    <b:Volume>39</b:Volume>
    <b:BIBTEX_Entry>article</b:BIBTEX_Entry>
    <b:SourceType>JournalArticle</b:SourceType>
    <b:Title>Time and the constitution of markets: internal dynamics and external relations of stock exchanges in Fiji, Ghana and Iceland</b:Title>
    <b:Tag>larson_time_2010</b:Tag>
    <b:Author>
      <b:Author>
        <b:NameList>
          <b:Person>
            <b:Last>Larson</b:Last>
            <b:Middle>W.</b:Middle>
            <b:First>Erik</b:First>
          </b:Person>
        </b:NameList>
      </b:Author>
    </b:Author>
    <b:Pages>460–487</b:Pages>
    <b:Year>2010</b:Year>
    <b:JournalName>Economy and Society</b:JournalName>
    <b:Number>4</b:Number>
    <b:RefOrder>86</b:RefOrder>
  </b:Source>
  <b:Source>
    <b:Volume>8</b:Volume>
    <b:BIBTEX_Entry>article</b:BIBTEX_Entry>
    <b:SourceType>JournalArticle</b:SourceType>
    <b:Title>Social exchange theory and research on business-to-business relational exchange</b:Title>
    <b:Tag>lambe_social_2001</b:Tag>
    <b:Author>
      <b:Author>
        <b:NameList>
          <b:Person>
            <b:Last>Lambe</b:Last>
            <b:Middle>Jay</b:Middle>
            <b:First>C.</b:First>
          </b:Person>
          <b:Person>
            <b:Last>Wittmann</b:Last>
            <b:Middle>Michael</b:Middle>
            <b:First>C.</b:First>
          </b:Person>
          <b:Person>
            <b:Last>Spekman</b:Last>
            <b:Middle>E.</b:Middle>
            <b:First>Robert</b:First>
          </b:Person>
        </b:NameList>
      </b:Author>
    </b:Author>
    <b:Pages>1–36</b:Pages>
    <b:Year>2001</b:Year>
    <b:JournalName>Journal of Business-to-Business Marketing</b:JournalName>
    <b:Number>3</b:Number>
    <b:RefOrder>87</b:RefOrder>
  </b:Source>
  <b:Source>
    <b:Volume>62</b:Volume>
    <b:BIBTEX_Entry>article</b:BIBTEX_Entry>
    <b:SourceType>JournalArticle</b:SourceType>
    <b:Title>Economic development strategies and macro-and micro-level human resource policies: The case of India's “outsourcing” industry</b:Title>
    <b:Tag>kuruvilla_economic_2008</b:Tag>
    <b:Author>
      <b:Author>
        <b:NameList>
          <b:Person>
            <b:Last>Kuruvilla</b:Last>
            <b:First>Sarosh</b:First>
          </b:Person>
          <b:Person>
            <b:Last>Ranganathan</b:Last>
            <b:First>Aruna</b:First>
          </b:Person>
        </b:NameList>
      </b:Author>
    </b:Author>
    <b:Pages>39–72</b:Pages>
    <b:Year>2008</b:Year>
    <b:JournalName>ILR Review</b:JournalName>
    <b:Number>1</b:Number>
    <b:RefOrder>88</b:RefOrder>
  </b:Source>
  <b:Source>
    <b:BIBTEX_Entry>article</b:BIBTEX_Entry>
    <b:SourceType>JournalArticle</b:SourceType>
    <b:Title>Testing the reliability of content analysis data</b:Title>
    <b:Tag>krippendorff_testing_2009</b:Tag>
    <b:Author>
      <b:Author>
        <b:NameList>
          <b:Person>
            <b:Last>Krippendorff</b:Last>
            <b:First>Klaus</b:First>
          </b:Person>
        </b:NameList>
      </b:Author>
    </b:Author>
    <b:Pages>350–357</b:Pages>
    <b:Year>2009</b:Year>
    <b:JournalName>The content analysis reader</b:JournalName>
    <b:RefOrder>89</b:RefOrder>
  </b:Source>
  <b:Source>
    <b:Volume>111</b:Volume>
    <b:BIBTEX_Entry>article</b:BIBTEX_Entry>
    <b:SourceType>JournalArticle</b:SourceType>
    <b:Title>Experimental evidence of massive-scale emotional contagion through social networks</b:Title>
    <b:Tag>kramer_experimental_2014</b:Tag>
    <b:Author>
      <b:Author>
        <b:NameList>
          <b:Person>
            <b:Last>Kramer</b:Last>
            <b:Middle>D. I.</b:Middle>
            <b:First>Adam</b:First>
          </b:Person>
          <b:Person>
            <b:Last>Guillory</b:Last>
            <b:Middle>E.</b:Middle>
            <b:First>Jamie</b:First>
          </b:Person>
          <b:Person>
            <b:Last>Hancock</b:Last>
            <b:Middle>T.</b:Middle>
            <b:First>Jeffrey</b:First>
          </b:Person>
        </b:NameList>
      </b:Author>
    </b:Author>
    <b:Pages>8788–8790</b:Pages>
    <b:Year>2014</b:Year>
    <b:JournalName>Proceedings of the National Academy of Sciences</b:JournalName>
    <b:Number>24</b:Number>
    <b:RefOrder>90</b:RefOrder>
  </b:Source>
  <b:Source>
    <b:BIBTEX_Entry>article</b:BIBTEX_Entry>
    <b:SourceType>JournalArticle</b:SourceType>
    <b:Title>Social marketing. Strategies for changing public behavior.</b:Title>
    <b:Tag>kotler_social_1989</b:Tag>
    <b:Author>
      <b:Author>
        <b:NameList>
          <b:Person>
            <b:Last>Kotler</b:Last>
            <b:First>Philip</b:First>
          </b:Person>
          <b:Person>
            <b:Last>Roberto</b:Last>
            <b:Middle>L.</b:Middle>
            <b:First>Eduardo</b:First>
          </b:Person>
        </b:NameList>
      </b:Author>
    </b:Author>
    <b:Year>1989</b:Year>
    <b:RefOrder>91</b:RefOrder>
  </b:Source>
  <b:Source>
    <b:Volume>20</b:Volume>
    <b:BIBTEX_Entry>article</b:BIBTEX_Entry>
    <b:SourceType>JournalArticle</b:SourceType>
    <b:Title>Conservatives pick soft target: A cartoon sponge</b:Title>
    <b:Tag>kirkpatrick_conservatives_2005</b:Tag>
    <b:Author>
      <b:Author>
        <b:NameList>
          <b:Person>
            <b:Last>Kirkpatrick</b:Last>
            <b:Middle>D.</b:Middle>
            <b:First>David</b:First>
          </b:Person>
        </b:NameList>
      </b:Author>
    </b:Author>
    <b:Year>2005</b:Year>
    <b:JournalName>The New York Times</b:JournalName>
    <b:RefOrder>92</b:RefOrder>
  </b:Source>
  <b:Source>
    <b:BIBTEX_Entry>article</b:BIBTEX_Entry>
    <b:SourceType>JournalArticle</b:SourceType>
    <b:Title>The perilous world where boys become men</b:Title>
    <b:Tag>kimmel_perilous_2008</b:Tag>
    <b:Author>
      <b:Author>
        <b:NameList>
          <b:Person>
            <b:Last>Kimmel</b:Last>
            <b:Middle>S. Guyland</b:Middle>
            <b:First>Michael</b:First>
          </b:Person>
        </b:NameList>
      </b:Author>
    </b:Author>
    <b:Year>2008</b:Year>
    <b:JournalName>HarperCollins</b:JournalName>
    <b:RefOrder>93</b:RefOrder>
  </b:Source>
  <b:Source>
    <b:BIBTEX_Entry>book</b:BIBTEX_Entry>
    <b:SourceType>Book</b:SourceType>
    <b:Title>The conduct of inquiry: Methodology for behavioural science</b:Title>
    <b:Tag>kaplan_conduct_2017</b:Tag>
    <b:Publisher>Routledge</b:Publisher>
    <b:Author>
      <b:Author>
        <b:NameList>
          <b:Person>
            <b:Last>Kaplan</b:Last>
            <b:First>Abraham</b:First>
          </b:Person>
        </b:NameList>
      </b:Author>
    </b:Author>
    <b:Year>2017</b:Year>
    <b:RefOrder>94</b:RefOrder>
  </b:Source>
  <b:Source>
    <b:Volume>6</b:Volume>
    <b:BIBTEX_Entry>article</b:BIBTEX_Entry>
    <b:SourceType>JournalArticle</b:SourceType>
    <b:Title>Does employee participation in workplace health promotion depend on the working environment? A cross-sectional study of Danish workers</b:Title>
    <b:Tag>jorgensen_does_2016</b:Tag>
    <b:Author>
      <b:Author>
        <b:NameList>
          <b:Person>
            <b:Last>Jørgensen</b:Last>
            <b:Middle>Birk</b:Middle>
            <b:First>Marie</b:First>
          </b:Person>
          <b:Person>
            <b:Last>Villadsen</b:Last>
            <b:First>Ebbe</b:First>
          </b:Person>
          <b:Person>
            <b:Last>Burr</b:Last>
            <b:First>Hermann</b:First>
          </b:Person>
          <b:Person>
            <b:Last>Punnett</b:Last>
            <b:First>Laura</b:First>
          </b:Person>
          <b:Person>
            <b:Last>Holtermann</b:Last>
            <b:First>Andreas</b:First>
          </b:Person>
        </b:NameList>
      </b:Author>
    </b:Author>
    <b:Pages>e010516</b:Pages>
    <b:Year>2016</b:Year>
    <b:JournalName>BMJ open</b:JournalName>
    <b:Number>6</b:Number>
    <b:RefOrder>95</b:RefOrder>
  </b:Source>
  <b:Source>
    <b:Volume>33</b:Volume>
    <b:BIBTEX_Entry>article</b:BIBTEX_Entry>
    <b:SourceType>JournalArticle</b:SourceType>
    <b:Title>Mixed methods research: A research paradigm whose time has come</b:Title>
    <b:Tag>johnson_mixed_2004</b:Tag>
    <b:Author>
      <b:Author>
        <b:NameList>
          <b:Person>
            <b:Last>Johnson</b:Last>
            <b:Middle>Burke</b:Middle>
            <b:First>R.</b:First>
          </b:Person>
          <b:Person>
            <b:Last>Onwuegbuzie</b:Last>
            <b:Middle>J.</b:Middle>
            <b:First>Anthony</b:First>
          </b:Person>
        </b:NameList>
      </b:Author>
    </b:Author>
    <b:Pages>14–26</b:Pages>
    <b:Year>2004</b:Year>
    <b:JournalName>Educational researcher</b:JournalName>
    <b:Number>7</b:Number>
    <b:RefOrder>96</b:RefOrder>
  </b:Source>
  <b:Source>
    <b:Volume>44</b:Volume>
    <b:BIBTEX_Entry>article</b:BIBTEX_Entry>
    <b:SourceType>JournalArticle</b:SourceType>
    <b:Title>Understanding and resolving major contractual breaches in buyer–seller relationships: a grounded theory approach</b:Title>
    <b:Tag>johnson_understanding_2016</b:Tag>
    <b:Author>
      <b:Author>
        <b:NameList>
          <b:Person>
            <b:Last>Johnson</b:Last>
            <b:Middle>S.</b:Middle>
            <b:First>Jeff</b:First>
          </b:Person>
          <b:Person>
            <b:Last>Sohi</b:Last>
            <b:Middle>S.</b:Middle>
            <b:First>Ravipreet</b:First>
          </b:Person>
        </b:NameList>
      </b:Author>
    </b:Author>
    <b:Pages>185–205</b:Pages>
    <b:Year>2016</b:Year>
    <b:JournalName>Journal of the Academy of Marketing Science</b:JournalName>
    <b:Number>2</b:Number>
    <b:RefOrder>97</b:RefOrder>
  </b:Source>
  <b:Source>
    <b:Volume>28</b:Volume>
    <b:BIBTEX_Entry>article</b:BIBTEX_Entry>
    <b:SourceType>JournalArticle</b:SourceType>
    <b:Title>An entrepreneurial network evolving: Patterns of change</b:Title>
    <b:Tag>jack_entrepreneurial_2010</b:Tag>
    <b:Author>
      <b:Author>
        <b:NameList>
          <b:Person>
            <b:Last>Jack</b:Last>
            <b:First>Sarah</b:First>
          </b:Person>
          <b:Person>
            <b:Last>Moult</b:Last>
            <b:First>Susan</b:First>
          </b:Person>
          <b:Person>
            <b:Last>Anderson</b:Last>
            <b:Middle>R.</b:Middle>
            <b:First>Alistair</b:First>
          </b:Person>
          <b:Person>
            <b:Last>Dodd</b:Last>
            <b:First>Sarah</b:First>
          </b:Person>
        </b:NameList>
      </b:Author>
    </b:Author>
    <b:Pages>315–337</b:Pages>
    <b:Year>2010</b:Year>
    <b:JournalName>International Small Business Journal</b:JournalName>
    <b:Number>4</b:Number>
    <b:RefOrder>98</b:RefOrder>
  </b:Source>
  <b:Source>
    <b:BIBTEX_Entry>article</b:BIBTEX_Entry>
    <b:SourceType>JournalArticle</b:SourceType>
    <b:Title>Determining sample size</b:Title>
    <b:Tag>israel_determining_1992</b:Tag>
    <b:Author>
      <b:Author>
        <b:NameList>
          <b:Person>
            <b:Last>Israel</b:Last>
            <b:Middle>D.</b:Middle>
            <b:First>Glenn</b:First>
          </b:Person>
        </b:NameList>
      </b:Author>
    </b:Author>
    <b:Year>1992</b:Year>
    <b:RefOrder>99</b:RefOrder>
  </b:Source>
  <b:Source>
    <b:BIBTEX_Entry>inproceedings</b:BIBTEX_Entry>
    <b:SourceType>ConferenceProceedings</b:SourceType>
    <b:Title>Turkopticon: Interrupting worker invisibility in amazon mechanical turk</b:Title>
    <b:Tag>irani_turkopticon_2013</b:Tag>
    <b:Publisher>ACM</b:Publisher>
    <b:BookTitle>Proceedings of the SIGCHI conference on human factors in computing systems</b:BookTitle>
    <b:Author>
      <b:Author>
        <b:NameList>
          <b:Person>
            <b:Last>Irani</b:Last>
            <b:Middle>C.</b:Middle>
            <b:First>Lilly</b:First>
          </b:Person>
          <b:Person>
            <b:Last>Silberman</b:Last>
            <b:First>M.</b:First>
          </b:Person>
        </b:NameList>
      </b:Author>
    </b:Author>
    <b:Pages>611–620</b:Pages>
    <b:Year>2013</b:Year>
    <b:ConferenceName>Proceedings of the SIGCHI conference on human factors in computing systems</b:ConferenceName>
    <b:RefOrder>100</b:RefOrder>
  </b:Source>
  <b:Source>
    <b:Volume>7</b:Volume>
    <b:BIBTEX_Entry>article</b:BIBTEX_Entry>
    <b:SourceType>JournalArticle</b:SourceType>
    <b:Title>Tearoom trade</b:Title>
    <b:Tag>humphreys_tearoom_1970</b:Tag>
    <b:Author>
      <b:Author>
        <b:NameList>
          <b:Person>
            <b:Last>Humphreys</b:Last>
            <b:First>Laud</b:First>
          </b:Person>
        </b:NameList>
      </b:Author>
    </b:Author>
    <b:Pages>10–25</b:Pages>
    <b:Year>1970</b:Year>
    <b:JournalName>Trans-action</b:JournalName>
    <b:Number>3</b:Number>
    <b:RefOrder>101</b:RefOrder>
  </b:Source>
  <b:Source>
    <b:BIBTEX_Entry>online</b:BIBTEX_Entry>
    <b:SourceType>InternetSite</b:SourceType>
    <b:Title>Special Protections for Children as Research Subjects</b:Title>
    <b:Tag>human_special_2018</b:Tag>
    <b:URL>https://www.hhs.gov/ohrp/regulations-and-policy/guidance/special-protections-for-children/index.html</b:URL>
    <b:Author>
      <b:Author>
        <b:NameList>
          <b:Person>
            <b:Last>Human</b:Last>
            <b:Middle>S. Government Department of</b:Middle>
            <b:First>U.</b:First>
          </b:Person>
          <b:Person>
            <b:Last>Services</b:Last>
            <b:First>Health</b:First>
          </b:Person>
        </b:NameList>
      </b:Author>
    </b:Author>
    <b:Year>2018</b:Year>
    <b:InternetSiteTitle>Special Protections for Children as Research Subjects</b:InternetSiteTitle>
    <b:RefOrder>102</b:RefOrder>
  </b:Source>
  <b:Source>
    <b:BIBTEX_Entry>online</b:BIBTEX_Entry>
    <b:SourceType>InternetSite</b:SourceType>
    <b:Title>Protection of Human Subjects</b:Title>
    <b:Tag>human_protection_2018</b:Tag>
    <b:URL>https://www.ecfr.gov/cgi-bin/retrieveECFR?gp=&amp;SID=83cd09e1c0f5c6937cd9d7513160fc3f&amp;pitd=20180719&amp;n=pt45.1.46&amp;r=PART&amp;ty=HTML</b:URL>
    <b:Author>
      <b:Author>
        <b:NameList>
          <b:Person>
            <b:Last>Human</b:Last>
            <b:Middle>S. Government Department of</b:Middle>
            <b:First>U.</b:First>
          </b:Person>
          <b:Person>
            <b:Last>Services</b:Last>
            <b:First>Health</b:First>
          </b:Person>
        </b:NameList>
      </b:Author>
    </b:Author>
    <b:Year>2018</b:Year>
    <b:InternetSiteTitle>Protection of Human Subjects</b:InternetSiteTitle>
    <b:RefOrder>103</b:RefOrder>
  </b:Source>
  <b:Source>
    <b:Volume>25</b:Volume>
    <b:BIBTEX_Entry>article</b:BIBTEX_Entry>
    <b:SourceType>JournalArticle</b:SourceType>
    <b:Title>How perceived changes in the ethical culture of organizations influence the well-being of managers: A two-year longitudinal study</b:Title>
    <b:Tag>huhtala_how_2016</b:Tag>
    <b:Author>
      <b:Author>
        <b:NameList>
          <b:Person>
            <b:Last>Huhtala</b:Last>
            <b:First>Mari</b:First>
          </b:Person>
          <b:Person>
            <b:Last>Kaptein</b:Last>
            <b:First>Muel</b:First>
          </b:Person>
          <b:Person>
            <b:Last>Feldt</b:Last>
            <b:First>Taru</b:First>
          </b:Person>
        </b:NameList>
      </b:Author>
    </b:Author>
    <b:Pages>335–352</b:Pages>
    <b:Year>2016</b:Year>
    <b:JournalName>European Journal of Work and Organizational Psychology</b:JournalName>
    <b:Number>3</b:Number>
    <b:RefOrder>104</b:RefOrder>
  </b:Source>
  <b:Source>
    <b:BIBTEX_Entry>report</b:BIBTEX_Entry>
    <b:SourceType>Misc</b:SourceType>
    <b:Title>Evidence of a shift in the short-run price elasticity of gasoline demand</b:Title>
    <b:Tag>hughes_evidence_2006</b:Tag>
    <b:Institution>National Bureau of Economic Research</b:Institution>
    <b:Author>
      <b:Author>
        <b:NameList>
          <b:Person>
            <b:Last>Hughes</b:Last>
            <b:Middle>E.</b:Middle>
            <b:First>Jonathan</b:First>
          </b:Person>
          <b:Person>
            <b:Last>Knittel</b:Last>
            <b:Middle>R.</b:Middle>
            <b:First>Christopher</b:First>
          </b:Person>
          <b:Person>
            <b:Last>Sperling</b:Last>
            <b:First>Daniel</b:First>
          </b:Person>
        </b:NameList>
      </b:Author>
    </b:Author>
    <b:Year>2006</b:Year>
    <b:PublicationTitle>Evidence of a shift in the short-run price elasticity of gasoline demand</b:PublicationTitle>
    <b:RefOrder>105</b:RefOrder>
  </b:Source>
  <b:Source>
    <b:Volume>29</b:Volume>
    <b:BIBTEX_Entry>article</b:BIBTEX_Entry>
    <b:SourceType>JournalArticle</b:SourceType>
    <b:Title>Competencies needed for small business success: perceptions</b:Title>
    <b:Tag>huck_competencies_1991</b:Tag>
    <b:Author>
      <b:Author>
        <b:NameList>
          <b:Person>
            <b:Last>Huck</b:Last>
            <b:Middle>F.</b:Middle>
            <b:First>John</b:First>
          </b:Person>
          <b:Person>
            <b:Last>McEwen</b:Last>
            <b:First>Thaddeus</b:First>
          </b:Person>
        </b:NameList>
      </b:Author>
    </b:Author>
    <b:Pages>90</b:Pages>
    <b:Year>1991</b:Year>
    <b:JournalName>Journal of Small Business Management</b:JournalName>
    <b:Number>4</b:Number>
    <b:RefOrder>106</b:RefOrder>
  </b:Source>
  <b:Source>
    <b:BIBTEX_Entry>book</b:BIBTEX_Entry>
    <b:SourceType>Book</b:SourceType>
    <b:Title>Employee turnover</b:Title>
    <b:Tag>hom_employee_1995</b:Tag>
    <b:Publisher>South-Western Pub</b:Publisher>
    <b:Author>
      <b:Author>
        <b:NameList>
          <b:Person>
            <b:Last>Hom</b:Last>
            <b:Middle>W.</b:Middle>
            <b:First>Peter</b:First>
          </b:Person>
          <b:Person>
            <b:Last>Griffeth</b:Last>
            <b:Middle>W.</b:Middle>
            <b:First>Rodger</b:First>
          </b:Person>
        </b:NameList>
      </b:Author>
    </b:Author>
    <b:Year>1995</b:Year>
    <b:RefOrder>107</b:RefOrder>
  </b:Source>
  <b:Source>
    <b:BIBTEX_Entry>book</b:BIBTEX_Entry>
    <b:SourceType>Book</b:SourceType>
    <b:Title>The second shift: Working families and the revolution at home</b:Title>
    <b:Tag>hochschild_second_2012</b:Tag>
    <b:Publisher>Penguin</b:Publisher>
    <b:Author>
      <b:Author>
        <b:NameList>
          <b:Person>
            <b:Last>Hochschild</b:Last>
            <b:First>Arlie</b:First>
          </b:Person>
          <b:Person>
            <b:Last>Machung</b:Last>
            <b:First>Anne</b:First>
          </b:Person>
        </b:NameList>
      </b:Author>
    </b:Author>
    <b:Year>2012</b:Year>
    <b:RefOrder>108</b:RefOrder>
  </b:Source>
  <b:Source>
    <b:BIBTEX_Entry>article</b:BIBTEX_Entry>
    <b:SourceType>JournalArticle</b:SourceType>
    <b:Title>How Target figured out a teen girl was pregnant before her father did</b:Title>
    <b:Tag>hill_how_2012</b:Tag>
    <b:Author>
      <b:Author>
        <b:NameList>
          <b:Person>
            <b:Last>Hill</b:Last>
            <b:First>Kashmir</b:First>
          </b:Person>
        </b:NameList>
      </b:Author>
    </b:Author>
    <b:Year>2012</b:Year>
    <b:JournalName>Forbes, Inc</b:JournalName>
    <b:RefOrder>109</b:RefOrder>
  </b:Source>
  <b:Source>
    <b:Volume>466</b:Volume>
    <b:BIBTEX_Entry>article</b:BIBTEX_Entry>
    <b:SourceType>JournalArticle</b:SourceType>
    <b:Title>Most people are not WEIRD</b:Title>
    <b:Tag>henrich_most_2010</b:Tag>
    <b:Author>
      <b:Author>
        <b:NameList>
          <b:Person>
            <b:Last>Henrich</b:Last>
            <b:First>Joseph</b:First>
          </b:Person>
          <b:Person>
            <b:Last>Heine</b:Last>
            <b:Middle>J.</b:Middle>
            <b:First>Steven</b:First>
          </b:Person>
          <b:Person>
            <b:Last>Norenzayan</b:Last>
            <b:First>Ara</b:First>
          </b:Person>
        </b:NameList>
      </b:Author>
    </b:Author>
    <b:Pages>29</b:Pages>
    <b:Year>2010</b:Year>
    <b:JournalName>Nature</b:JournalName>
    <b:Number>7302</b:Number>
    <b:RefOrder>110</b:RefOrder>
  </b:Source>
  <b:Source>
    <b:BIBTEX_Entry>article</b:BIBTEX_Entry>
    <b:SourceType>JournalArticle</b:SourceType>
    <b:Title>Building multiple regression models interactively</b:Title>
    <b:Tag>henderson_building_1981</b:Tag>
    <b:Author>
      <b:Author>
        <b:NameList>
          <b:Person>
            <b:Last>Henderson</b:Last>
            <b:Middle>V.</b:Middle>
            <b:First>Harold</b:First>
          </b:Person>
          <b:Person>
            <b:Last>Velleman</b:Last>
            <b:Middle>F.</b:Middle>
            <b:First>Paul</b:First>
          </b:Person>
        </b:NameList>
      </b:Author>
    </b:Author>
    <b:Pages>391–411</b:Pages>
    <b:Year>1981</b:Year>
    <b:JournalName>Biometrics</b:JournalName>
    <b:RefOrder>111</b:RefOrder>
  </b:Source>
  <b:Source>
    <b:Volume>5</b:Volume>
    <b:BIBTEX_Entry>article</b:BIBTEX_Entry>
    <b:SourceType>JournalArticle</b:SourceType>
    <b:Title>Cultural norms &amp; business start-ups: the impact of national values on opportunity and necessity entrepreneurs</b:Title>
    <b:Tag>hechavarria_cultural_2009</b:Tag>
    <b:Author>
      <b:Author>
        <b:NameList>
          <b:Person>
            <b:Last>Hechavarria</b:Last>
            <b:Middle>M.</b:Middle>
            <b:First>Diana</b:First>
          </b:Person>
          <b:Person>
            <b:Last>Reynolds</b:Last>
            <b:Middle>D.</b:Middle>
            <b:First>Paul</b:First>
          </b:Person>
        </b:NameList>
      </b:Author>
    </b:Author>
    <b:Pages>417</b:Pages>
    <b:Year>2009</b:Year>
    <b:JournalName>International Entrepreneurship and Management Journal</b:JournalName>
    <b:Number>4</b:Number>
    <b:RefOrder>112</b:RefOrder>
  </b:Source>
  <b:Source>
    <b:BIBTEX_Entry>book</b:BIBTEX_Entry>
    <b:SourceType>Book</b:SourceType>
    <b:Title>Smoothing techniques: with implementation in S</b:Title>
    <b:Tag>hardle_smoothing_2012</b:Tag>
    <b:Publisher>Springer Science &amp; Business Media</b:Publisher>
    <b:Author>
      <b:Author>
        <b:NameList>
          <b:Person>
            <b:Last>Härdle</b:Last>
            <b:First>Wolfgang</b:First>
          </b:Person>
        </b:NameList>
      </b:Author>
    </b:Author>
    <b:Year>2012</b:Year>
    <b:RefOrder>113</b:RefOrder>
  </b:Source>
  <b:Source>
    <b:Volume>16</b:Volume>
    <b:BIBTEX_Entry>article</b:BIBTEX_Entry>
    <b:SourceType>JournalArticle</b:SourceType>
    <b:Title>Motivation through the design of work: Test of a theory</b:Title>
    <b:Tag>hackman_motivation_1976</b:Tag>
    <b:Author>
      <b:Author>
        <b:NameList>
          <b:Person>
            <b:Last>Hackman</b:Last>
            <b:Middle>Richard</b:Middle>
            <b:First>J.</b:First>
          </b:Person>
          <b:Person>
            <b:Last>Oldham</b:Last>
            <b:Middle>R.</b:Middle>
            <b:First>Greg</b:First>
          </b:Person>
        </b:NameList>
      </b:Author>
    </b:Author>
    <b:Pages>250–279</b:Pages>
    <b:Year>1976</b:Year>
    <b:JournalName>Organizational behavior and human performance</b:JournalName>
    <b:Number>2</b:Number>
    <b:RefOrder>114</b:RefOrder>
  </b:Source>
  <b:Source>
    <b:Volume>19</b:Volume>
    <b:BIBTEX_Entry>article</b:BIBTEX_Entry>
    <b:SourceType>JournalArticle</b:SourceType>
    <b:Title>On the inside looking in: Methodological insights and challenges in conducting qualitative insider research</b:Title>
    <b:Tag>greene_inside_2014</b:Tag>
    <b:Author>
      <b:Author>
        <b:NameList>
          <b:Person>
            <b:Last>Greene</b:Last>
            <b:Middle>J.</b:Middle>
            <b:First>Melanie</b:First>
          </b:Person>
        </b:NameList>
      </b:Author>
    </b:Author>
    <b:Pages>1–13</b:Pages>
    <b:Year>2014</b:Year>
    <b:JournalName>The qualitative report</b:JournalName>
    <b:Number>29</b:Number>
    <b:RefOrder>115</b:RefOrder>
  </b:Source>
  <b:Source>
    <b:Volume>35</b:Volume>
    <b:BIBTEX_Entry>article</b:BIBTEX_Entry>
    <b:SourceType>JournalArticle</b:SourceType>
    <b:Title>Direct-to-consumer advertising and pharmaceutical ethics: The case of Vioxx</b:Title>
    <b:Tag>green_direct--consumer_2006</b:Tag>
    <b:Author>
      <b:Author>
        <b:NameList>
          <b:Person>
            <b:Last>Green</b:Last>
            <b:Middle>M.</b:Middle>
            <b:First>Ronald</b:First>
          </b:Person>
        </b:NameList>
      </b:Author>
    </b:Author>
    <b:Pages>749</b:Pages>
    <b:Year>2006</b:Year>
    <b:JournalName>Hofstra L. Rev.</b:JournalName>
    <b:RefOrder>116</b:RefOrder>
  </b:Source>
  <b:Source>
    <b:BIBTEX_Entry>book</b:BIBTEX_Entry>
    <b:SourceType>Book</b:SourceType>
    <b:Title>Hobos, hustlers, and backsliders: Homeless in San Francisco</b:Title>
    <b:Tag>gowan_hobos_2010</b:Tag>
    <b:Publisher>U of Minnesota Press</b:Publisher>
    <b:Author>
      <b:Author>
        <b:NameList>
          <b:Person>
            <b:Last>Gowan</b:Last>
            <b:First>Teresa</b:First>
          </b:Person>
        </b:NameList>
      </b:Author>
    </b:Author>
    <b:Year>2010</b:Year>
    <b:RefOrder>117</b:RefOrder>
  </b:Source>
  <b:Source>
    <b:BIBTEX_Entry>inproceedings</b:BIBTEX_Entry>
    <b:SourceType>ConferenceProceedings</b:SourceType>
    <b:Title>How short is too short? Implications of length and framing on the effectiveness of privacy notices</b:Title>
    <b:Tag>gluck_how_2016</b:Tag>
    <b:BookTitle>12th Symposium on Usable Privacy and Security (SOUPS)</b:BookTitle>
    <b:Author>
      <b:Author>
        <b:NameList>
          <b:Person>
            <b:Last>Gluck</b:Last>
            <b:First>Joshua</b:First>
          </b:Person>
          <b:Person>
            <b:Last>Schaub</b:Last>
            <b:First>Florian</b:First>
          </b:Person>
          <b:Person>
            <b:Last>Friedman</b:Last>
            <b:First>Amy</b:First>
          </b:Person>
          <b:Person>
            <b:Last>Habib</b:Last>
            <b:First>Hana</b:First>
          </b:Person>
          <b:Person>
            <b:Last>Sadeh</b:Last>
            <b:First>Norman</b:First>
          </b:Person>
          <b:Person>
            <b:Last>Cranor</b:Last>
            <b:Middle>Faith</b:Middle>
            <b:First>Lorrie</b:First>
          </b:Person>
          <b:Person>
            <b:Last>Agarwal</b:Last>
            <b:First>Yuvraj</b:First>
          </b:Person>
        </b:NameList>
      </b:Author>
    </b:Author>
    <b:Pages>321–340</b:Pages>
    <b:Year>2016</b:Year>
    <b:ConferenceName>12th Symposium on Usable Privacy and Security (SOUPS)</b:ConferenceName>
    <b:RefOrder>118</b:RefOrder>
  </b:Source>
  <b:Source>
    <b:BIBTEX_Entry>book</b:BIBTEX_Entry>
    <b:SourceType>Book</b:SourceType>
    <b:Title>Phenomenology.</b:Title>
    <b:Tag>giorgi_phenomenology_2003</b:Tag>
    <b:Publisher>Sage Publications, Inc</b:Publisher>
    <b:Author>
      <b:Author>
        <b:NameList>
          <b:Person>
            <b:Last>Giorgi</b:Last>
            <b:First>Amedeo</b:First>
          </b:Person>
          <b:Person>
            <b:Last>Giorgi</b:Last>
            <b:First>Barbro</b:First>
          </b:Person>
        </b:NameList>
      </b:Author>
    </b:Author>
    <b:Year>2003</b:Year>
    <b:RefOrder>119</b:RefOrder>
  </b:Source>
  <b:Source>
    <b:Volume>64</b:Volume>
    <b:BIBTEX_Entry>article</b:BIBTEX_Entry>
    <b:SourceType>JournalArticle</b:SourceType>
    <b:Title>The use of visual warnings in social marketing: The case of tobacco</b:Title>
    <b:Tag>gallopel-morvan_use_2011</b:Tag>
    <b:Author>
      <b:Author>
        <b:NameList>
          <b:Person>
            <b:Last>Gallopel-Morvan</b:Last>
            <b:First>Karine</b:First>
          </b:Person>
          <b:Person>
            <b:Last>Gabriel</b:Last>
            <b:First>Patrick</b:First>
          </b:Person>
          <b:Person>
            <b:Last>Le Gall-Ely</b:Last>
            <b:First>Marine</b:First>
          </b:Person>
          <b:Person>
            <b:Last>Rieunier</b:Last>
            <b:First>Sophie</b:First>
          </b:Person>
          <b:Person>
            <b:Last>Urien</b:Last>
            <b:First>Bertrand</b:First>
          </b:Person>
        </b:NameList>
      </b:Author>
    </b:Author>
    <b:Pages>7–11</b:Pages>
    <b:Year>2011</b:Year>
    <b:JournalName>Journal of Business Research</b:JournalName>
    <b:Number>1</b:Number>
    <b:RefOrder>120</b:RefOrder>
  </b:Source>
  <b:Source>
    <b:Volume>27</b:Volume>
    <b:BIBTEX_Entry>article</b:BIBTEX_Entry>
    <b:SourceType>JournalArticle</b:SourceType>
    <b:Title>The appropriateness of using laboratories and student participants in gambling research</b:Title>
    <b:Tag>gainsbury_appropriateness_2011</b:Tag>
    <b:Author>
      <b:Author>
        <b:NameList>
          <b:Person>
            <b:Last>Gainsbury</b:Last>
            <b:First>Sally</b:First>
          </b:Person>
          <b:Person>
            <b:Last>Blaszczynski</b:Last>
            <b:First>Alex</b:First>
          </b:Person>
        </b:NameList>
      </b:Author>
    </b:Author>
    <b:Pages>83–97</b:Pages>
    <b:Year>2011</b:Year>
    <b:JournalName>Journal of Gambling Studies</b:JournalName>
    <b:Number>1</b:Number>
    <b:RefOrder>121</b:RefOrder>
  </b:Source>
  <b:Source>
    <b:BIBTEX_Entry>book</b:BIBTEX_Entry>
    <b:SourceType>Book</b:SourceType>
    <b:Title>A history and theory of informed consent</b:Title>
    <b:Tag>faden_history_1986</b:Tag>
    <b:Publisher>Oxford University Press</b:Publisher>
    <b:Author>
      <b:Author>
        <b:NameList>
          <b:Person>
            <b:Last>Faden</b:Last>
            <b:Middle>R.</b:Middle>
            <b:First>Ruth</b:First>
          </b:Person>
          <b:Person>
            <b:Last>Beauchamp</b:Last>
            <b:Middle>L.</b:Middle>
            <b:First>Tom</b:First>
          </b:Person>
        </b:NameList>
      </b:Author>
    </b:Author>
    <b:Year>1986</b:Year>
    <b:RefOrder>122</b:RefOrder>
  </b:Source>
  <b:Source>
    <b:BIBTEX_Entry>article</b:BIBTEX_Entry>
    <b:SourceType>JournalArticle</b:SourceType>
    <b:Title>SECRET</b:Title>
    <b:Tag>evans_secret_2005</b:Tag>
    <b:Author>
      <b:Author>
        <b:NameList>
          <b:Person>
            <b:Last>Evans</b:Last>
            <b:First>David</b:First>
          </b:Person>
          <b:Person>
            <b:Last>Smith</b:Last>
            <b:First>Michael</b:First>
          </b:Person>
          <b:Person>
            <b:Last>Willen</b:Last>
            <b:First>Liz</b:First>
          </b:Person>
        </b:NameList>
      </b:Author>
    </b:Author>
    <b:Year>2005</b:Year>
    <b:RefOrder>123</b:RefOrder>
  </b:Source>
  <b:Source>
    <b:BIBTEX_Entry>article</b:BIBTEX_Entry>
    <b:SourceType>JournalArticle</b:SourceType>
    <b:Title>Qualitative methods in social research</b:Title>
    <b:Tag>esterberg_qualitative_2002</b:Tag>
    <b:Author>
      <b:Author>
        <b:NameList>
          <b:Person>
            <b:Last>Esterberg</b:Last>
            <b:Middle>G.</b:Middle>
            <b:First>Kristin</b:First>
          </b:Person>
        </b:NameList>
      </b:Author>
    </b:Author>
    <b:Year>2002</b:Year>
    <b:RefOrder>124</b:RefOrder>
  </b:Source>
  <b:Source>
    <b:BIBTEX_Entry>article</b:BIBTEX_Entry>
    <b:SourceType>JournalArticle</b:SourceType>
    <b:Title>Who is getting a college education? Family background and the growing gaps in enrollment</b:Title>
    <b:Tag>ellwood_who_2000</b:Tag>
    <b:Author>
      <b:Author>
        <b:NameList>
          <b:Person>
            <b:Last>Ellwood</b:Last>
            <b:First>David</b:First>
          </b:Person>
          <b:Person>
            <b:Last>Kane</b:Last>
            <b:Middle>J.</b:Middle>
            <b:First>Thomas</b:First>
          </b:Person>
          <b:Person>
            <b:Last>others</b:Last>
          </b:Person>
        </b:NameList>
      </b:Author>
    </b:Author>
    <b:Pages>283–324</b:Pages>
    <b:Year>2000</b:Year>
    <b:JournalName>Securing the future: Investing in children from birth to college</b:JournalName>
    <b:RefOrder>125</b:RefOrder>
  </b:Source>
  <b:Source>
    <b:Volume>50</b:Volume>
    <b:BIBTEX_Entry>article</b:BIBTEX_Entry>
    <b:SourceType>JournalArticle</b:SourceType>
    <b:Title>Theory building from cases: Opportunities and challenges</b:Title>
    <b:Tag>eisenhardt_theory_2007</b:Tag>
    <b:Author>
      <b:Author>
        <b:NameList>
          <b:Person>
            <b:Last>Eisenhardt</b:Last>
            <b:Middle>M.</b:Middle>
            <b:First>Kathleen</b:First>
          </b:Person>
          <b:Person>
            <b:Last>Graebner</b:Last>
            <b:Middle>E.</b:Middle>
            <b:First>Melissa</b:First>
          </b:Person>
        </b:NameList>
      </b:Author>
    </b:Author>
    <b:Pages>25–32</b:Pages>
    <b:Year>2007</b:Year>
    <b:JournalName>The Academy of Management Journal</b:JournalName>
    <b:Number>1</b:Number>
    <b:RefOrder>126</b:RefOrder>
  </b:Source>
  <b:Source>
    <b:Volume>32</b:Volume>
    <b:BIBTEX_Entry>article</b:BIBTEX_Entry>
    <b:SourceType>JournalArticle</b:SourceType>
    <b:Title>Making fast strategic decisions in high-velocity environments</b:Title>
    <b:Tag>eisenhardt_making_1989</b:Tag>
    <b:Author>
      <b:Author>
        <b:NameList>
          <b:Person>
            <b:Last>Eisenhardt</b:Last>
            <b:Middle>M.</b:Middle>
            <b:First>Kathleen</b:First>
          </b:Person>
        </b:NameList>
      </b:Author>
    </b:Author>
    <b:Pages>543–576</b:Pages>
    <b:Year>1989</b:Year>
    <b:JournalName>Academy of Management journal</b:JournalName>
    <b:Number>3</b:Number>
    <b:RefOrder>127</b:RefOrder>
  </b:Source>
  <b:Source>
    <b:Volume>168</b:Volume>
    <b:BIBTEX_Entry>article</b:BIBTEX_Entry>
    <b:SourceType>JournalArticle</b:SourceType>
    <b:Title>Electronic cigarettes and conventional cigarette use among US adolescents: a cross-sectional study</b:Title>
    <b:Tag>dutra_electronic_2014</b:Tag>
    <b:Author>
      <b:Author>
        <b:NameList>
          <b:Person>
            <b:Last>Dutra</b:Last>
            <b:Middle>M.</b:Middle>
            <b:First>Lauren</b:First>
          </b:Person>
          <b:Person>
            <b:Last>Glantz</b:Last>
            <b:Middle>A.</b:Middle>
            <b:First>Stanton</b:First>
          </b:Person>
        </b:NameList>
      </b:Author>
    </b:Author>
    <b:Pages>610–617</b:Pages>
    <b:Year>2014</b:Year>
    <b:JournalName>JAMA pediatrics</b:JournalName>
    <b:Number>7</b:Number>
    <b:RefOrder>128</b:RefOrder>
  </b:Source>
  <b:Source>
    <b:Volume>16</b:Volume>
    <b:BIBTEX_Entry>article</b:BIBTEX_Entry>
    <b:SourceType>JournalArticle</b:SourceType>
    <b:Title>How companies learn your secrets</b:Title>
    <b:Tag>duhigg_how_2012</b:Tag>
    <b:Author>
      <b:Author>
        <b:NameList>
          <b:Person>
            <b:Last>Duhigg</b:Last>
            <b:First>Charles</b:First>
          </b:Person>
        </b:NameList>
      </b:Author>
    </b:Author>
    <b:Pages>2012</b:Pages>
    <b:Year>2012</b:Year>
    <b:JournalName>The New York Times</b:JournalName>
    <b:RefOrder>129</b:RefOrder>
  </b:Source>
  <b:Source>
    <b:Volume>38</b:Volume>
    <b:BIBTEX_Entry>article</b:BIBTEX_Entry>
    <b:SourceType>JournalArticle</b:SourceType>
    <b:Title>Validity and reliability in social science research</b:Title>
    <b:Tag>drost_validity_2011</b:Tag>
    <b:Author>
      <b:Author>
        <b:NameList>
          <b:Person>
            <b:Last>Drost</b:Last>
            <b:Middle>A.</b:Middle>
            <b:First>Ellen</b:First>
          </b:Person>
          <b:Person>
            <b:Last>others</b:Last>
          </b:Person>
        </b:NameList>
      </b:Author>
    </b:Author>
    <b:Pages>105</b:Pages>
    <b:Year>2011</b:Year>
    <b:JournalName>Education Research and perspectives</b:JournalName>
    <b:Number>1</b:Number>
    <b:RefOrder>130</b:RefOrder>
  </b:Source>
  <b:Source>
    <b:Volume>4</b:Volume>
    <b:BIBTEX_Entry>article</b:BIBTEX_Entry>
    <b:SourceType>JournalArticle</b:SourceType>
    <b:Title>Paradigm talk reconsidered</b:Title>
    <b:Tag>donmoyer_paradigm_2001</b:Tag>
    <b:Author>
      <b:Author>
        <b:NameList>
          <b:Person>
            <b:Last>Donmoyer</b:Last>
            <b:First>Robert</b:First>
          </b:Person>
        </b:NameList>
      </b:Author>
    </b:Author>
    <b:Pages>174–197</b:Pages>
    <b:Year>2001</b:Year>
    <b:JournalName>Handbook of research on teaching</b:JournalName>
    <b:RefOrder>131</b:RefOrder>
  </b:Source>
  <b:Source>
    <b:BIBTEX_Entry>article</b:BIBTEX_Entry>
    <b:SourceType>JournalArticle</b:SourceType>
    <b:Title>Time and job satisfaction: A longitudinal study of the differential roles of age and tenure</b:Title>
    <b:Tag>dobrow_riza_time_2015</b:Tag>
    <b:Author>
      <b:Author>
        <b:NameList>
          <b:Person>
            <b:Last>Dobrow Riza</b:Last>
            <b:First>Shoshana</b:First>
          </b:Person>
          <b:Person>
            <b:Last>Ganzach</b:Last>
            <b:First>Yoav</b:First>
          </b:Person>
          <b:Person>
            <b:Last>Liu</b:Last>
            <b:First>Yihao</b:First>
          </b:Person>
        </b:NameList>
      </b:Author>
    </b:Author>
    <b:Year>2015</b:Year>
    <b:JournalName>Journal of management</b:JournalName>
    <b:RefOrder>132</b:RefOrder>
  </b:Source>
  <b:Source>
    <b:BIBTEX_Entry>book</b:BIBTEX_Entry>
    <b:SourceType>Book</b:SourceType>
    <b:Title>Mail and Internet surveys: The tailored design method–2007 Update with new Internet, visual, and mixed-mode guide</b:Title>
    <b:Tag>dillman_mail_2011</b:Tag>
    <b:Publisher>John Wiley &amp; Sons</b:Publisher>
    <b:Author>
      <b:Author>
        <b:NameList>
          <b:Person>
            <b:Last>Dillman</b:Last>
            <b:Middle>A.</b:Middle>
            <b:First>Don</b:First>
          </b:Person>
        </b:NameList>
      </b:Author>
    </b:Author>
    <b:Year>2011</b:Year>
    <b:RefOrder>133</b:RefOrder>
  </b:Source>
  <b:Source>
    <b:BIBTEX_Entry>online</b:BIBTEX_Entry>
    <b:SourceType>InternetSite</b:SourceType>
    <b:Title>Definition of Ethics</b:Title>
    <b:Tag>dictionaries_definition_2018</b:Tag>
    <b:URL>https://en.oxforddictionaries.com/definition/ethics</b:URL>
    <b:Author>
      <b:Author>
        <b:NameList>
          <b:Person>
            <b:Last>Dictionaries</b:Last>
            <b:Middle>Living</b:Middle>
            <b:First>Oxford</b:First>
          </b:Person>
        </b:NameList>
      </b:Author>
    </b:Author>
    <b:Year>2018</b:Year>
    <b:InternetSiteTitle>Definition of Ethics</b:InternetSiteTitle>
    <b:RefOrder>134</b:RefOrder>
  </b:Source>
  <b:Source>
    <b:Volume>25</b:Volume>
    <b:BIBTEX_Entry>article</b:BIBTEX_Entry>
    <b:SourceType>JournalArticle</b:SourceType>
    <b:Title>Gender in context, content, and approach: Comparing gender messages in Girl Scout and Boy Scout handbooks</b:Title>
    <b:Tag>denny_gender_2011</b:Tag>
    <b:Author>
      <b:Author>
        <b:NameList>
          <b:Person>
            <b:Last>Denny</b:Last>
            <b:Middle>E.</b:Middle>
            <b:First>Kathleen</b:First>
          </b:Person>
        </b:NameList>
      </b:Author>
    </b:Author>
    <b:Pages>27–47</b:Pages>
    <b:Year>2011</b:Year>
    <b:JournalName>Gender &amp; Society</b:JournalName>
    <b:Number>1</b:Number>
    <b:RefOrder>135</b:RefOrder>
  </b:Source>
  <b:Source>
    <b:BIBTEX_Entry>book</b:BIBTEX_Entry>
    <b:SourceType>Book</b:SourceType>
    <b:Title>Corporate culture and organizational effectiveness.</b:Title>
    <b:Tag>denison_corporate_1990</b:Tag>
    <b:Publisher>John Wiley &amp; Sons</b:Publisher>
    <b:Author>
      <b:Author>
        <b:NameList>
          <b:Person>
            <b:Last>Denison</b:Last>
            <b:Middle>R.</b:Middle>
            <b:First>Daniel</b:First>
          </b:Person>
        </b:NameList>
      </b:Author>
    </b:Author>
    <b:Year>1990</b:Year>
    <b:RefOrder>136</b:RefOrder>
  </b:Source>
  <b:Source>
    <b:Volume>39</b:Volume>
    <b:BIBTEX_Entry>article</b:BIBTEX_Entry>
    <b:SourceType>JournalArticle</b:SourceType>
    <b:Title>The impact of human resource management practices on perceptions of organizational performance</b:Title>
    <b:Tag>delaney_impact_1996</b:Tag>
    <b:Author>
      <b:Author>
        <b:NameList>
          <b:Person>
            <b:Last>Delaney</b:Last>
            <b:Middle>T.</b:Middle>
            <b:First>John</b:First>
          </b:Person>
          <b:Person>
            <b:Last>Huselid</b:Last>
            <b:Middle>A.</b:Middle>
            <b:First>Mark</b:First>
          </b:Person>
        </b:NameList>
      </b:Author>
    </b:Author>
    <b:Pages>949–969</b:Pages>
    <b:Year>1996</b:Year>
    <b:JournalName>Academy of Management journal</b:JournalName>
    <b:Number>4</b:Number>
    <b:RefOrder>137</b:RefOrder>
  </b:Source>
  <b:Source>
    <b:Volume>1</b:Volume>
    <b:BIBTEX_Entry>article</b:BIBTEX_Entry>
    <b:SourceType>JournalArticle</b:SourceType>
    <b:Title>Normal misbehavior: Scientists talk about the ethics of research</b:Title>
    <b:Tag>de_vries_normal_2006</b:Tag>
    <b:Author>
      <b:Author>
        <b:NameList>
          <b:Person>
            <b:Last>De Vries</b:Last>
            <b:First>Raymond</b:First>
          </b:Person>
          <b:Person>
            <b:Last>Anderson</b:Last>
            <b:Middle>S.</b:Middle>
            <b:First>Melissa</b:First>
          </b:Person>
          <b:Person>
            <b:Last>Martinson</b:Last>
            <b:Middle>C.</b:Middle>
            <b:First>Brian</b:First>
          </b:Person>
        </b:NameList>
      </b:Author>
    </b:Author>
    <b:Pages>43–50</b:Pages>
    <b:Year>2006</b:Year>
    <b:JournalName>Journal of Empirical Research on Human Research Ethics</b:JournalName>
    <b:Number>1</b:Number>
    <b:RefOrder>138</b:RefOrder>
  </b:Source>
  <b:Source>
    <b:Volume>43</b:Volume>
    <b:BIBTEX_Entry>article</b:BIBTEX_Entry>
    <b:SourceType>JournalArticle</b:SourceType>
    <b:Title>Transit service quality analysis using cluster analysis and decision trees: a step forward to personalized marketing in public transportation</b:Title>
    <b:Tag>de_ona_transit_2016</b:Tag>
    <b:Author>
      <b:Author>
        <b:NameList>
          <b:Person>
            <b:Last>de Oña</b:Last>
            <b:First>Juan</b:First>
          </b:Person>
          <b:Person>
            <b:Last>de Oña</b:Last>
            <b:First>Rocío</b:First>
          </b:Person>
          <b:Person>
            <b:Last>López</b:Last>
            <b:First>Griselda</b:First>
          </b:Person>
        </b:NameList>
      </b:Author>
    </b:Author>
    <b:Pages>725–747</b:Pages>
    <b:Year>2016</b:Year>
    <b:JournalName>Transportation</b:JournalName>
    <b:Number>5</b:Number>
    <b:RefOrder>139</b:RefOrder>
  </b:Source>
  <b:Source>
    <b:Volume>29</b:Volume>
    <b:BIBTEX_Entry>article</b:BIBTEX_Entry>
    <b:SourceType>JournalArticle</b:SourceType>
    <b:Title>Beyond the numbers: Measuring the information content of earnings press release language</b:Title>
    <b:Tag>davis_beyond_2012</b:Tag>
    <b:Author>
      <b:Author>
        <b:NameList>
          <b:Person>
            <b:Last>Davis</b:Last>
            <b:Middle>K.</b:Middle>
            <b:First>Angela</b:First>
          </b:Person>
          <b:Person>
            <b:Last>Piger</b:Last>
            <b:Middle>M.</b:Middle>
            <b:First>Jeremy</b:First>
          </b:Person>
          <b:Person>
            <b:Last>Sedor</b:Last>
            <b:Middle>M.</b:Middle>
            <b:First>Lisa</b:First>
          </b:Person>
        </b:NameList>
      </b:Author>
    </b:Author>
    <b:Pages>845–868</b:Pages>
    <b:Year>2012</b:Year>
    <b:JournalName>Contemporary Accounting Research</b:JournalName>
    <b:Number>3</b:Number>
    <b:RefOrder>140</b:RefOrder>
  </b:Source>
  <b:Source>
    <b:Volume>19</b:Volume>
    <b:BIBTEX_Entry>article</b:BIBTEX_Entry>
    <b:SourceType>JournalArticle</b:SourceType>
    <b:Title>Corporate social responsibility in small-and medium-size enterprises: investigating employee engagement in fair trade companies</b:Title>
    <b:Tag>davies_corporate_2010</b:Tag>
    <b:Author>
      <b:Author>
        <b:NameList>
          <b:Person>
            <b:Last>Davies</b:Last>
            <b:Middle>A.</b:Middle>
            <b:First>Iain</b:First>
          </b:Person>
          <b:Person>
            <b:Last>Crane</b:Last>
            <b:First>Andrew</b:First>
          </b:Person>
        </b:NameList>
      </b:Author>
    </b:Author>
    <b:Pages>126–139</b:Pages>
    <b:Year>2010</b:Year>
    <b:JournalName>Business Ethics: A European Review</b:JournalName>
    <b:Number>2</b:Number>
    <b:RefOrder>141</b:RefOrder>
  </b:Source>
  <b:Source>
    <b:Volume>19</b:Volume>
    <b:BIBTEX_Entry>article</b:BIBTEX_Entry>
    <b:SourceType>JournalArticle</b:SourceType>
    <b:Title>The Exxon Valdez Oil Spill and the Confidentiality of Natural Resource Damage Assessment Data</b:Title>
    <b:Tag>cummings_exxon_1992</b:Tag>
    <b:Author>
      <b:Author>
        <b:NameList>
          <b:Person>
            <b:Last>Cummings</b:Last>
            <b:Middle>D.</b:Middle>
            <b:First>Ann</b:First>
          </b:Person>
        </b:NameList>
      </b:Author>
    </b:Author>
    <b:Pages>363</b:Pages>
    <b:Year>1992</b:Year>
    <b:JournalName>Ecology LQ</b:JournalName>
    <b:RefOrder>142</b:RefOrder>
  </b:Source>
  <b:Source>
    <b:Volume>96</b:Volume>
    <b:BIBTEX_Entry>article</b:BIBTEX_Entry>
    <b:SourceType>JournalArticle</b:SourceType>
    <b:Title>Does human capital matter? A meta-analysis of the relationship between human capital and firm performance.</b:Title>
    <b:Tag>crook_does_2011</b:Tag>
    <b:Author>
      <b:Author>
        <b:NameList>
          <b:Person>
            <b:Last>Crook</b:Last>
            <b:Middle>Russell</b:Middle>
            <b:First>T.</b:First>
          </b:Person>
          <b:Person>
            <b:Last>Todd</b:Last>
            <b:Middle>Y.</b:Middle>
            <b:First>Samuel</b:First>
          </b:Person>
          <b:Person>
            <b:Last>Combs</b:Last>
            <b:Middle>G.</b:Middle>
            <b:First>James</b:First>
          </b:Person>
          <b:Person>
            <b:Last>Woehr</b:Last>
            <b:Middle>J.</b:Middle>
            <b:First>David</b:First>
          </b:Person>
          <b:Person>
            <b:Last>Ketchen Jr</b:Last>
            <b:Middle>J.</b:Middle>
            <b:First>David</b:First>
          </b:Person>
        </b:NameList>
      </b:Author>
    </b:Author>
    <b:Pages>443</b:Pages>
    <b:Year>2011</b:Year>
    <b:JournalName>Journal of applied psychology</b:JournalName>
    <b:Number>3</b:Number>
    <b:RefOrder>143</b:RefOrder>
  </b:Source>
  <b:Source>
    <b:BIBTEX_Entry>article</b:BIBTEX_Entry>
    <b:SourceType>JournalArticle</b:SourceType>
    <b:Title>Research design: qualitative, quantitative, and mixed methods approaches</b:Title>
    <b:Tag>creswell_research_2014</b:Tag>
    <b:Author>
      <b:Author>
        <b:NameList>
          <b:Person>
            <b:Last>Creswell</b:Last>
            <b:Middle>W.</b:Middle>
            <b:First>John</b:First>
          </b:Person>
        </b:NameList>
      </b:Author>
    </b:Author>
    <b:Year>2014</b:Year>
    <b:RefOrder>144</b:RefOrder>
  </b:Source>
  <b:Source>
    <b:Volume>2</b:Volume>
    <b:BIBTEX_Entry>article</b:BIBTEX_Entry>
    <b:SourceType>JournalArticle</b:SourceType>
    <b:Title>Designing a mixed methods study in primary care</b:Title>
    <b:Tag>creswell_designing_2004</b:Tag>
    <b:Author>
      <b:Author>
        <b:NameList>
          <b:Person>
            <b:Last>Creswell</b:Last>
            <b:Middle>W.</b:Middle>
            <b:First>John</b:First>
          </b:Person>
          <b:Person>
            <b:Last>Fetters</b:Last>
            <b:Middle>D.</b:Middle>
            <b:First>Michael</b:First>
          </b:Person>
          <b:Person>
            <b:Last>Ivankova</b:Last>
            <b:Middle>V.</b:Middle>
            <b:First>Nataliya</b:First>
          </b:Person>
        </b:NameList>
      </b:Author>
    </b:Author>
    <b:Pages>7–12</b:Pages>
    <b:Year>2004</b:Year>
    <b:JournalName>The Annals of Family Medicine</b:JournalName>
    <b:Number>1</b:Number>
    <b:RefOrder>145</b:RefOrder>
  </b:Source>
  <b:Source>
    <b:BIBTEX_Entry>online</b:BIBTEX_Entry>
    <b:SourceType>InternetSite</b:SourceType>
    <b:Title>Research with Children and Young People</b:Title>
    <b:Tag>council_research_2019</b:Tag>
    <b:URL>https://www.kirklees.gov.uk/involve/document/ResearchChildrenYoungPeople.pdf</b:URL>
    <b:Author>
      <b:Author>
        <b:NameList>
          <b:Person>
            <b:Last>Council</b:Last>
            <b:First>Kirklees</b:First>
          </b:Person>
        </b:NameList>
      </b:Author>
    </b:Author>
    <b:Year>2019</b:Year>
    <b:InternetSiteTitle>Research with Children and Young People</b:InternetSiteTitle>
    <b:RefOrder>146</b:RefOrder>
  </b:Source>
  <b:Source>
    <b:BIBTEX_Entry>online</b:BIBTEX_Entry>
    <b:SourceType>InternetSite</b:SourceType>
    <b:Title>Ethical Issues in Research</b:Title>
    <b:Tag>council_ethical_2019</b:Tag>
    <b:URL>https://www.kirklees.gov.uk/involve/document/EthicalIssues.pdf</b:URL>
    <b:Author>
      <b:Author>
        <b:NameList>
          <b:Person>
            <b:Last>Council</b:Last>
            <b:First>Kirklees</b:First>
          </b:Person>
        </b:NameList>
      </b:Author>
    </b:Author>
    <b:Year>2019</b:Year>
    <b:InternetSiteTitle>Ethical Issues in Research</b:InternetSiteTitle>
    <b:RefOrder>147</b:RefOrder>
  </b:Source>
  <b:Source>
    <b:Volume>13</b:Volume>
    <b:BIBTEX_Entry>article</b:BIBTEX_Entry>
    <b:SourceType>JournalArticle</b:SourceType>
    <b:Title>Grounded theory research: Procedures, canons, and evaluative criteria</b:Title>
    <b:Tag>corbin_grounded_1990</b:Tag>
    <b:Author>
      <b:Author>
        <b:NameList>
          <b:Person>
            <b:Last>Corbin</b:Last>
            <b:Middle>M.</b:Middle>
            <b:First>Juliet</b:First>
          </b:Person>
          <b:Person>
            <b:Last>Strauss</b:Last>
            <b:First>Anselm</b:First>
          </b:Person>
        </b:NameList>
      </b:Author>
    </b:Author>
    <b:Pages>3–21</b:Pages>
    <b:Year>1990</b:Year>
    <b:JournalName>Qualitative sociology</b:JournalName>
    <b:Number>1</b:Number>
    <b:RefOrder>148</b:RefOrder>
  </b:Source>
  <b:Source>
    <b:Volume>35</b:Volume>
    <b:BIBTEX_Entry>article</b:BIBTEX_Entry>
    <b:SourceType>JournalArticle</b:SourceType>
    <b:Title>Research malpractice</b:Title>
    <b:Tag>chubin_research_1985</b:Tag>
    <b:Author>
      <b:Author>
        <b:NameList>
          <b:Person>
            <b:Last>Chubin</b:Last>
            <b:Middle>E.</b:Middle>
            <b:First>Daryl</b:First>
          </b:Person>
        </b:NameList>
      </b:Author>
    </b:Author>
    <b:Pages>80–89</b:Pages>
    <b:Year>1985</b:Year>
    <b:JournalName>BioScience</b:JournalName>
    <b:Number>2</b:Number>
    <b:RefOrder>149</b:RefOrder>
  </b:Source>
  <b:Source>
    <b:Volume>6</b:Volume>
    <b:BIBTEX_Entry>article</b:BIBTEX_Entry>
    <b:SourceType>JournalArticle</b:SourceType>
    <b:Title>Validity in qualitative research revisited</b:Title>
    <b:Tag>cho_validity_2006</b:Tag>
    <b:Author>
      <b:Author>
        <b:NameList>
          <b:Person>
            <b:Last>Cho</b:Last>
            <b:First>Jeasik</b:First>
          </b:Person>
          <b:Person>
            <b:Last>Trent</b:Last>
            <b:First>Allen</b:First>
          </b:Person>
        </b:NameList>
      </b:Author>
    </b:Author>
    <b:Pages>319–340</b:Pages>
    <b:Year>2006</b:Year>
    <b:JournalName>Qualitative research</b:JournalName>
    <b:Number>3</b:Number>
    <b:RefOrder>150</b:RefOrder>
  </b:Source>
  <b:Source>
    <b:Volume>18</b:Volume>
    <b:BIBTEX_Entry>article</b:BIBTEX_Entry>
    <b:SourceType>JournalArticle</b:SourceType>
    <b:Title>Marketing sugary cereals to children in the digital age: a content analysis of 17 child-targeted websites</b:Title>
    <b:Tag>cheyne_marketing_2013</b:Tag>
    <b:Author>
      <b:Author>
        <b:NameList>
          <b:Person>
            <b:Last>Cheyne</b:Last>
            <b:Middle>D.</b:Middle>
            <b:First>Andrew</b:First>
          </b:Person>
          <b:Person>
            <b:Last>Dorfman</b:Last>
            <b:First>Lori</b:First>
          </b:Person>
          <b:Person>
            <b:Last>Bukofzer</b:Last>
            <b:First>Eliana</b:First>
          </b:Person>
          <b:Person>
            <b:Last>Harris</b:Last>
            <b:Middle>L.</b:Middle>
            <b:First>Jennifer</b:First>
          </b:Person>
        </b:NameList>
      </b:Author>
    </b:Author>
    <b:Pages>563–582</b:Pages>
    <b:Year>2013</b:Year>
    <b:JournalName>Journal of health communication</b:JournalName>
    <b:Number>5</b:Number>
    <b:RefOrder>151</b:RefOrder>
  </b:Source>
  <b:Source>
    <b:Volume>5</b:Volume>
    <b:BIBTEX_Entry>article</b:BIBTEX_Entry>
    <b:SourceType>JournalArticle</b:SourceType>
    <b:Title>Reporting on immigration: A content analysis of major US newspapers' coverage of Mexican immigration</b:Title>
    <b:Tag>chavez_reporting_2010</b:Tag>
    <b:Author>
      <b:Author>
        <b:NameList>
          <b:Person>
            <b:Last>Chavez</b:Last>
            <b:First>Manuel</b:First>
          </b:Person>
          <b:Person>
            <b:Last>Whiteford</b:Last>
            <b:First>Scott</b:First>
          </b:Person>
          <b:Person>
            <b:Last>Hoewe</b:Last>
            <b:First>Jennifer</b:First>
          </b:Person>
        </b:NameList>
      </b:Author>
    </b:Author>
    <b:Pages>111–125</b:Pages>
    <b:Year>2010</b:Year>
    <b:JournalName>Norteamérica</b:JournalName>
    <b:Number>2</b:Number>
    <b:RefOrder>152</b:RefOrder>
  </b:Source>
  <b:Source>
    <b:BIBTEX_Entry>book</b:BIBTEX_Entry>
    <b:SourceType>Book</b:SourceType>
    <b:Title>The information world of retired women</b:Title>
    <b:Tag>chatman_information_1992</b:Tag>
    <b:Publisher>Greenwood Publishing Group</b:Publisher>
    <b:Author>
      <b:Author>
        <b:NameList>
          <b:Person>
            <b:Last>Chatman</b:Last>
            <b:Middle>Annmary</b:Middle>
            <b:First>Elfreda</b:First>
          </b:Person>
        </b:NameList>
      </b:Author>
    </b:Author>
    <b:Year>1992</b:Year>
    <b:Number>29</b:Number>
    <b:RefOrder>153</b:RefOrder>
  </b:Source>
  <b:Source>
    <b:Volume>3</b:Volume>
    <b:BIBTEX_Entry>article</b:BIBTEX_Entry>
    <b:SourceType>JournalArticle</b:SourceType>
    <b:Title>Demystifying Mixed Methods Research Design: A Review of the Literature.</b:Title>
    <b:Tag>caruth_demystifying_2013</b:Tag>
    <b:Author>
      <b:Author>
        <b:NameList>
          <b:Person>
            <b:Last>Caruth</b:Last>
            <b:Middle>D.</b:Middle>
            <b:First>Gail</b:First>
          </b:Person>
        </b:NameList>
      </b:Author>
    </b:Author>
    <b:Pages>112–122</b:Pages>
    <b:Year>2013</b:Year>
    <b:JournalName>Online Submission</b:JournalName>
    <b:Number>2</b:Number>
    <b:RefOrder>154</b:RefOrder>
  </b:Source>
  <b:Source>
    <b:Volume>99</b:Volume>
    <b:BIBTEX_Entry>article</b:BIBTEX_Entry>
    <b:SourceType>JournalArticle</b:SourceType>
    <b:Title>Observational learning: Evidence from a randomized natural field experiment</b:Title>
    <b:Tag>cai_observational_2009</b:Tag>
    <b:Author>
      <b:Author>
        <b:NameList>
          <b:Person>
            <b:Last>Cai</b:Last>
            <b:First>Hongbin</b:First>
          </b:Person>
          <b:Person>
            <b:Last>Chen</b:Last>
            <b:First>Yuyu</b:First>
          </b:Person>
          <b:Person>
            <b:Last>Fang</b:Last>
            <b:First>Hanming</b:First>
          </b:Person>
        </b:NameList>
      </b:Author>
    </b:Author>
    <b:Pages>864–82</b:Pages>
    <b:Year>2009</b:Year>
    <b:JournalName>American Economic Review</b:JournalName>
    <b:Number>3</b:Number>
    <b:RefOrder>155</b:RefOrder>
  </b:Source>
  <b:Source>
    <b:Volume>18</b:Volume>
    <b:BIBTEX_Entry>article</b:BIBTEX_Entry>
    <b:SourceType>JournalArticle</b:SourceType>
    <b:Title>Constructions of gender in sport: An analysis of intercollegiate media guide cover photographs</b:Title>
    <b:Tag>buysse_constructions_2004</b:Tag>
    <b:Author>
      <b:Author>
        <b:NameList>
          <b:Person>
            <b:Last>Buysse</b:Last>
            <b:Middle>Ann M.</b:Middle>
            <b:First>Jo</b:First>
          </b:Person>
          <b:Person>
            <b:Last>Embser-Herbert</b:Last>
            <b:Middle>Sheridan</b:Middle>
            <b:First>Melissa</b:First>
          </b:Person>
        </b:NameList>
      </b:Author>
    </b:Author>
    <b:Pages>66–81</b:Pages>
    <b:Year>2004</b:Year>
    <b:JournalName>Gender &amp; Society</b:JournalName>
    <b:Number>1</b:Number>
    <b:RefOrder>156</b:RefOrder>
  </b:Source>
  <b:Source>
    <b:BIBTEX_Entry>book</b:BIBTEX_Entry>
    <b:SourceType>Book</b:SourceType>
    <b:Title>Sociological paradigms and organisational analysis: Elements of the sociology of corporate life</b:Title>
    <b:Tag>burrell_sociological_2017</b:Tag>
    <b:Publisher>Routledge</b:Publisher>
    <b:Author>
      <b:Author>
        <b:NameList>
          <b:Person>
            <b:Last>Burrell</b:Last>
            <b:First>Gibson</b:First>
          </b:Person>
          <b:Person>
            <b:Last>Morgan</b:Last>
            <b:First>Gareth</b:First>
          </b:Person>
        </b:NameList>
      </b:Author>
    </b:Author>
    <b:Year>2017</b:Year>
    <b:RefOrder>157</b:RefOrder>
  </b:Source>
  <b:Source>
    <b:BIBTEX_Entry>article</b:BIBTEX_Entry>
    <b:SourceType>JournalArticle</b:SourceType>
    <b:Title>The efficacy of utilising Nvivo for interview data from the electronic gaming industry in two jurisdictions</b:Title>
    <b:Tag>buchanan_efficacy_2010</b:Tag>
    <b:Author>
      <b:Author>
        <b:NameList>
          <b:Person>
            <b:Last>Buchanan</b:Last>
            <b:First>June</b:First>
          </b:Person>
          <b:Person>
            <b:Last>Jones</b:Last>
            <b:Middle>L.</b:Middle>
            <b:First>Michael</b:First>
          </b:Person>
        </b:NameList>
      </b:Author>
    </b:Author>
    <b:Year>2010</b:Year>
    <b:RefOrder>158</b:RefOrder>
  </b:Source>
  <b:Source>
    <b:Volume>78</b:Volume>
    <b:BIBTEX_Entry>article</b:BIBTEX_Entry>
    <b:SourceType>JournalArticle</b:SourceType>
    <b:Title>Race, legality, and the social policy consequences of anti-immigration mobilization</b:Title>
    <b:Tag>brown_race_2013</b:Tag>
    <b:Author>
      <b:Author>
        <b:NameList>
          <b:Person>
            <b:Last>Brown</b:Last>
            <b:Middle>E.</b:Middle>
            <b:First>Hana</b:First>
          </b:Person>
        </b:NameList>
      </b:Author>
    </b:Author>
    <b:Pages>290–314</b:Pages>
    <b:Year>2013</b:Year>
    <b:JournalName>American Sociological Review</b:JournalName>
    <b:Number>2</b:Number>
    <b:RefOrder>159</b:RefOrder>
  </b:Source>
  <b:Source>
    <b:Volume>32</b:Volume>
    <b:BIBTEX_Entry>article</b:BIBTEX_Entry>
    <b:SourceType>JournalArticle</b:SourceType>
    <b:Title>The role of social marketing in leisure and recreation management</b:Title>
    <b:Tag>bright_role_2000</b:Tag>
    <b:Author>
      <b:Author>
        <b:NameList>
          <b:Person>
            <b:Last>Bright</b:Last>
            <b:Middle>D.</b:Middle>
            <b:First>Alan</b:First>
          </b:Person>
        </b:NameList>
      </b:Author>
    </b:Author>
    <b:Pages>12–17</b:Pages>
    <b:Year>2000</b:Year>
    <b:JournalName>Journal of leisure research</b:JournalName>
    <b:Number>1</b:Number>
    <b:RefOrder>160</b:RefOrder>
  </b:Source>
  <b:Source>
    <b:Volume>32</b:Volume>
    <b:BIBTEX_Entry>article</b:BIBTEX_Entry>
    <b:SourceType>JournalArticle</b:SourceType>
    <b:Title>Microgeographies of retailing and gentrification</b:Title>
    <b:Tag>bridge_microgeographies_2001</b:Tag>
    <b:Author>
      <b:Author>
        <b:NameList>
          <b:Person>
            <b:Last>Bridge</b:Last>
            <b:First>Gary</b:First>
          </b:Person>
          <b:Person>
            <b:Last>Dowling</b:Last>
            <b:First>Robyn</b:First>
          </b:Person>
        </b:NameList>
      </b:Author>
    </b:Author>
    <b:Pages>93–107</b:Pages>
    <b:Year>2001</b:Year>
    <b:JournalName>Australian Geographer</b:JournalName>
    <b:Number>1</b:Number>
    <b:RefOrder>161</b:RefOrder>
  </b:Source>
  <b:Source>
    <b:BIBTEX_Entry>book</b:BIBTEX_Entry>
    <b:SourceType>Book</b:SourceType>
    <b:Title>Multimethod research: a synthesis of styles.</b:Title>
    <b:Tag>brewer_multimethod_1989</b:Tag>
    <b:Publisher>Sage Publications, Inc</b:Publisher>
    <b:Author>
      <b:Author>
        <b:NameList>
          <b:Person>
            <b:Last>Brewer</b:Last>
            <b:First>John</b:First>
          </b:Person>
          <b:Person>
            <b:Last>Hunter</b:Last>
            <b:First>Albert</b:First>
          </b:Person>
        </b:NameList>
      </b:Author>
    </b:Author>
    <b:Year>1989</b:Year>
    <b:RefOrder>162</b:RefOrder>
  </b:Source>
  <b:Source>
    <b:Volume>64</b:Volume>
    <b:BIBTEX_Entry>article</b:BIBTEX_Entry>
    <b:SourceType>JournalArticle</b:SourceType>
    <b:Title>What motivates consumers to participate in boycotts: Lessons from the ongoing Canadian seafood boycott</b:Title>
    <b:Tag>braunsberger_what_2011</b:Tag>
    <b:Author>
      <b:Author>
        <b:NameList>
          <b:Person>
            <b:Last>Braunsberger</b:Last>
            <b:First>Karin</b:First>
          </b:Person>
          <b:Person>
            <b:Last>Buckler</b:Last>
            <b:First>Brian</b:First>
          </b:Person>
        </b:NameList>
      </b:Author>
    </b:Author>
    <b:Pages>96–102</b:Pages>
    <b:Year>2011</b:Year>
    <b:JournalName>Journal of Business Research</b:JournalName>
    <b:Number>1</b:Number>
    <b:RefOrder>163</b:RefOrder>
  </b:Source>
  <b:Source>
    <b:BIBTEX_Entry>book</b:BIBTEX_Entry>
    <b:SourceType>Book</b:SourceType>
    <b:Title>The image of man</b:Title>
    <b:Tag>george_image_1996</b:Tag>
    <b:Publisher>New York/Oxford</b:Publisher>
    <b:Author>
      <b:Author>
        <b:NameList>
          <b:Person>
            <b:Last>Mosse</b:Last>
            <b:Middle>L</b:Middle>
            <b:First>George</b:First>
          </b:Person>
        </b:NameList>
      </b:Author>
    </b:Author>
    <b:Year>1996</b:Year>
    <b:Guid>{3604BEA7-7C13-403B-AFA2-71E035E5503A}</b:Guid>
    <b:RefOrder>164</b:RefOrder>
  </b:Source>
  <b:Source>
    <b:Tag>Syl13</b:Tag>
    <b:SourceType>JournalArticle</b:SourceType>
    <b:Guid>{0F3E744B-4554-4833-B4B8-44159A3E71F9}</b:Guid>
    <b:Title>Youth understanding of healthy eating and obesity: a focus group study</b:Title>
    <b:JournalName>Journal of obesity</b:JournalName>
    <b:Year>2013</b:Year>
    <b:Author>
      <b:Author>
        <b:NameList>
          <b:Person>
            <b:Last>Sylvetsky</b:Last>
            <b:Middle>C</b:Middle>
            <b:First>A</b:First>
          </b:Person>
          <b:Person>
            <b:Last>Hennink</b:Last>
            <b:First>M</b:First>
          </b:Person>
          <b:Person>
            <b:Last>Comeau</b:Last>
            <b:First>D</b:First>
          </b:Person>
          <b:Person>
            <b:Last>Welsh</b:Last>
            <b:Middle>A</b:Middle>
            <b:First>J</b:First>
          </b:Person>
          <b:Person>
            <b:Last>Hardy</b:Last>
            <b:First>T</b:First>
          </b:Person>
          <b:Person>
            <b:Last>Matzigkeit</b:Last>
            <b:First>L</b:First>
          </b:Person>
          <b:Person>
            <b:Last>Swan</b:Last>
            <b:Middle>W</b:Middle>
            <b:First>D</b:First>
          </b:Person>
          <b:Person>
            <b:Last>Walsh</b:Last>
            <b:Middle>M</b:Middle>
            <b:First>S</b:First>
          </b:Person>
          <b:Person>
            <b:Last>Vos</b:Last>
            <b:Middle>B</b:Middle>
            <b:First>M</b:First>
          </b:Person>
        </b:NameList>
      </b:Author>
    </b:Author>
    <b:RefOrder>165</b:RefOrder>
  </b:Source>
  <b:Source>
    <b:Volume>196</b:Volume>
    <b:BIBTEX_Entry>book</b:BIBTEX_Entry>
    <b:SourceType>Book</b:SourceType>
    <b:Title>The Central Eskimo</b:Title>
    <b:Tag>boas_central_1964</b:Tag>
    <b:Publisher>University of Nebraska Press</b:Publisher>
    <b:Author>
      <b:Author>
        <b:NameList>
          <b:Person>
            <b:Last>Boas</b:Last>
            <b:First>Franz</b:First>
          </b:Person>
        </b:NameList>
      </b:Author>
    </b:Author>
    <b:Year>1964</b:Year>
    <b:Guid>{85808B43-AFB2-4F82-9EA3-9996ED00DA7F}</b:Guid>
    <b:RefOrder>166</b:RefOrder>
  </b:Source>
  <b:Source>
    <b:Volume>32</b:Volume>
    <b:BIBTEX_Entry>article</b:BIBTEX_Entry>
    <b:SourceType>JournalArticle</b:SourceType>
    <b:Title>Racialized Choices: Chinese adoption and the white noise of blackness</b:Title>
    <b:Tag>dorow_racialized_2006</b:Tag>
    <b:Author>
      <b:Author>
        <b:NameList>
          <b:Person>
            <b:Last>Dorow</b:Last>
            <b:First>Sara</b:First>
          </b:Person>
        </b:NameList>
      </b:Author>
    </b:Author>
    <b:Pages>357–379</b:Pages>
    <b:Year>2006</b:Year>
    <b:JournalName>Critical Sociology</b:JournalName>
    <b:Number>2</b:Number>
    <b:Guid>{AE03DF2F-3410-45B2-A42D-274170F1134A}</b:Guid>
    <b:RefOrder>167</b:RefOrder>
  </b:Source>
  <b:Source>
    <b:Volume>23</b:Volume>
    <b:BIBTEX_Entry>article</b:BIBTEX_Entry>
    <b:SourceType>JournalArticle</b:SourceType>
    <b:Title>An assessment of the scientific merits of action research</b:Title>
    <b:Tag>evered_assessment_1978</b:Tag>
    <b:Author>
      <b:Author>
        <b:NameList>
          <b:Person>
            <b:Last>Susman</b:Last>
            <b:Middle>I</b:Middle>
            <b:First>Gerald</b:First>
          </b:Person>
          <b:Person>
            <b:Last>Evered</b:Last>
            <b:Middle>D</b:Middle>
            <b:First>Roger</b:First>
          </b:Person>
        </b:NameList>
      </b:Author>
    </b:Author>
    <b:Pages>582–603</b:Pages>
    <b:Year>1978</b:Year>
    <b:JournalName>Administrative science quarterly</b:JournalName>
    <b:Number>4</b:Number>
    <b:Guid>{BCD498F2-AE85-4221-998C-A577739D02F3}</b:Guid>
    <b:RefOrder>168</b:RefOrder>
  </b:Source>
  <b:Source>
    <b:Volume>24</b:Volume>
    <b:BIBTEX_Entry>article</b:BIBTEX_Entry>
    <b:SourceType>JournalArticle</b:SourceType>
    <b:Title>The discovery of grounded theory</b:Title>
    <b:Tag>glaser_discovery_1967</b:Tag>
    <b:Author>
      <b:Author>
        <b:NameList>
          <b:Person>
            <b:Last>Glaser</b:Last>
            <b:First>Barney</b:First>
          </b:Person>
          <b:Person>
            <b:Last>Strauss</b:Last>
            <b:First>Anselm</b:First>
          </b:Person>
        </b:NameList>
      </b:Author>
    </b:Author>
    <b:Pages>288–304</b:Pages>
    <b:Year>1967</b:Year>
    <b:JournalName>London: Weidenfeld and Nicholson</b:JournalName>
    <b:Number>25</b:Number>
    <b:Guid>{E295FFDA-E00C-45DD-B212-E645708BAF9D}</b:Guid>
    <b:RefOrder>169</b:RefOrder>
  </b:Source>
  <b:Source>
    <b:Volume>18</b:Volume>
    <b:BIBTEX_Entry>article</b:BIBTEX_Entry>
    <b:SourceType>JournalArticle</b:SourceType>
    <b:Title>Calling cell phones in ’08 pre-election polls</b:Title>
    <b:Tag>keeter_calling_2008</b:Tag>
    <b:Author>
      <b:Author>
        <b:NameList>
          <b:Person>
            <b:Last>Keeter</b:Last>
            <b:First>Scott</b:First>
          </b:Person>
          <b:Person>
            <b:Last>Dimock</b:Last>
            <b:First>Michael</b:First>
          </b:Person>
          <b:Person>
            <b:Last>Christian</b:Last>
            <b:First>Leah</b:First>
          </b:Person>
        </b:NameList>
      </b:Author>
    </b:Author>
    <b:Pages>2008</b:Pages>
    <b:Year>2008</b:Year>
    <b:JournalName>The Pew Research Center for the People &amp; the Press. Retrieved December</b:JournalName>
    <b:Guid>{4CE086E5-0A87-4D06-AF70-448CF94CFA5E}</b:Guid>
    <b:RefOrder>170</b:RefOrder>
  </b:Source>
  <b:Source>
    <b:Volume>8</b:Volume>
    <b:BIBTEX_Entry>article</b:BIBTEX_Entry>
    <b:SourceType>JournalArticle</b:SourceType>
    <b:Title>Mixed-method research in the health sciences</b:Title>
    <b:Tag>lorenzini_mixedmethod_2017</b:Tag>
    <b:Author>
      <b:Author>
        <b:NameList>
          <b:Person>
            <b:Last>Lorenzini</b:Last>
            <b:First>Elisiane</b:First>
          </b:Person>
        </b:NameList>
      </b:Author>
    </b:Author>
    <b:Pages>1549–1560</b:Pages>
    <b:Year>2017</b:Year>
    <b:JournalName>Revista Cuidarte</b:JournalName>
    <b:Number>2</b:Number>
    <b:Guid>{3469358B-2C3A-4C0C-A7CC-E5C678880380}</b:Guid>
    <b:RefOrder>171</b:RefOrder>
  </b:Source>
  <b:Source>
    <b:BIBTEX_Entry>book</b:BIBTEX_Entry>
    <b:SourceType>Book</b:SourceType>
    <b:Title>Research methods in psychology</b:Title>
    <b:Tag>price_research_2015</b:Tag>
    <b:Publisher>BCcampus, BC Open Textbook Project</b:Publisher>
    <b:Author>
      <b:Author>
        <b:NameList>
          <b:Person>
            <b:Last>Price</b:Last>
            <b:Middle>Christopher</b:Middle>
            <b:First>Paul</b:First>
          </b:Person>
          <b:Person>
            <b:Last>Chiang</b:Last>
            <b:Middle>A.</b:Middle>
            <b:First>I.-Chant</b:First>
          </b:Person>
          <b:Person>
            <b:Last>Jhangiani</b:Last>
            <b:First>Rajiv</b:First>
          </b:Person>
        </b:NameList>
      </b:Author>
    </b:Author>
    <b:Year>2015</b:Year>
    <b:Guid>{213116BD-22FD-4D4C-BC4E-713F08D9EC25}</b:Guid>
    <b:RefOrder>172</b:RefOrder>
  </b:Source>
  <b:Source>
    <b:BIBTEX_Entry>article</b:BIBTEX_Entry>
    <b:SourceType>JournalArticle</b:SourceType>
    <b:Title>Perceived motivations for corporate suite ownership in the 'big four' leagues</b:Title>
    <b:Tag>titlebaum_perceived_2016</b:Tag>
    <b:Author>
      <b:Author>
        <b:NameList>
          <b:Person>
            <b:Last>Titlebaum</b:Last>
            <b:First>Peter</b:First>
          </b:Person>
          <b:Person>
            <b:Last>Lawrence</b:Last>
            <b:First>Heather</b:First>
          </b:Person>
        </b:NameList>
      </b:Author>
    </b:Author>
    <b:Year>2016</b:Year>
    <b:Guid>{C6D0DEBC-A675-482F-8140-7A9DFB096977}</b:Guid>
    <b:RefOrder>173</b:RefOrder>
  </b:Source>
  <b:Source>
    <b:BIBTEX_Entry>book</b:BIBTEX_Entry>
    <b:SourceType>Book</b:SourceType>
    <b:Title>Following the Equator (With Original Illustrations)</b:Title>
    <b:Tag>twain_following_2014</b:Tag>
    <b:Publisher>Simon and Schuster</b:Publisher>
    <b:Author>
      <b:Author>
        <b:NameList>
          <b:Person>
            <b:Last>Twain</b:Last>
            <b:First>Mark</b:First>
          </b:Person>
        </b:NameList>
      </b:Author>
    </b:Author>
    <b:Year>2014</b:Year>
    <b:Guid>{BC2329FF-E60B-4463-B794-A2DF57C88967}</b:Guid>
    <b:RefOrder>174</b:RefOrder>
  </b:Source>
  <b:Source>
    <b:Volume>2</b:Volume>
    <b:BIBTEX_Entry>article</b:BIBTEX_Entry>
    <b:SourceType>JournalArticle</b:SourceType>
    <b:Title>The Martian and the convert: Ontological polarities in social research</b:Title>
    <b:Tag>davis_martian_1973</b:Tag>
    <b:Author>
      <b:Author>
        <b:NameList>
          <b:Person>
            <b:Last>Davis</b:Last>
            <b:First>Fred</b:First>
          </b:Person>
        </b:NameList>
      </b:Author>
    </b:Author>
    <b:Pages>333–343</b:Pages>
    <b:Year>1973</b:Year>
    <b:JournalName>Urban Life and Culture</b:JournalName>
    <b:Number>3</b:Number>
    <b:Guid>{19B4422F-0854-4E19-930C-BEA75EF5ED97}</b:Guid>
    <b:RefOrder>175</b:RefOrder>
  </b:Source>
  <b:Source>
    <b:Tag>Cre17</b:Tag>
    <b:SourceType>Book</b:SourceType>
    <b:Guid>{61E79FD7-D0B4-4570-860F-3F6D3F2CC2C1}</b:Guid>
    <b:Title>Research Design: Qualitative, Quantitative, and Mixed Methods Approaches</b:Title>
    <b:Year>2017</b:Year>
    <b:Publisher>Sage Publications</b:Publisher>
    <b:Author>
      <b:Author>
        <b:NameList>
          <b:Person>
            <b:Last>Creswell</b:Last>
            <b:Middle>W</b:Middle>
            <b:First>John</b:First>
          </b:Person>
          <b:Person>
            <b:Last>Creswell</b:Last>
            <b:Middle>David</b:Middle>
            <b:First>J.</b:First>
          </b:Person>
        </b:NameList>
      </b:Author>
    </b:Author>
    <b:RefOrder>176</b:RefOrder>
  </b:Source>
  <b:Source>
    <b:Tag>Mur22</b:Tag>
    <b:SourceType>JournalArticle</b:SourceType>
    <b:Guid>{C4D866B7-E1C0-456C-96D3-D37FC34CB6D1}</b:Guid>
    <b:Title>The Global Burden of Disease Study at 30 Years</b:Title>
    <b:Year>2022</b:Year>
    <b:Author>
      <b:Author>
        <b:NameList>
          <b:Person>
            <b:Last>Murray</b:Last>
            <b:First>Christopher</b:First>
            <b:Middle>J. L.</b:Middle>
          </b:Person>
        </b:NameList>
      </b:Author>
    </b:Author>
    <b:JournalName>Nature Medicine</b:JournalName>
    <b:RefOrder>177</b:RefOrder>
  </b:Source>
  <b:Source>
    <b:Tag>Squ88</b:Tag>
    <b:SourceType>JournalArticle</b:SourceType>
    <b:Guid>{4E433F66-7842-40DF-AE25-C65D4B9CFBFC}</b:Guid>
    <b:Title>Why the 1936 Literary Digest Poll Failed</b:Title>
    <b:JournalName>Public Opinion Quarterly</b:JournalName>
    <b:Year>1988</b:Year>
    <b:Pages>125-133</b:Pages>
    <b:Author>
      <b:Author>
        <b:NameList>
          <b:Person>
            <b:Last>Squire</b:Last>
            <b:First>Peverill</b:First>
          </b:Person>
        </b:NameList>
      </b:Author>
    </b:Author>
    <b:Volume>52</b:Volume>
    <b:Issue>1</b:Issue>
    <b:RefOrder>178</b:RefOrder>
  </b:Source>
  <b:Source>
    <b:Tag>Cru19</b:Tag>
    <b:SourceType>JournalArticle</b:SourceType>
    <b:Guid>{C9352F9C-4996-483D-B4A1-27C3CFC6D7FA}</b:Guid>
    <b:Title>Why and how we should care about the General Data Protection Regulation</b:Title>
    <b:JournalName>Psychology &amp; Health</b:JournalName>
    <b:Year>2019</b:Year>
    <b:Pages>1347-1357</b:Pages>
    <b:Author>
      <b:Author>
        <b:NameList>
          <b:Person>
            <b:Last>Crutzen</b:Last>
            <b:First>Rik</b:First>
          </b:Person>
          <b:Person>
            <b:Last>Peters</b:Last>
            <b:Middle>Ygram</b:Middle>
            <b:First>Gjalt-Jorn</b:First>
          </b:Person>
          <b:Person>
            <b:Last>Mondschein</b:Last>
            <b:First>Christopher</b:First>
          </b:Person>
        </b:NameList>
      </b:Author>
    </b:Author>
    <b:Volume>34</b:Volume>
    <b:Issue>11</b:Issue>
    <b:RefOrder>179</b:RefOrder>
  </b:Source>
  <b:Source>
    <b:Tag>lee14</b:Tag>
    <b:SourceType>JournalArticle</b:SourceType>
    <b:Guid>{FCBFC5F3-7E4D-40A5-9275-6FE6BE708C70}</b:Guid>
    <b:Title>A Review of the Korean Cultural Syndrome Hwa-Byung: Suggestions for Theory and Intervention</b:Title>
    <b:JournalName>Journal of Asia Pacific Counseling</b:JournalName>
    <b:Year>2014</b:Year>
    <b:Pages>49-64</b:Pages>
    <b:Author>
      <b:Author>
        <b:NameList>
          <b:Person>
            <b:Last>lee</b:Last>
            <b:First>Jieun</b:First>
          </b:Person>
          <b:Person>
            <b:Last>Wachholtz</b:Last>
            <b:First>Amy</b:First>
          </b:Person>
          <b:Person>
            <b:Last>Choi</b:Last>
            <b:First>Keum-Hyeong</b:First>
          </b:Person>
        </b:NameList>
      </b:Author>
    </b:Author>
    <b:Volume>4</b:Volume>
    <b:Issue>1</b:Issue>
    <b:RefOrder>180</b:RefOrder>
  </b:Source>
  <b:Source>
    <b:Tag>Tho06</b:Tag>
    <b:SourceType>JournalArticle</b:SourceType>
    <b:Guid>{11B760BE-8432-4433-ACFF-EDE37E04D5A0}</b:Guid>
    <b:Title>Methods of the International Tobacco Control (ITC) Four Country Survey</b:Title>
    <b:JournalName>Tobacco Control</b:JournalName>
    <b:Year>2006</b:Year>
    <b:Pages>iii12-iii18</b:Pages>
    <b:Author>
      <b:Author>
        <b:NameList>
          <b:Person>
            <b:Last>Thompson</b:Last>
            <b:Middle>E</b:Middle>
            <b:First>M</b:First>
          </b:Person>
          <b:Person>
            <b:Last>Fong</b:Last>
            <b:Middle>T</b:Middle>
            <b:First>G</b:First>
          </b:Person>
          <b:Person>
            <b:Last>Hammond</b:Last>
            <b:First>D</b:First>
          </b:Person>
          <b:Person>
            <b:Last>Boudreau</b:Last>
            <b:First>C</b:First>
          </b:Person>
          <b:Person>
            <b:Last>Driezen</b:Last>
            <b:First>P</b:First>
          </b:Person>
          <b:Person>
            <b:Last>Hyland</b:Last>
            <b:First>A</b:First>
          </b:Person>
          <b:Person>
            <b:Last>Borland</b:Last>
            <b:First>R</b:First>
          </b:Person>
          <b:Person>
            <b:Last>Cummings</b:Last>
            <b:Middle>M</b:Middle>
            <b:First>K</b:First>
          </b:Person>
          <b:Person>
            <b:Last>Hastings</b:Last>
            <b:Middle>B</b:Middle>
            <b:First>G</b:First>
          </b:Person>
          <b:Person>
            <b:Last>Siahpush</b:Last>
            <b:First>M</b:First>
          </b:Person>
          <b:Person>
            <b:Last>Mackintosh</b:Last>
            <b:Middle>M</b:Middle>
            <b:First>A</b:First>
          </b:Person>
          <b:Person>
            <b:Last>Laux</b:Last>
            <b:Middle>L</b:Middle>
            <b:First>F</b:First>
          </b:Person>
        </b:NameList>
      </b:Author>
    </b:Author>
    <b:Publisher>BMJ Publishing Group Ltd</b:Publisher>
    <b:Volume>15</b:Volume>
    <b:Issue>suppl 3</b:Issue>
    <b:RefOrder>181</b:RefOrder>
  </b:Source>
  <b:Source>
    <b:Tag>Sin13</b:Tag>
    <b:SourceType>JournalArticle</b:SourceType>
    <b:Guid>{7756DD71-5066-4E7A-99E8-4274CB80D777}</b:Guid>
    <b:Title>The Use and Effects of Incentives in Surveys</b:Title>
    <b:JournalName>The ANNALS of the American Academy of Political and Social Science</b:JournalName>
    <b:Year>2013</b:Year>
    <b:Pages>112-141</b:Pages>
    <b:Author>
      <b:Author>
        <b:NameList>
          <b:Person>
            <b:Last>Singer</b:Last>
            <b:First>Eleanor</b:First>
          </b:Person>
          <b:Person>
            <b:Last>Ye</b:Last>
            <b:First>Cong</b:First>
          </b:Person>
        </b:NameList>
      </b:Author>
    </b:Author>
    <b:Volume>645</b:Volume>
    <b:Issue>1</b:Issue>
    <b:RefOrder>182</b:RefOrder>
  </b:Source>
  <b:Source>
    <b:Tag>Dyk13</b:Tag>
    <b:SourceType>JournalArticle</b:SourceType>
    <b:Guid>{1B1BC3CE-73AD-431A-84EB-C37B2E06133F}</b:Guid>
    <b:Title>Effects of E-Mailed Versus Mailed Invitations and Incentives on Response Rates, Data Quality, and Costs in a Web Survey of University Faculty</b:Title>
    <b:JournalName>Social Science Computer Review</b:JournalName>
    <b:Year>2013</b:Year>
    <b:Pages>359-370</b:Pages>
    <b:Author>
      <b:Author>
        <b:NameList>
          <b:Person>
            <b:Last>Dykema</b:Last>
            <b:First>Jennifer</b:First>
          </b:Person>
          <b:Person>
            <b:Last>Stevenson</b:Last>
            <b:First>John</b:First>
          </b:Person>
          <b:Person>
            <b:Last>Klein</b:Last>
            <b:First>Lisa</b:First>
          </b:Person>
          <b:Person>
            <b:Last>Kim</b:Last>
            <b:First>Yujin</b:First>
          </b:Person>
          <b:Person>
            <b:Last>Day</b:Last>
            <b:First>Brendan</b:First>
          </b:Person>
        </b:NameList>
      </b:Author>
    </b:Author>
    <b:Volume>31</b:Volume>
    <b:Issue>3</b:Issue>
    <b:RefOrder>183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968D8FA-8914-420B-818D-60C4096E1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13394</TotalTime>
  <Pages>411</Pages>
  <Words>184967</Words>
  <Characters>1054318</Characters>
  <Application>Microsoft Office Word</Application>
  <DocSecurity>0</DocSecurity>
  <Lines>8785</Lines>
  <Paragraphs>2473</Paragraphs>
  <ScaleCrop>false</ScaleCrop>
  <HeadingPairs>
    <vt:vector size="2" baseType="variant">
      <vt:variant>
        <vt:lpstr>Title</vt:lpstr>
      </vt:variant>
      <vt:variant>
        <vt:i4>1</vt:i4>
      </vt:variant>
    </vt:vector>
  </HeadingPairs>
  <TitlesOfParts>
    <vt:vector size="1" baseType="lpstr">
      <vt:lpstr>Research Methods</vt:lpstr>
    </vt:vector>
  </TitlesOfParts>
  <Company>Edition 5</Company>
  <LinksUpToDate>false</LinksUpToDate>
  <CharactersWithSpaces>1236812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 Methods</dc:title>
  <dc:subject>For Business and Marketing</dc:subject>
  <dc:creator>George Self</dc:creator>
  <cp:keywords/>
  <cp:lastModifiedBy>George Self</cp:lastModifiedBy>
  <cp:revision>7706</cp:revision>
  <cp:lastPrinted>2024-06-13T14:36:00Z</cp:lastPrinted>
  <dcterms:created xsi:type="dcterms:W3CDTF">2021-02-17T16:31:00Z</dcterms:created>
  <dcterms:modified xsi:type="dcterms:W3CDTF">2024-06-13T14:37:00Z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id="RMuefmw1"/&gt;&lt;style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 name="delayCitationUpdates" value="true"/&gt;&lt;pref name="dontAskDelayCitationUpdates" value="true"/&gt;&lt;/prefs&gt;&lt;/data&gt;</vt:lpwstr>
  </property>
</Properties>
</file>